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fill="FFFFFF"/>
        <w:spacing w:lineRule="atLeast" w:line="370" w:before="280" w:after="280"/>
        <w:jc w:val="both"/>
        <w:rPr/>
      </w:pPr>
      <w:r>
        <w:rPr>
          <w:rFonts w:cs="Arial"/>
          <w:b/>
          <w:sz w:val="24"/>
          <w:szCs w:val="24"/>
          <w:lang w:val="it-IT" w:eastAsia="ro-RO"/>
        </w:rPr>
        <w:drawing>
          <wp:inline distT="0" distB="0" distL="0" distR="0">
            <wp:extent cx="5937885" cy="1302385"/>
            <wp:effectExtent l="0" t="0" r="0" b="0"/>
            <wp:docPr id="1" name="I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ine1" descr=""/>
                    <pic:cNvPicPr>
                      <a:picLocks noChangeAspect="1" noChangeArrowheads="1"/>
                    </pic:cNvPicPr>
                  </pic:nvPicPr>
                  <pic:blipFill>
                    <a:blip r:embed="rId2"/>
                    <a:stretch>
                      <a:fillRect/>
                    </a:stretch>
                  </pic:blipFill>
                  <pic:spPr bwMode="auto">
                    <a:xfrm>
                      <a:off x="0" y="0"/>
                      <a:ext cx="5937885" cy="1302385"/>
                    </a:xfrm>
                    <a:prstGeom prst="rect">
                      <a:avLst/>
                    </a:prstGeom>
                  </pic:spPr>
                </pic:pic>
              </a:graphicData>
            </a:graphic>
          </wp:inline>
        </w:drawing>
      </w:r>
    </w:p>
    <w:p>
      <w:pPr>
        <w:pStyle w:val="Titlu1"/>
        <w:numPr>
          <w:ilvl w:val="0"/>
          <w:numId w:val="1"/>
        </w:numPr>
        <w:shd w:val="clear" w:fill="FFFFFF"/>
        <w:spacing w:lineRule="atLeast" w:line="370" w:before="280" w:after="280"/>
        <w:jc w:val="left"/>
        <w:rPr>
          <w:b w:val="false"/>
          <w:b w:val="false"/>
          <w:bCs w:val="false"/>
          <w:u w:val="none"/>
        </w:rPr>
      </w:pPr>
      <w:r>
        <w:rPr>
          <w:rFonts w:cs="Arial"/>
          <w:b w:val="false"/>
          <w:bCs w:val="false"/>
          <w:sz w:val="24"/>
          <w:szCs w:val="24"/>
          <w:u w:val="none"/>
          <w:lang w:val="it-IT" w:eastAsia="ro-RO"/>
        </w:rPr>
        <w:t>Nr.3196/17.05.2017</w:t>
      </w:r>
    </w:p>
    <w:p>
      <w:pPr>
        <w:pStyle w:val="Normal"/>
        <w:shd w:val="clear" w:fill="FFFFFF"/>
        <w:spacing w:lineRule="atLeast" w:line="370" w:before="280" w:after="280"/>
        <w:jc w:val="center"/>
        <w:rPr/>
      </w:pPr>
      <w:r>
        <w:rPr>
          <w:rFonts w:cs="Arial"/>
          <w:b/>
          <w:sz w:val="24"/>
          <w:szCs w:val="24"/>
          <w:lang w:val="it-IT" w:eastAsia="ro-RO"/>
        </w:rPr>
        <w:t>ANUNŢ</w:t>
      </w:r>
    </w:p>
    <w:p>
      <w:pPr>
        <w:pStyle w:val="Normal"/>
        <w:jc w:val="center"/>
        <w:rPr/>
      </w:pPr>
      <w:r>
        <w:rPr/>
      </w:r>
    </w:p>
    <w:p>
      <w:pPr>
        <w:pStyle w:val="NoSpacing"/>
        <w:jc w:val="both"/>
        <w:rPr/>
      </w:pPr>
      <w:r>
        <w:rPr>
          <w:sz w:val="24"/>
          <w:szCs w:val="24"/>
        </w:rPr>
        <w:t xml:space="preserve">           </w:t>
      </w:r>
      <w:r>
        <w:rPr>
          <w:sz w:val="24"/>
          <w:szCs w:val="24"/>
        </w:rPr>
        <w:t>Avînd în vedere prevederile Hotârârii Guvernului României nr.286/2011 pentru aprobarea Regulamentului – cadru  privind stabilirea principiilor generale de ocupare a unui post vacant sau temporar vacant corespunzător funcțiilor contractuale și a criteriilor de promovare în grade sau trepte profesionale imediat superioare a persoalului contractual din sectorul bugetar plătit din fonduri publice, modificată și completată prin Hotărârea nr.1027/2014.</w:t>
      </w:r>
    </w:p>
    <w:p>
      <w:pPr>
        <w:pStyle w:val="Normal"/>
        <w:jc w:val="both"/>
        <w:rPr/>
      </w:pPr>
      <w:r>
        <w:rPr/>
      </w:r>
    </w:p>
    <w:p>
      <w:pPr>
        <w:pStyle w:val="Normal"/>
        <w:shd w:val="clear" w:fill="FFFFFF"/>
        <w:spacing w:lineRule="atLeast" w:line="370" w:before="280" w:after="0"/>
        <w:jc w:val="center"/>
        <w:rPr/>
      </w:pPr>
      <w:r>
        <w:rPr>
          <w:sz w:val="24"/>
          <w:szCs w:val="24"/>
          <w:lang w:val="ro-RO" w:eastAsia="ro-RO"/>
        </w:rPr>
        <w:t>COLEGIUL TEHNIC „CONSTANTIN BRÂNCUȘI” PETRILA</w:t>
      </w:r>
    </w:p>
    <w:p>
      <w:pPr>
        <w:pStyle w:val="Normal"/>
        <w:shd w:val="clear" w:fill="FFFFFF"/>
        <w:spacing w:lineRule="atLeast" w:line="370" w:before="280" w:after="0"/>
        <w:jc w:val="center"/>
        <w:rPr/>
      </w:pPr>
      <w:r>
        <w:rPr>
          <w:sz w:val="24"/>
          <w:szCs w:val="24"/>
          <w:lang w:eastAsia="ro-RO"/>
        </w:rPr>
        <w:t xml:space="preserve">  </w:t>
      </w:r>
      <w:r>
        <w:rPr>
          <w:sz w:val="24"/>
          <w:szCs w:val="24"/>
          <w:lang w:eastAsia="ro-RO"/>
        </w:rPr>
        <w:t>ORGANIZEAZĂ CONCURS</w:t>
      </w:r>
    </w:p>
    <w:p>
      <w:pPr>
        <w:pStyle w:val="Normal"/>
        <w:shd w:val="clear" w:fill="FFFFFF"/>
        <w:spacing w:lineRule="atLeast" w:line="370" w:before="280" w:after="0"/>
        <w:jc w:val="center"/>
        <w:rPr/>
      </w:pPr>
      <w:r>
        <w:rPr>
          <w:b/>
          <w:sz w:val="24"/>
          <w:szCs w:val="24"/>
          <w:lang w:eastAsia="ro-RO"/>
        </w:rPr>
        <w:t>pentru ocuparea pe perioada nedeterminată a urm</w:t>
      </w:r>
      <w:r>
        <w:rPr>
          <w:b/>
          <w:sz w:val="24"/>
          <w:szCs w:val="24"/>
          <w:lang w:eastAsia="ro-RO"/>
        </w:rPr>
        <w:t>ă</w:t>
      </w:r>
      <w:r>
        <w:rPr>
          <w:b/>
          <w:sz w:val="24"/>
          <w:szCs w:val="24"/>
          <w:lang w:eastAsia="ro-RO"/>
        </w:rPr>
        <w:t xml:space="preserve">toarelor posturi vacante, functii contractuale </w:t>
      </w:r>
    </w:p>
    <w:p>
      <w:pPr>
        <w:pStyle w:val="Normal"/>
        <w:jc w:val="both"/>
        <w:rPr/>
      </w:pPr>
      <w:r>
        <w:rPr/>
      </w:r>
    </w:p>
    <w:p>
      <w:pPr>
        <w:pStyle w:val="Normal"/>
        <w:jc w:val="both"/>
        <w:rPr/>
      </w:pPr>
      <w:r>
        <w:rPr/>
      </w:r>
    </w:p>
    <w:p>
      <w:pPr>
        <w:pStyle w:val="NoSpacing"/>
        <w:spacing w:lineRule="auto" w:line="276" w:before="105" w:after="105"/>
        <w:jc w:val="both"/>
        <w:rPr/>
      </w:pPr>
      <w:r>
        <w:rPr>
          <w:rFonts w:cs="Times New Roman"/>
          <w:b/>
          <w:bCs/>
          <w:sz w:val="24"/>
          <w:szCs w:val="24"/>
        </w:rPr>
        <w:t xml:space="preserve">1. ADMINISTRATOR  FINANCIAR –  C.O.R. 263111 </w:t>
      </w:r>
      <w:r>
        <w:rPr>
          <w:rFonts w:cs="Times New Roman"/>
          <w:b/>
          <w:bCs/>
          <w:sz w:val="24"/>
          <w:szCs w:val="24"/>
          <w:lang w:val="en-US"/>
        </w:rPr>
        <w:t>- 1</w:t>
      </w:r>
      <w:r>
        <w:rPr>
          <w:rFonts w:cs="Times New Roman"/>
          <w:b/>
          <w:bCs/>
          <w:sz w:val="24"/>
          <w:szCs w:val="24"/>
        </w:rPr>
        <w:t xml:space="preserve">  post</w:t>
      </w:r>
    </w:p>
    <w:p>
      <w:pPr>
        <w:pStyle w:val="Normal"/>
        <w:rPr/>
      </w:pPr>
      <w:r>
        <w:rPr>
          <w:b/>
          <w:bCs/>
          <w:sz w:val="24"/>
          <w:szCs w:val="24"/>
          <w:lang w:val="ro-RO"/>
        </w:rPr>
        <w:t>La concurs poate participa orice persoană care îndeplinește cumulativ următoarele condiții:</w:t>
      </w:r>
    </w:p>
    <w:p>
      <w:pPr>
        <w:pStyle w:val="Normal"/>
        <w:rPr/>
      </w:pPr>
      <w:r>
        <w:rPr>
          <w:b/>
          <w:bCs/>
          <w:sz w:val="24"/>
          <w:szCs w:val="24"/>
          <w:lang w:val="ro-RO"/>
        </w:rPr>
        <w:t xml:space="preserve">A. </w:t>
      </w:r>
      <w:r>
        <w:rPr>
          <w:b/>
          <w:bCs/>
          <w:sz w:val="24"/>
          <w:szCs w:val="24"/>
          <w:lang w:val="ro-RO"/>
        </w:rPr>
        <w:t>Condiţii generale de ocupare a posturilor</w:t>
      </w:r>
    </w:p>
    <w:p>
      <w:pPr>
        <w:pStyle w:val="Normal"/>
        <w:jc w:val="both"/>
        <w:rPr/>
      </w:pPr>
      <w:r>
        <w:rPr>
          <w:sz w:val="24"/>
          <w:szCs w:val="24"/>
        </w:rPr>
        <w:t xml:space="preserve">- </w:t>
      </w:r>
      <w:r>
        <w:rPr>
          <w:sz w:val="24"/>
          <w:szCs w:val="24"/>
          <w:lang w:val="ro-RO"/>
        </w:rPr>
        <w:t>a</w:t>
      </w:r>
      <w:r>
        <w:rPr>
          <w:sz w:val="24"/>
          <w:szCs w:val="24"/>
        </w:rPr>
        <w:t xml:space="preserve">re cetăţenia română, cetăţenie a altor state membre ale Uniunii Europene sau a statelor aparţinând Spaţiului Economic European şi domiciliul în România; </w:t>
      </w:r>
    </w:p>
    <w:p>
      <w:pPr>
        <w:pStyle w:val="Normal"/>
        <w:jc w:val="both"/>
        <w:rPr/>
      </w:pPr>
      <w:r>
        <w:rPr>
          <w:sz w:val="24"/>
          <w:szCs w:val="24"/>
        </w:rPr>
        <w:t xml:space="preserve">- </w:t>
      </w:r>
      <w:r>
        <w:rPr>
          <w:sz w:val="24"/>
          <w:szCs w:val="24"/>
          <w:lang w:val="ro-RO"/>
        </w:rPr>
        <w:t>c</w:t>
      </w:r>
      <w:r>
        <w:rPr>
          <w:sz w:val="24"/>
          <w:szCs w:val="24"/>
        </w:rPr>
        <w:t>uno</w:t>
      </w:r>
      <w:r>
        <w:rPr>
          <w:sz w:val="24"/>
          <w:szCs w:val="24"/>
          <w:lang w:val="ro-RO"/>
        </w:rPr>
        <w:t xml:space="preserve">aște </w:t>
      </w:r>
      <w:r>
        <w:rPr>
          <w:sz w:val="24"/>
          <w:szCs w:val="24"/>
        </w:rPr>
        <w:t xml:space="preserve">limba română, scris şi vorbit; </w:t>
      </w:r>
    </w:p>
    <w:p>
      <w:pPr>
        <w:pStyle w:val="Normal"/>
        <w:jc w:val="both"/>
        <w:rPr/>
      </w:pPr>
      <w:r>
        <w:rPr>
          <w:sz w:val="24"/>
          <w:szCs w:val="24"/>
        </w:rPr>
        <w:t xml:space="preserve">- </w:t>
      </w:r>
      <w:r>
        <w:rPr>
          <w:sz w:val="24"/>
          <w:szCs w:val="24"/>
          <w:lang w:val="ro-RO"/>
        </w:rPr>
        <w:t>a</w:t>
      </w:r>
      <w:r>
        <w:rPr>
          <w:sz w:val="24"/>
          <w:szCs w:val="24"/>
        </w:rPr>
        <w:t xml:space="preserve">re vârsta minimă reglementată de prevederile legale; </w:t>
      </w:r>
    </w:p>
    <w:p>
      <w:pPr>
        <w:pStyle w:val="Normal"/>
        <w:jc w:val="both"/>
        <w:rPr/>
      </w:pPr>
      <w:r>
        <w:rPr>
          <w:sz w:val="24"/>
          <w:szCs w:val="24"/>
        </w:rPr>
        <w:t xml:space="preserve">- </w:t>
      </w:r>
      <w:r>
        <w:rPr>
          <w:sz w:val="24"/>
          <w:szCs w:val="24"/>
          <w:lang w:val="ro-RO"/>
        </w:rPr>
        <w:t>a</w:t>
      </w:r>
      <w:r>
        <w:rPr>
          <w:sz w:val="24"/>
          <w:szCs w:val="24"/>
        </w:rPr>
        <w:t xml:space="preserve">re capacitatea deplină de exerciţiu; </w:t>
      </w:r>
    </w:p>
    <w:p>
      <w:pPr>
        <w:pStyle w:val="Normal"/>
        <w:jc w:val="both"/>
        <w:rPr/>
      </w:pPr>
      <w:r>
        <w:rPr>
          <w:sz w:val="24"/>
          <w:szCs w:val="24"/>
        </w:rPr>
        <w:t xml:space="preserve">- </w:t>
      </w:r>
      <w:r>
        <w:rPr>
          <w:sz w:val="24"/>
          <w:szCs w:val="24"/>
          <w:lang w:val="ro-RO"/>
        </w:rPr>
        <w:t>a</w:t>
      </w:r>
      <w:r>
        <w:rPr>
          <w:sz w:val="24"/>
          <w:szCs w:val="24"/>
        </w:rPr>
        <w:t xml:space="preserve">re o stare de sănătate corespunzătoare postului pentru care candidează, atestată în baza adeverinţei medicale eliberate de medicul de familie sau de unităţile sanitare abilitate; </w:t>
      </w:r>
    </w:p>
    <w:p>
      <w:pPr>
        <w:pStyle w:val="Normal"/>
        <w:jc w:val="both"/>
        <w:rPr/>
      </w:pPr>
      <w:r>
        <w:rPr>
          <w:sz w:val="24"/>
          <w:szCs w:val="24"/>
        </w:rPr>
        <w:t xml:space="preserve">- </w:t>
      </w:r>
      <w:r>
        <w:rPr>
          <w:sz w:val="24"/>
          <w:szCs w:val="24"/>
          <w:lang w:val="ro-RO"/>
        </w:rPr>
        <w:t>î</w:t>
      </w:r>
      <w:r>
        <w:rPr>
          <w:sz w:val="24"/>
          <w:szCs w:val="24"/>
        </w:rPr>
        <w:t xml:space="preserve">ndeplineşte condiţiile de studii şi, după caz de vechime sau alte condiţii specifice potrivit cerinţelor postului scos la concurs; </w:t>
      </w:r>
    </w:p>
    <w:p>
      <w:pPr>
        <w:pStyle w:val="Normal"/>
        <w:jc w:val="both"/>
        <w:rPr/>
      </w:pPr>
      <w:r>
        <w:rPr>
          <w:sz w:val="24"/>
          <w:szCs w:val="24"/>
        </w:rPr>
        <w:t xml:space="preserve">- </w:t>
      </w:r>
      <w:r>
        <w:rPr>
          <w:sz w:val="24"/>
          <w:szCs w:val="24"/>
          <w:lang w:val="ro-RO"/>
        </w:rPr>
        <w:t>n</w:t>
      </w:r>
      <w:r>
        <w:rPr>
          <w:sz w:val="24"/>
          <w:szCs w:val="24"/>
        </w:rPr>
        <w:t xml:space="preserve">u a fost condamnat/ă definitiv pentru săvârşirea unei infracţiuni contra umanităţii, contra statului ori contra autorităţii, de serviciu sau în legătură </w:t>
      </w:r>
      <w:r>
        <w:rPr>
          <w:sz w:val="24"/>
          <w:szCs w:val="24"/>
          <w:lang w:val="ro-RO"/>
        </w:rPr>
        <w:t>cu</w:t>
      </w:r>
      <w:r>
        <w:rPr>
          <w:sz w:val="24"/>
          <w:szCs w:val="24"/>
        </w:rPr>
        <w:t xml:space="preserve"> serviciul, care împiedică înfăptuirea justiţiei, de fals ori a unor fapte de corupţie sau a unei infracţiuni săvârşite cu intenţie, care ar face-o incompatibilă cu exercitarea funcţiei, cu excepţia situaţiei în care a intervenit reabilitarea.</w:t>
      </w:r>
    </w:p>
    <w:p>
      <w:pPr>
        <w:pStyle w:val="Normal"/>
        <w:rPr/>
      </w:pPr>
      <w:r>
        <w:rPr/>
      </w:r>
    </w:p>
    <w:p>
      <w:pPr>
        <w:pStyle w:val="Normal"/>
        <w:rPr/>
      </w:pPr>
      <w:r>
        <w:rPr>
          <w:b/>
          <w:bCs/>
          <w:sz w:val="24"/>
          <w:szCs w:val="24"/>
          <w:lang w:val="ro-RO"/>
        </w:rPr>
        <w:t xml:space="preserve">B. </w:t>
      </w:r>
      <w:r>
        <w:rPr>
          <w:b/>
          <w:bCs/>
          <w:sz w:val="24"/>
          <w:szCs w:val="24"/>
          <w:lang w:val="ro-RO"/>
        </w:rPr>
        <w:t>C</w:t>
      </w:r>
      <w:r>
        <w:rPr>
          <w:b/>
          <w:bCs/>
          <w:sz w:val="24"/>
          <w:szCs w:val="24"/>
        </w:rPr>
        <w:t xml:space="preserve">ondiţii specifice pentru ocuparea postului </w:t>
      </w:r>
    </w:p>
    <w:p>
      <w:pPr>
        <w:pStyle w:val="Normal"/>
        <w:spacing w:before="0" w:after="14"/>
        <w:rPr/>
      </w:pPr>
      <w:r>
        <w:rPr>
          <w:sz w:val="24"/>
          <w:szCs w:val="24"/>
          <w:lang w:val="ro-RO"/>
        </w:rPr>
        <w:t>-</w:t>
      </w:r>
      <w:r>
        <w:rPr>
          <w:sz w:val="24"/>
          <w:szCs w:val="24"/>
        </w:rPr>
        <w:t xml:space="preserve"> studii superioare absolvite cu diplomă de licență în domeniul economic;</w:t>
      </w:r>
    </w:p>
    <w:p>
      <w:pPr>
        <w:pStyle w:val="Normal"/>
        <w:spacing w:before="0" w:after="14"/>
        <w:rPr/>
      </w:pPr>
      <w:r>
        <w:rPr>
          <w:sz w:val="24"/>
          <w:szCs w:val="24"/>
          <w:lang w:val="ro-RO"/>
        </w:rPr>
        <w:t xml:space="preserve">- </w:t>
      </w:r>
      <w:r>
        <w:rPr>
          <w:sz w:val="24"/>
          <w:szCs w:val="24"/>
        </w:rPr>
        <w:t xml:space="preserve">vechime cel puţin </w:t>
      </w:r>
      <w:r>
        <w:rPr>
          <w:sz w:val="24"/>
          <w:szCs w:val="24"/>
          <w:lang w:val="ro-RO"/>
        </w:rPr>
        <w:t>3</w:t>
      </w:r>
      <w:r>
        <w:rPr>
          <w:sz w:val="24"/>
          <w:szCs w:val="24"/>
        </w:rPr>
        <w:t xml:space="preserve"> ani în specialitate</w:t>
      </w:r>
      <w:r>
        <w:rPr>
          <w:sz w:val="24"/>
          <w:szCs w:val="24"/>
          <w:lang w:val="ro-RO"/>
        </w:rPr>
        <w:t>a ocupării postului</w:t>
      </w:r>
      <w:r>
        <w:rPr>
          <w:sz w:val="24"/>
          <w:szCs w:val="24"/>
        </w:rPr>
        <w:t>;</w:t>
      </w:r>
    </w:p>
    <w:p>
      <w:pPr>
        <w:pStyle w:val="Normal"/>
        <w:spacing w:before="0" w:after="14"/>
        <w:rPr/>
      </w:pPr>
      <w:r>
        <w:rPr>
          <w:sz w:val="24"/>
          <w:szCs w:val="24"/>
          <w:lang w:val="ro-RO"/>
        </w:rPr>
        <w:t>- calificativul „foarte bine” în ultimii 3 ani</w:t>
      </w:r>
      <w:r>
        <w:rPr>
          <w:sz w:val="24"/>
          <w:szCs w:val="24"/>
          <w:lang w:val="en-US"/>
        </w:rPr>
        <w:t>;</w:t>
      </w:r>
    </w:p>
    <w:p>
      <w:pPr>
        <w:pStyle w:val="Normal"/>
        <w:spacing w:before="0" w:after="14"/>
        <w:rPr/>
      </w:pPr>
      <w:r>
        <w:rPr>
          <w:sz w:val="24"/>
          <w:szCs w:val="24"/>
          <w:lang w:val="ro-RO"/>
        </w:rPr>
        <w:t>-</w:t>
      </w:r>
      <w:r>
        <w:rPr>
          <w:sz w:val="24"/>
          <w:szCs w:val="24"/>
        </w:rPr>
        <w:t xml:space="preserve"> cunoştinţe </w:t>
      </w:r>
      <w:r>
        <w:rPr>
          <w:sz w:val="24"/>
          <w:szCs w:val="24"/>
          <w:lang w:val="ro-RO"/>
        </w:rPr>
        <w:t xml:space="preserve">avansate de </w:t>
      </w:r>
      <w:r>
        <w:rPr>
          <w:sz w:val="24"/>
          <w:szCs w:val="24"/>
        </w:rPr>
        <w:t>operare PC (</w:t>
      </w:r>
      <w:r>
        <w:rPr>
          <w:rFonts w:cs="Times New Roman"/>
          <w:sz w:val="24"/>
          <w:szCs w:val="24"/>
        </w:rPr>
        <w:t>Windows, Microsoft Office Word, Excel, Internet baze de date</w:t>
      </w:r>
      <w:r>
        <w:rPr>
          <w:sz w:val="24"/>
          <w:szCs w:val="24"/>
        </w:rPr>
        <w:t>), programe de contabilitate, salarizare;</w:t>
      </w:r>
    </w:p>
    <w:p>
      <w:pPr>
        <w:pStyle w:val="Normal"/>
        <w:spacing w:before="0" w:after="14"/>
        <w:rPr/>
      </w:pPr>
      <w:r>
        <w:rPr>
          <w:sz w:val="24"/>
          <w:szCs w:val="24"/>
          <w:lang w:val="ro-RO"/>
        </w:rPr>
        <w:t>- capacitate de analiză și sinteză;</w:t>
      </w:r>
    </w:p>
    <w:p>
      <w:pPr>
        <w:pStyle w:val="Normal"/>
        <w:spacing w:before="0" w:after="14"/>
        <w:rPr/>
      </w:pPr>
      <w:r>
        <w:rPr>
          <w:sz w:val="24"/>
          <w:szCs w:val="24"/>
          <w:lang w:val="ro-RO"/>
        </w:rPr>
        <w:t>-</w:t>
      </w:r>
      <w:r>
        <w:rPr>
          <w:sz w:val="24"/>
          <w:szCs w:val="24"/>
        </w:rPr>
        <w:t xml:space="preserve"> abilităţi de comunicare, relaţionare şi învăţare; </w:t>
      </w:r>
    </w:p>
    <w:p>
      <w:pPr>
        <w:pStyle w:val="Normal"/>
        <w:jc w:val="both"/>
        <w:rPr/>
      </w:pPr>
      <w:r>
        <w:rPr>
          <w:sz w:val="24"/>
          <w:szCs w:val="24"/>
          <w:lang w:val="ro-RO"/>
        </w:rPr>
        <w:t>- capacitate de gestionare a timpului şi priorităţilor.</w:t>
      </w:r>
    </w:p>
    <w:p>
      <w:pPr>
        <w:pStyle w:val="Normal"/>
        <w:jc w:val="both"/>
        <w:rPr/>
      </w:pPr>
      <w:r>
        <w:rPr>
          <w:sz w:val="24"/>
          <w:szCs w:val="24"/>
          <w:lang w:val="ro-RO"/>
        </w:rPr>
        <w:t>- capacitate de lucru în echipă;</w:t>
      </w:r>
    </w:p>
    <w:p>
      <w:pPr>
        <w:pStyle w:val="Normal"/>
        <w:jc w:val="both"/>
        <w:rPr/>
      </w:pPr>
      <w:r>
        <w:rPr>
          <w:sz w:val="24"/>
          <w:szCs w:val="24"/>
          <w:lang w:val="ro-RO"/>
        </w:rPr>
        <w:t>- adaptabilitate rapidă la condiții noi de lucru, inițiativă.</w:t>
      </w:r>
    </w:p>
    <w:p>
      <w:pPr>
        <w:pStyle w:val="Normal"/>
        <w:jc w:val="both"/>
        <w:rPr>
          <w:sz w:val="24"/>
          <w:szCs w:val="24"/>
          <w:lang w:val="ro-RO"/>
        </w:rPr>
      </w:pPr>
      <w:r>
        <w:rPr/>
      </w:r>
    </w:p>
    <w:p>
      <w:pPr>
        <w:pStyle w:val="Normal"/>
        <w:autoSpaceDE w:val="false"/>
        <w:rPr>
          <w:b/>
          <w:b/>
        </w:rPr>
      </w:pPr>
      <w:r>
        <w:rPr>
          <w:b/>
        </w:rPr>
        <w:t>C. TIPUL PROBELOR DE CONCURS</w:t>
      </w:r>
    </w:p>
    <w:p>
      <w:pPr>
        <w:pStyle w:val="Normal"/>
        <w:autoSpaceDE w:val="false"/>
        <w:rPr/>
      </w:pPr>
      <w:r>
        <w:rPr/>
        <w:t>Concursul constă în 4 etape succesive, după cum urmează:</w:t>
      </w:r>
    </w:p>
    <w:p>
      <w:pPr>
        <w:pStyle w:val="Normal"/>
        <w:numPr>
          <w:ilvl w:val="0"/>
          <w:numId w:val="3"/>
        </w:numPr>
        <w:autoSpaceDE w:val="false"/>
        <w:rPr/>
      </w:pPr>
      <w:r>
        <w:rPr/>
        <w:t>Selecţia dosarelor de înscriere</w:t>
      </w:r>
    </w:p>
    <w:p>
      <w:pPr>
        <w:pStyle w:val="Normal"/>
        <w:numPr>
          <w:ilvl w:val="0"/>
          <w:numId w:val="3"/>
        </w:numPr>
        <w:autoSpaceDE w:val="false"/>
        <w:rPr/>
      </w:pPr>
      <w:r>
        <w:rPr/>
        <w:t>Proba scrisă</w:t>
      </w:r>
    </w:p>
    <w:p>
      <w:pPr>
        <w:pStyle w:val="Normal"/>
        <w:numPr>
          <w:ilvl w:val="0"/>
          <w:numId w:val="3"/>
        </w:numPr>
        <w:autoSpaceDE w:val="false"/>
        <w:rPr/>
      </w:pPr>
      <w:r>
        <w:rPr/>
        <w:t>Probă practică</w:t>
      </w:r>
    </w:p>
    <w:p>
      <w:pPr>
        <w:pStyle w:val="Normal"/>
        <w:numPr>
          <w:ilvl w:val="0"/>
          <w:numId w:val="3"/>
        </w:numPr>
        <w:autoSpaceDE w:val="false"/>
        <w:rPr/>
      </w:pPr>
      <w:r>
        <w:rPr/>
        <w:t>Interviu</w:t>
      </w:r>
    </w:p>
    <w:p>
      <w:pPr>
        <w:pStyle w:val="Normal"/>
        <w:autoSpaceDE w:val="false"/>
        <w:rPr/>
      </w:pPr>
      <w:r>
        <w:rPr/>
        <w:t>Se pot prezenta la  următoarea etapă numai candidaţii declaraţi admişi la etapa precedentă.</w:t>
      </w:r>
    </w:p>
    <w:p>
      <w:pPr>
        <w:pStyle w:val="Normal"/>
        <w:autoSpaceDE w:val="false"/>
        <w:rPr/>
      </w:pPr>
      <w:r>
        <w:rPr/>
      </w:r>
    </w:p>
    <w:p>
      <w:pPr>
        <w:pStyle w:val="Normal"/>
        <w:autoSpaceDE w:val="false"/>
        <w:rPr>
          <w:b/>
          <w:b/>
        </w:rPr>
      </w:pPr>
      <w:r>
        <w:rPr>
          <w:b/>
        </w:rPr>
        <w:t>D. GRAFICUL DE ORGANIZARE A CONCURSULUI</w:t>
      </w:r>
    </w:p>
    <w:p>
      <w:pPr>
        <w:pStyle w:val="Normal"/>
        <w:numPr>
          <w:ilvl w:val="0"/>
          <w:numId w:val="4"/>
        </w:numPr>
        <w:autoSpaceDE w:val="false"/>
        <w:ind w:left="0" w:right="0" w:hanging="0"/>
        <w:jc w:val="both"/>
        <w:rPr/>
      </w:pPr>
      <w:r>
        <w:rPr/>
        <w:t>Organizarea şi desfăşurarea concursului are loc la sediul Colegiului Tehnic „Constantin Brâncuşi” Petrila, str. Republicii, nr. 196, după următorul calendar:</w:t>
      </w:r>
    </w:p>
    <w:p>
      <w:pPr>
        <w:pStyle w:val="Normal"/>
        <w:numPr>
          <w:ilvl w:val="0"/>
          <w:numId w:val="4"/>
        </w:numPr>
        <w:autoSpaceDE w:val="false"/>
        <w:ind w:left="0" w:right="0" w:hanging="0"/>
        <w:jc w:val="both"/>
        <w:rPr/>
      </w:pPr>
      <w:r>
        <w:rPr/>
        <w:t>22.05.2017 publicarea anunţului;</w:t>
      </w:r>
    </w:p>
    <w:p>
      <w:pPr>
        <w:pStyle w:val="Normal"/>
        <w:numPr>
          <w:ilvl w:val="0"/>
          <w:numId w:val="4"/>
        </w:numPr>
        <w:autoSpaceDE w:val="false"/>
        <w:ind w:left="0" w:right="0" w:hanging="0"/>
        <w:jc w:val="both"/>
        <w:rPr/>
      </w:pPr>
      <w:r>
        <w:rPr/>
        <w:t>23.05.2017 – 08.06.2017 până la ora 14 depunerea dosarelor de înscriere;</w:t>
      </w:r>
    </w:p>
    <w:p>
      <w:pPr>
        <w:pStyle w:val="Normal"/>
        <w:numPr>
          <w:ilvl w:val="0"/>
          <w:numId w:val="4"/>
        </w:numPr>
        <w:autoSpaceDE w:val="false"/>
        <w:jc w:val="both"/>
        <w:rPr/>
      </w:pPr>
      <w:r>
        <w:rPr/>
        <w:t>12.06.2017 selectarea dosarelor şi afişarea rezultatelor până la ora 16;</w:t>
      </w:r>
    </w:p>
    <w:p>
      <w:pPr>
        <w:pStyle w:val="Normal"/>
        <w:numPr>
          <w:ilvl w:val="0"/>
          <w:numId w:val="4"/>
        </w:numPr>
        <w:autoSpaceDE w:val="false"/>
        <w:jc w:val="both"/>
        <w:rPr/>
      </w:pPr>
      <w:r>
        <w:rPr/>
        <w:t>13.06.2017 până la ora 12 depunerea contestaţiilor, până la ora 16 rezolvarea şi afişarea  rezultatelor în urma contestaţiilor;</w:t>
      </w:r>
    </w:p>
    <w:p>
      <w:pPr>
        <w:pStyle w:val="Normal"/>
        <w:numPr>
          <w:ilvl w:val="0"/>
          <w:numId w:val="4"/>
        </w:numPr>
        <w:autoSpaceDE w:val="false"/>
        <w:ind w:left="0" w:right="0" w:hanging="0"/>
        <w:jc w:val="both"/>
        <w:rPr/>
      </w:pPr>
      <w:r>
        <w:rPr/>
        <w:t>26.06.2017 ora 10 proba scrisă şi afişarea rezultatelor până la ora 16;</w:t>
      </w:r>
    </w:p>
    <w:p>
      <w:pPr>
        <w:pStyle w:val="Normal"/>
        <w:numPr>
          <w:ilvl w:val="0"/>
          <w:numId w:val="4"/>
        </w:numPr>
        <w:autoSpaceDE w:val="false"/>
        <w:ind w:left="0" w:right="0" w:hanging="0"/>
        <w:jc w:val="both"/>
        <w:rPr/>
      </w:pPr>
      <w:r>
        <w:rPr/>
        <w:t xml:space="preserve">27.06.2017 până la ora 12 depunerea contestaţiilor, până la ora 16 rezolvarea şi </w:t>
        <w:tab/>
        <w:t>afişarea  rezultatelor în urma contestaţiilor;</w:t>
      </w:r>
    </w:p>
    <w:p>
      <w:pPr>
        <w:pStyle w:val="Normal"/>
        <w:numPr>
          <w:ilvl w:val="0"/>
          <w:numId w:val="4"/>
        </w:numPr>
        <w:autoSpaceDE w:val="false"/>
        <w:ind w:left="0" w:right="0" w:hanging="0"/>
        <w:jc w:val="both"/>
        <w:rPr/>
      </w:pPr>
      <w:r>
        <w:rPr/>
        <w:t>28.06.2017 ora 10 proba practică şi afişarea rezultatelor până la ora 16;</w:t>
      </w:r>
    </w:p>
    <w:p>
      <w:pPr>
        <w:pStyle w:val="Normal"/>
        <w:numPr>
          <w:ilvl w:val="0"/>
          <w:numId w:val="4"/>
        </w:numPr>
        <w:autoSpaceDE w:val="false"/>
        <w:jc w:val="both"/>
        <w:rPr/>
      </w:pPr>
      <w:r>
        <w:rPr/>
        <w:t>29.06.2017 ora 10 interviu şi afişarea rezultatelor până la ora 16;</w:t>
      </w:r>
    </w:p>
    <w:p>
      <w:pPr>
        <w:pStyle w:val="Normal"/>
        <w:numPr>
          <w:ilvl w:val="0"/>
          <w:numId w:val="4"/>
        </w:numPr>
        <w:autoSpaceDE w:val="false"/>
        <w:ind w:left="0" w:right="0" w:hanging="0"/>
        <w:jc w:val="both"/>
        <w:rPr/>
      </w:pPr>
      <w:r>
        <w:rPr/>
        <w:t>30.06.2017 până la ora 12 afişarea rezultatelor finale.</w:t>
      </w:r>
    </w:p>
    <w:p>
      <w:pPr>
        <w:pStyle w:val="Normal"/>
        <w:numPr>
          <w:ilvl w:val="0"/>
          <w:numId w:val="0"/>
        </w:numPr>
        <w:autoSpaceDE w:val="false"/>
        <w:ind w:left="720" w:right="0" w:hanging="0"/>
        <w:jc w:val="both"/>
        <w:rPr/>
      </w:pPr>
      <w:r>
        <w:rPr/>
      </w:r>
    </w:p>
    <w:p>
      <w:pPr>
        <w:pStyle w:val="Normal"/>
        <w:autoSpaceDE w:val="false"/>
        <w:ind w:left="0" w:right="0" w:firstLine="1134"/>
        <w:jc w:val="both"/>
        <w:rPr/>
      </w:pPr>
      <w:r>
        <w:rPr/>
        <w:t>Sunt declaraţi admişi  la proba scrisă, proba practică şi la interviu candidaţii care au obţinut minim 50 de puncte din maximul de 100 de puncte.</w:t>
      </w:r>
    </w:p>
    <w:p>
      <w:pPr>
        <w:pStyle w:val="Normal"/>
        <w:autoSpaceDE w:val="false"/>
        <w:ind w:left="0" w:right="0" w:firstLine="1134"/>
        <w:jc w:val="both"/>
        <w:rPr/>
      </w:pPr>
      <w:r>
        <w:rPr/>
        <w:t>Punctajul final se calculează ca medie aritmetică a punctajelor obţinute la proba scrisă, proba practică şi proba interviu.</w:t>
      </w:r>
    </w:p>
    <w:p>
      <w:pPr>
        <w:pStyle w:val="Normal"/>
        <w:autoSpaceDE w:val="false"/>
        <w:ind w:left="0" w:right="0" w:firstLine="1134"/>
        <w:jc w:val="both"/>
        <w:rPr/>
      </w:pPr>
      <w:r>
        <w:rPr/>
      </w:r>
    </w:p>
    <w:p>
      <w:pPr>
        <w:pStyle w:val="Normal"/>
        <w:autoSpaceDE w:val="false"/>
        <w:ind w:left="0" w:right="0" w:hanging="0"/>
        <w:jc w:val="both"/>
        <w:rPr/>
      </w:pPr>
      <w:r>
        <w:rPr/>
        <w:tab/>
        <w:t xml:space="preserve">După afişarea rezultatelor obţinute la selecţia dosarelor, proba scrisă, respectiv interviu, candidaţii nemulţumiţi pot depune contestaţie în termen de  cel mult o zi lucrătoare de la data afişării rezultatului selecţiei dosarelor, respectiv de la data afişării rezultatului probei scrise şi a interviului, sub sancţiunea decăderii din acest drept. </w:t>
      </w:r>
    </w:p>
    <w:p>
      <w:pPr>
        <w:pStyle w:val="Normal"/>
        <w:autoSpaceDE w:val="false"/>
        <w:ind w:left="0" w:right="0" w:hanging="0"/>
        <w:jc w:val="both"/>
        <w:rPr/>
      </w:pPr>
      <w:r>
        <w:rPr>
          <w:sz w:val="24"/>
          <w:szCs w:val="24"/>
          <w:lang w:val="ro-RO"/>
        </w:rPr>
        <w:tab/>
        <w:t>Comunicarea rezultatelor se face prin afişare la sediul Colegiului Tehnic „Constantin Brâncuşi” Petrila, str. Republicii, nr. 196, precum şi pe pagina de internet.</w:t>
      </w:r>
    </w:p>
    <w:p>
      <w:pPr>
        <w:pStyle w:val="Normal"/>
        <w:jc w:val="both"/>
        <w:rPr/>
      </w:pPr>
      <w:r>
        <w:rPr/>
      </w:r>
    </w:p>
    <w:p>
      <w:pPr>
        <w:pStyle w:val="Normal"/>
        <w:jc w:val="both"/>
        <w:rPr/>
      </w:pPr>
      <w:r>
        <w:rPr>
          <w:b/>
          <w:bCs/>
          <w:sz w:val="24"/>
          <w:szCs w:val="24"/>
          <w:lang w:val="ro-RO"/>
        </w:rPr>
        <w:t xml:space="preserve">E. </w:t>
      </w:r>
      <w:r>
        <w:rPr>
          <w:b/>
          <w:bCs/>
          <w:sz w:val="24"/>
          <w:szCs w:val="24"/>
          <w:lang w:val="ro-RO"/>
        </w:rPr>
        <w:t>Dosarul de concurs</w:t>
      </w:r>
      <w:r>
        <w:rPr>
          <w:sz w:val="24"/>
          <w:szCs w:val="24"/>
          <w:lang w:val="ro-RO"/>
        </w:rPr>
        <w:t xml:space="preserve"> va conține urmăroarele elemente: </w:t>
      </w:r>
    </w:p>
    <w:p>
      <w:pPr>
        <w:pStyle w:val="Normal"/>
        <w:jc w:val="both"/>
        <w:rPr/>
      </w:pPr>
      <w:r>
        <w:rPr>
          <w:b/>
          <w:bCs/>
          <w:sz w:val="24"/>
          <w:szCs w:val="24"/>
          <w:lang w:val="ro-RO"/>
        </w:rPr>
        <w:t xml:space="preserve">a) </w:t>
      </w:r>
      <w:r>
        <w:rPr>
          <w:sz w:val="24"/>
          <w:szCs w:val="24"/>
          <w:lang w:val="ro-RO"/>
        </w:rPr>
        <w:t>cerere de înscriere la concurs adresată conducătorului instituţiei publice organizatoare;</w:t>
      </w:r>
    </w:p>
    <w:p>
      <w:pPr>
        <w:pStyle w:val="Normal"/>
        <w:jc w:val="both"/>
        <w:rPr/>
      </w:pPr>
      <w:r>
        <w:rPr>
          <w:b/>
          <w:sz w:val="24"/>
          <w:szCs w:val="24"/>
          <w:lang w:val="ro-RO"/>
        </w:rPr>
        <w:t>b)</w:t>
      </w:r>
      <w:r>
        <w:rPr>
          <w:sz w:val="24"/>
          <w:szCs w:val="24"/>
          <w:lang w:val="ro-RO"/>
        </w:rPr>
        <w:t xml:space="preserve"> copia actului de identitate sau orice alt document care atestă identitatea, potrivit legii, după caz;</w:t>
      </w:r>
    </w:p>
    <w:p>
      <w:pPr>
        <w:pStyle w:val="Normal"/>
        <w:jc w:val="both"/>
        <w:rPr/>
      </w:pPr>
      <w:r>
        <w:rPr>
          <w:b/>
          <w:color w:val="000000"/>
          <w:sz w:val="24"/>
          <w:szCs w:val="24"/>
          <w:lang w:val="ro-RO"/>
        </w:rPr>
        <w:t>c)</w:t>
      </w:r>
      <w:r>
        <w:rPr>
          <w:color w:val="000000"/>
          <w:sz w:val="24"/>
          <w:szCs w:val="24"/>
          <w:lang w:val="ro-RO"/>
        </w:rPr>
        <w:t xml:space="preserve"> copiile documentelor care să ateste nivelul studiilor şi ale altor acte care atestă efectuarea unor specializări, precum şi copiile documentelor care atestă îndeplinirea condiţiilor specifice ale postului solicitate de instituţia publică;</w:t>
      </w:r>
    </w:p>
    <w:p>
      <w:pPr>
        <w:pStyle w:val="Normal"/>
        <w:jc w:val="both"/>
        <w:rPr/>
      </w:pPr>
      <w:r>
        <w:rPr>
          <w:b/>
          <w:color w:val="000000"/>
          <w:sz w:val="24"/>
          <w:szCs w:val="24"/>
          <w:lang w:val="ro-RO"/>
        </w:rPr>
        <w:t>d)</w:t>
      </w:r>
      <w:r>
        <w:rPr>
          <w:color w:val="000000"/>
          <w:sz w:val="24"/>
          <w:szCs w:val="24"/>
          <w:lang w:val="ro-RO"/>
        </w:rPr>
        <w:t xml:space="preserve"> carnetul de muncă sau, după caz, adeverinţele care atestă vechimea în muncă, în meserie şi/sau în specialitatea studiilor, în copie;</w:t>
      </w:r>
    </w:p>
    <w:p>
      <w:pPr>
        <w:pStyle w:val="Normal"/>
        <w:jc w:val="both"/>
        <w:rPr/>
      </w:pPr>
      <w:r>
        <w:rPr>
          <w:b/>
          <w:sz w:val="24"/>
          <w:szCs w:val="24"/>
        </w:rPr>
        <w:t>e)</w:t>
      </w:r>
      <w:r>
        <w:rPr>
          <w:sz w:val="24"/>
          <w:szCs w:val="24"/>
        </w:rPr>
        <w:t xml:space="preserve"> cazierul judiciar sau o declaraţie pe propria răspundere că nu are antecedente penale care să-l facă incompatibil cu funcţia pentru care candidează. </w:t>
      </w:r>
      <w:r>
        <w:rPr>
          <w:sz w:val="24"/>
          <w:szCs w:val="24"/>
          <w:lang w:val="ro-RO"/>
        </w:rPr>
        <w:t>C</w:t>
      </w:r>
      <w:r>
        <w:rPr>
          <w:sz w:val="24"/>
          <w:szCs w:val="24"/>
        </w:rPr>
        <w:t xml:space="preserve">andidatul declarat admis la selecţia dosarelor, care a depus la înscriere o declaraţie pe propria răspundere că nu are antecedente penale, are obligaţia de a completa dosarul de concurs cu originalul cazierului judiciar, cel mai târziu până la data desfăşurării primei probe a concursului;                                                             </w:t>
        <w:br/>
      </w:r>
      <w:r>
        <w:rPr>
          <w:b/>
          <w:sz w:val="24"/>
          <w:szCs w:val="24"/>
        </w:rPr>
        <w:t>f)</w:t>
      </w:r>
      <w:r>
        <w:rPr>
          <w:sz w:val="24"/>
          <w:szCs w:val="24"/>
        </w:rPr>
        <w:t xml:space="preserve"> adeverinţă medicală care să ateste starea de sănătate corespunzătoare eliberată cu cel mult 6 luni anterior derulării concursului de către medicul de familie al candidatului sau de către unităţile sanitare abilitate; Adeverinţa care atestă starea de sănătate conţine, în clar, numărul, data, numele emitentului şi calitatea acestuia, în formatul standard stabilit de Ministerul Sănătăţii.                                                                                                              </w:t>
        <w:br/>
      </w:r>
      <w:r>
        <w:rPr>
          <w:b/>
          <w:sz w:val="24"/>
          <w:szCs w:val="24"/>
        </w:rPr>
        <w:t>g)</w:t>
      </w:r>
      <w:r>
        <w:rPr>
          <w:sz w:val="24"/>
          <w:szCs w:val="24"/>
        </w:rPr>
        <w:t xml:space="preserve"> curriculum vitae;</w:t>
      </w:r>
    </w:p>
    <w:p>
      <w:pPr>
        <w:pStyle w:val="Normal"/>
        <w:spacing w:lineRule="atLeast" w:line="100" w:before="0" w:after="0"/>
        <w:jc w:val="both"/>
        <w:rPr/>
      </w:pPr>
      <w:r>
        <w:rPr>
          <w:b/>
          <w:i w:val="false"/>
          <w:iCs w:val="false"/>
          <w:color w:val="000000"/>
          <w:sz w:val="24"/>
          <w:szCs w:val="24"/>
        </w:rPr>
        <w:t>h)</w:t>
      </w:r>
      <w:r>
        <w:rPr>
          <w:i w:val="false"/>
          <w:iCs w:val="false"/>
          <w:color w:val="000000"/>
          <w:sz w:val="24"/>
          <w:szCs w:val="24"/>
        </w:rPr>
        <w:t xml:space="preserve"> alte documente relevante pentru desfăşurarea concursului</w:t>
      </w:r>
    </w:p>
    <w:p>
      <w:pPr>
        <w:pStyle w:val="Normal"/>
        <w:spacing w:lineRule="atLeast" w:line="100" w:before="0" w:after="0"/>
        <w:jc w:val="both"/>
        <w:rPr/>
      </w:pPr>
      <w:r>
        <w:rPr>
          <w:b/>
          <w:bCs/>
          <w:i w:val="false"/>
          <w:iCs w:val="false"/>
          <w:color w:val="000000"/>
          <w:sz w:val="24"/>
          <w:szCs w:val="24"/>
          <w:lang w:val="ro-RO"/>
        </w:rPr>
        <w:t>i</w:t>
      </w:r>
      <w:r>
        <w:rPr>
          <w:b/>
          <w:bCs/>
          <w:i w:val="false"/>
          <w:iCs w:val="false"/>
          <w:color w:val="000000"/>
          <w:sz w:val="24"/>
          <w:szCs w:val="24"/>
        </w:rPr>
        <w:t xml:space="preserve">) </w:t>
      </w:r>
      <w:r>
        <w:rPr>
          <w:b w:val="false"/>
          <w:bCs w:val="false"/>
          <w:i w:val="false"/>
          <w:iCs w:val="false"/>
          <w:color w:val="000000"/>
          <w:sz w:val="24"/>
          <w:szCs w:val="24"/>
          <w:lang w:val="ro-RO"/>
        </w:rPr>
        <w:t>o</w:t>
      </w:r>
      <w:r>
        <w:rPr>
          <w:rFonts w:eastAsia="Times New Roman"/>
          <w:b w:val="false"/>
          <w:bCs w:val="false"/>
          <w:i w:val="false"/>
          <w:iCs w:val="false"/>
          <w:color w:val="000000"/>
          <w:sz w:val="24"/>
          <w:szCs w:val="24"/>
          <w:lang w:val="ro-RO" w:eastAsia="ro-RO"/>
        </w:rPr>
        <w:t>pisul dosarului în dublu exemplar, un exemplar se restituie candidatului cu număr de înregistrare.</w:t>
      </w:r>
    </w:p>
    <w:p>
      <w:pPr>
        <w:pStyle w:val="Normal"/>
        <w:spacing w:lineRule="atLeast" w:line="100" w:before="0" w:after="0"/>
        <w:jc w:val="both"/>
        <w:rPr/>
      </w:pPr>
      <w:r>
        <w:rPr>
          <w:color w:val="000000"/>
          <w:sz w:val="24"/>
          <w:szCs w:val="24"/>
        </w:rPr>
        <w:t xml:space="preserve">Actele prevăzute la lit. b) </w:t>
      </w:r>
      <w:r>
        <w:rPr>
          <w:color w:val="000000"/>
          <w:sz w:val="24"/>
          <w:szCs w:val="24"/>
          <w:lang w:val="ro-RO"/>
        </w:rPr>
        <w:t>- d</w:t>
      </w:r>
      <w:r>
        <w:rPr>
          <w:color w:val="000000"/>
          <w:sz w:val="24"/>
          <w:szCs w:val="24"/>
        </w:rPr>
        <w:t xml:space="preserve">) şi </w:t>
      </w:r>
      <w:r>
        <w:rPr>
          <w:color w:val="000000"/>
          <w:sz w:val="24"/>
          <w:szCs w:val="24"/>
          <w:lang w:val="ro-RO"/>
        </w:rPr>
        <w:t>h</w:t>
      </w:r>
      <w:r>
        <w:rPr>
          <w:color w:val="000000"/>
          <w:sz w:val="24"/>
          <w:szCs w:val="24"/>
        </w:rPr>
        <w:t>) vor fi prezentate şi în original în vederea verificării conformităţii copiilor cu acestea.</w:t>
      </w:r>
    </w:p>
    <w:p>
      <w:pPr>
        <w:pStyle w:val="Textbody"/>
        <w:spacing w:lineRule="atLeast" w:line="100" w:before="0" w:after="0"/>
        <w:jc w:val="both"/>
        <w:rPr/>
      </w:pPr>
      <w:r>
        <w:rPr/>
      </w:r>
    </w:p>
    <w:p>
      <w:pPr>
        <w:pStyle w:val="Normal"/>
        <w:numPr>
          <w:ilvl w:val="0"/>
          <w:numId w:val="2"/>
        </w:numPr>
        <w:spacing w:lineRule="atLeast" w:line="100" w:before="0" w:after="0"/>
        <w:ind w:left="0" w:right="0" w:hanging="0"/>
        <w:jc w:val="both"/>
        <w:rPr/>
      </w:pPr>
      <w:r>
        <w:rPr>
          <w:b w:val="false"/>
          <w:bCs w:val="false"/>
          <w:sz w:val="24"/>
          <w:szCs w:val="24"/>
          <w:lang w:val="ro-RO"/>
        </w:rPr>
        <w:t>Dosarele de înscriere la concurs se pot depune în perioada 23.05.2017 – 08.06.2017 (de luni până joi între orele 10</w:t>
      </w:r>
      <w:r>
        <w:rPr>
          <w:b w:val="false"/>
          <w:bCs w:val="false"/>
          <w:sz w:val="24"/>
          <w:szCs w:val="24"/>
          <w:vertAlign w:val="superscript"/>
          <w:lang w:val="ro-RO"/>
        </w:rPr>
        <w:t xml:space="preserve">00 </w:t>
      </w:r>
      <w:r>
        <w:rPr>
          <w:b w:val="false"/>
          <w:bCs w:val="false"/>
          <w:sz w:val="24"/>
          <w:szCs w:val="24"/>
          <w:lang w:val="ro-RO"/>
        </w:rPr>
        <w:t>- 14</w:t>
      </w:r>
      <w:r>
        <w:rPr>
          <w:b w:val="false"/>
          <w:bCs w:val="false"/>
          <w:sz w:val="24"/>
          <w:szCs w:val="24"/>
          <w:vertAlign w:val="superscript"/>
          <w:lang w:val="ro-RO"/>
        </w:rPr>
        <w:t>00</w:t>
      </w:r>
      <w:r>
        <w:rPr>
          <w:b w:val="false"/>
          <w:bCs w:val="false"/>
          <w:sz w:val="24"/>
          <w:szCs w:val="24"/>
          <w:lang w:val="ro-RO"/>
        </w:rPr>
        <w:t xml:space="preserve"> şi vineri între orele 10</w:t>
      </w:r>
      <w:r>
        <w:rPr>
          <w:b w:val="false"/>
          <w:bCs w:val="false"/>
          <w:sz w:val="24"/>
          <w:szCs w:val="24"/>
          <w:vertAlign w:val="superscript"/>
          <w:lang w:val="ro-RO"/>
        </w:rPr>
        <w:t xml:space="preserve">00 </w:t>
      </w:r>
      <w:r>
        <w:rPr>
          <w:b w:val="false"/>
          <w:bCs w:val="false"/>
          <w:sz w:val="24"/>
          <w:szCs w:val="24"/>
          <w:lang w:val="ro-RO"/>
        </w:rPr>
        <w:t>- 12</w:t>
      </w:r>
      <w:r>
        <w:rPr>
          <w:b w:val="false"/>
          <w:bCs w:val="false"/>
          <w:sz w:val="24"/>
          <w:szCs w:val="24"/>
          <w:vertAlign w:val="superscript"/>
          <w:lang w:val="ro-RO"/>
        </w:rPr>
        <w:t>00</w:t>
      </w:r>
      <w:r>
        <w:rPr>
          <w:b w:val="false"/>
          <w:bCs w:val="false"/>
          <w:sz w:val="24"/>
          <w:szCs w:val="24"/>
          <w:lang w:val="ro-RO"/>
        </w:rPr>
        <w:t xml:space="preserve">) la secretariatul fostei Şcoli „Ana Colda” Petrila, str. Republicii, nr. 293. </w:t>
      </w:r>
    </w:p>
    <w:p>
      <w:pPr>
        <w:pStyle w:val="Normal"/>
        <w:numPr>
          <w:ilvl w:val="0"/>
          <w:numId w:val="2"/>
        </w:numPr>
        <w:spacing w:lineRule="atLeast" w:line="100" w:before="0" w:after="0"/>
        <w:ind w:left="0" w:right="0" w:hanging="0"/>
        <w:jc w:val="both"/>
        <w:rPr/>
      </w:pPr>
      <w:r>
        <w:rPr>
          <w:b w:val="false"/>
          <w:bCs w:val="false"/>
          <w:sz w:val="24"/>
          <w:szCs w:val="24"/>
          <w:lang w:val="ro-RO"/>
        </w:rPr>
        <w:t>Persoană de contact Şerban Angela, telefon 0254514110 şi 0785216188.</w:t>
      </w:r>
    </w:p>
    <w:p>
      <w:pPr>
        <w:pStyle w:val="Normal"/>
        <w:numPr>
          <w:ilvl w:val="0"/>
          <w:numId w:val="0"/>
        </w:numPr>
        <w:spacing w:lineRule="atLeast" w:line="100" w:before="0" w:after="0"/>
        <w:ind w:left="1440" w:right="0" w:hanging="0"/>
        <w:jc w:val="both"/>
        <w:rPr>
          <w:b w:val="false"/>
          <w:b w:val="false"/>
          <w:bCs w:val="false"/>
          <w:sz w:val="24"/>
          <w:szCs w:val="24"/>
          <w:lang w:val="ro-RO"/>
        </w:rPr>
      </w:pPr>
      <w:r>
        <w:rPr/>
      </w:r>
    </w:p>
    <w:p>
      <w:pPr>
        <w:pStyle w:val="Normal"/>
        <w:numPr>
          <w:ilvl w:val="0"/>
          <w:numId w:val="0"/>
        </w:numPr>
        <w:spacing w:lineRule="atLeast" w:line="100" w:before="0" w:after="0"/>
        <w:ind w:left="1440" w:right="0" w:hanging="0"/>
        <w:jc w:val="both"/>
        <w:rPr/>
      </w:pPr>
      <w:r>
        <w:rPr>
          <w:b/>
          <w:u w:val="single"/>
        </w:rPr>
        <w:t xml:space="preserve">F. </w:t>
      </w:r>
      <w:r>
        <w:rPr>
          <w:b/>
          <w:u w:val="single"/>
        </w:rPr>
        <w:t xml:space="preserve">TEMATICA </w:t>
      </w:r>
    </w:p>
    <w:p>
      <w:pPr>
        <w:pStyle w:val="NoSpacing"/>
        <w:spacing w:lineRule="atLeast" w:line="115" w:before="0" w:after="0"/>
        <w:jc w:val="both"/>
        <w:rPr/>
      </w:pPr>
      <w:r>
        <w:rPr/>
        <w:t>1. Finanţarea şi patrimoniul institutiilor de invatamant preuniversitar;</w:t>
      </w:r>
    </w:p>
    <w:p>
      <w:pPr>
        <w:pStyle w:val="NoSpacing"/>
        <w:spacing w:lineRule="atLeast" w:line="115" w:before="0" w:after="0"/>
        <w:jc w:val="both"/>
        <w:rPr/>
      </w:pPr>
      <w:r>
        <w:rPr/>
        <w:t>2. Structura bugetului în instituţia publică;</w:t>
      </w:r>
    </w:p>
    <w:p>
      <w:pPr>
        <w:pStyle w:val="NoSpacing"/>
        <w:spacing w:lineRule="atLeast" w:line="115" w:before="0" w:after="0"/>
        <w:jc w:val="both"/>
        <w:rPr>
          <w:lang w:val="ro-RO"/>
        </w:rPr>
      </w:pPr>
      <w:r>
        <w:rPr>
          <w:lang w:val="ro-RO"/>
        </w:rPr>
        <w:t>3. Execuția bugetară - principii;</w:t>
      </w:r>
    </w:p>
    <w:p>
      <w:pPr>
        <w:pStyle w:val="NoSpacing"/>
        <w:spacing w:lineRule="atLeast" w:line="115" w:before="0" w:after="0"/>
        <w:jc w:val="both"/>
        <w:rPr/>
      </w:pPr>
      <w:r>
        <w:rPr>
          <w:lang w:val="ro-RO"/>
        </w:rPr>
        <w:t>4</w:t>
      </w:r>
      <w:r>
        <w:rPr/>
        <w:t xml:space="preserve">. Contabilitatea trezoreriei instituţiilor publice; </w:t>
      </w:r>
    </w:p>
    <w:p>
      <w:pPr>
        <w:pStyle w:val="NoSpacing"/>
        <w:spacing w:lineRule="atLeast" w:line="115" w:before="0" w:after="0"/>
        <w:jc w:val="both"/>
        <w:rPr/>
      </w:pPr>
      <w:r>
        <w:rPr>
          <w:lang w:val="ro-RO"/>
        </w:rPr>
        <w:t>5</w:t>
      </w:r>
      <w:r>
        <w:rPr/>
        <w:t xml:space="preserve">. </w:t>
      </w:r>
      <w:r>
        <w:rPr>
          <w:lang w:val="ro-RO"/>
        </w:rPr>
        <w:t xml:space="preserve">Achiziții publice, </w:t>
      </w:r>
      <w:r>
        <w:rPr>
          <w:b w:val="false"/>
          <w:bCs w:val="false"/>
          <w:lang w:val="ro-RO"/>
        </w:rPr>
        <w:t>Sistemul electronic de achiziții publice – SEAP;</w:t>
      </w:r>
    </w:p>
    <w:p>
      <w:pPr>
        <w:pStyle w:val="NoSpacing"/>
        <w:spacing w:lineRule="atLeast" w:line="115" w:before="0" w:after="0"/>
        <w:jc w:val="both"/>
        <w:rPr/>
      </w:pPr>
      <w:r>
        <w:rPr>
          <w:lang w:val="ro-RO"/>
        </w:rPr>
        <w:t>6</w:t>
      </w:r>
      <w:r>
        <w:rPr/>
        <w:t xml:space="preserve">. Registre de contabilitate; </w:t>
      </w:r>
    </w:p>
    <w:p>
      <w:pPr>
        <w:pStyle w:val="NoSpacing"/>
        <w:spacing w:lineRule="atLeast" w:line="115" w:before="0" w:after="0"/>
        <w:jc w:val="both"/>
        <w:rPr/>
      </w:pPr>
      <w:r>
        <w:rPr>
          <w:lang w:val="ro-RO"/>
        </w:rPr>
        <w:t>7</w:t>
      </w:r>
      <w:r>
        <w:rPr/>
        <w:t>. Elemente privind aprobarea, depunerea şi componenţa situaţiilor financiare conform Normelor metodologice privind organizarea şi conducerea contabilităţii instituţiilor publice şi a planului de conturi pentru acestea;</w:t>
      </w:r>
    </w:p>
    <w:p>
      <w:pPr>
        <w:pStyle w:val="NoSpacing"/>
        <w:spacing w:lineRule="atLeast" w:line="115" w:before="0" w:after="0"/>
        <w:jc w:val="both"/>
        <w:rPr/>
      </w:pPr>
      <w:r>
        <w:rPr>
          <w:lang w:val="ro-RO"/>
        </w:rPr>
        <w:t>8</w:t>
      </w:r>
      <w:r>
        <w:rPr/>
        <w:t>. Documente supuse controlului preventiv privind bunurile din patrimoniul instituţiilor publice;</w:t>
      </w:r>
    </w:p>
    <w:p>
      <w:pPr>
        <w:pStyle w:val="NoSpacing"/>
        <w:spacing w:lineRule="atLeast" w:line="115" w:before="0" w:after="0"/>
        <w:jc w:val="both"/>
        <w:rPr/>
      </w:pPr>
      <w:r>
        <w:rPr>
          <w:lang w:val="ro-RO"/>
        </w:rPr>
        <w:t>9</w:t>
      </w:r>
      <w:r>
        <w:rPr/>
        <w:t>. Elementele sistemului de salarizare, conform Legii privind salarizarea unitară a personalului platit din fonduri publice;</w:t>
      </w:r>
    </w:p>
    <w:p>
      <w:pPr>
        <w:pStyle w:val="NoSpacing"/>
        <w:spacing w:lineRule="atLeast" w:line="115" w:before="0" w:after="0"/>
        <w:jc w:val="both"/>
        <w:rPr/>
      </w:pPr>
      <w:r>
        <w:rPr/>
        <w:t xml:space="preserve">10. </w:t>
      </w:r>
      <w:r>
        <w:rPr>
          <w:lang w:val="ro-RO"/>
        </w:rPr>
        <w:t>Angajarea lichidarea ordonantarea si plata cheltuielilor institutiilor</w:t>
      </w:r>
      <w:r>
        <w:rPr/>
        <w:t xml:space="preserve">; </w:t>
      </w:r>
    </w:p>
    <w:p>
      <w:pPr>
        <w:pStyle w:val="NoSpacing"/>
        <w:spacing w:lineRule="atLeast" w:line="115" w:before="0" w:after="0"/>
        <w:jc w:val="both"/>
        <w:rPr/>
      </w:pPr>
      <w:r>
        <w:rPr/>
        <w:t>1</w:t>
      </w:r>
      <w:r>
        <w:rPr>
          <w:lang w:val="ro-RO"/>
        </w:rPr>
        <w:t>1</w:t>
      </w:r>
      <w:r>
        <w:rPr/>
        <w:t>. Organizarea si efectuarea inventarierii elementelor de natura activelor, datoriilor si capitalurilor proprii, disponibilităţilor băneşti;</w:t>
      </w:r>
    </w:p>
    <w:p>
      <w:pPr>
        <w:pStyle w:val="NoSpacing"/>
        <w:spacing w:lineRule="atLeast" w:line="115" w:before="0" w:after="0"/>
        <w:jc w:val="both"/>
        <w:rPr/>
      </w:pPr>
      <w:r>
        <w:rPr>
          <w:lang w:val="ro-RO"/>
        </w:rPr>
        <w:t>12. Programe sociale: burse sociale, sprijin financiar „Bani de liceu”, „Bursa profesională”, naveta elevi, criterii de acordare, plată</w:t>
      </w:r>
      <w:r>
        <w:rPr>
          <w:lang w:val="en-US"/>
        </w:rPr>
        <w:t>;</w:t>
      </w:r>
    </w:p>
    <w:p>
      <w:pPr>
        <w:pStyle w:val="NoSpacing"/>
        <w:spacing w:lineRule="atLeast" w:line="115" w:before="0" w:after="0"/>
        <w:jc w:val="both"/>
        <w:rPr>
          <w:lang w:val="ro-RO"/>
        </w:rPr>
      </w:pPr>
      <w:r>
        <w:rPr>
          <w:lang w:val="ro-RO"/>
        </w:rPr>
        <w:t>13. Conditii pentru angajarea gestionarilor. Raspunderi;</w:t>
      </w:r>
    </w:p>
    <w:p>
      <w:pPr>
        <w:pStyle w:val="NoSpacing"/>
        <w:spacing w:lineRule="atLeast" w:line="115" w:before="0" w:after="0"/>
        <w:jc w:val="both"/>
        <w:rPr/>
      </w:pPr>
      <w:r>
        <w:rPr/>
        <w:t>1</w:t>
      </w:r>
      <w:r>
        <w:rPr>
          <w:lang w:val="ro-RO"/>
        </w:rPr>
        <w:t>4</w:t>
      </w:r>
      <w:r>
        <w:rPr/>
        <w:t xml:space="preserve">. Utilizare aplicaţii informatice Noţiuni avansate în utilizarea PC şi aplicaţii specifice domeniului finaciar-contabil la nivel de instituţii publice, </w:t>
      </w:r>
    </w:p>
    <w:p>
      <w:pPr>
        <w:pStyle w:val="NoSpacing"/>
        <w:spacing w:lineRule="atLeast" w:line="115" w:before="0" w:after="0"/>
        <w:jc w:val="both"/>
        <w:rPr/>
      </w:pPr>
      <w:r>
        <w:rPr>
          <w:lang w:val="ro-RO"/>
        </w:rPr>
        <w:t>15. D</w:t>
      </w:r>
      <w:r>
        <w:rPr>
          <w:rFonts w:cs="Times New Roman" w:ascii="Times New Roman" w:hAnsi="Times New Roman"/>
          <w:sz w:val="24"/>
          <w:szCs w:val="24"/>
          <w:lang w:val="ro-RO"/>
        </w:rPr>
        <w:t>repturile şi obligaţiile personalului autorităţilor şi instituţiilor publice pe perioada delegării şi detaşării în altă localitate, precum şi în cazul deplasării, în cadrul localităţii, în interesul serviciului;</w:t>
      </w:r>
    </w:p>
    <w:p>
      <w:pPr>
        <w:pStyle w:val="NoSpacing"/>
        <w:spacing w:lineRule="atLeast" w:line="115" w:before="0" w:after="0"/>
        <w:jc w:val="both"/>
        <w:rPr/>
      </w:pPr>
      <w:r>
        <w:rPr>
          <w:b w:val="false"/>
          <w:bCs w:val="false"/>
          <w:lang w:val="ro-RO"/>
        </w:rPr>
        <w:t xml:space="preserve">16. </w:t>
      </w:r>
      <w:r>
        <w:rPr>
          <w:rFonts w:cs="TimesNewRomanPSMT" w:ascii="TimesNewRomanPSMT" w:hAnsi="TimesNewRomanPSMT"/>
          <w:b w:val="false"/>
          <w:bCs w:val="false"/>
          <w:color w:val="000000"/>
          <w:sz w:val="24"/>
          <w:szCs w:val="24"/>
          <w:lang w:val="ro-RO"/>
        </w:rPr>
        <w:t>Respectarea normelor, procedurilor de sănătate şi securitate a muncii, de PSI şi ISU pentru toate tipurile de activităţi desfăşurate în cadrul unităţii de învăţământ.</w:t>
      </w:r>
    </w:p>
    <w:p>
      <w:pPr>
        <w:pStyle w:val="Normal"/>
        <w:rPr/>
      </w:pPr>
      <w:r>
        <w:rPr/>
      </w:r>
    </w:p>
    <w:p>
      <w:pPr>
        <w:pStyle w:val="Normal"/>
        <w:spacing w:before="0" w:after="0"/>
        <w:contextualSpacing/>
        <w:jc w:val="both"/>
        <w:rPr>
          <w:b/>
          <w:b/>
          <w:bCs/>
        </w:rPr>
      </w:pPr>
      <w:r>
        <w:rPr>
          <w:rFonts w:cs="Times New Roman" w:ascii="Times New Roman" w:hAnsi="Times New Roman"/>
          <w:b/>
          <w:bCs/>
          <w:sz w:val="24"/>
          <w:szCs w:val="24"/>
          <w:lang w:val="ro-RO"/>
        </w:rPr>
        <w:t xml:space="preserve">G. </w:t>
      </w:r>
      <w:r>
        <w:rPr>
          <w:rFonts w:cs="Times New Roman" w:ascii="Times New Roman" w:hAnsi="Times New Roman"/>
          <w:b/>
          <w:bCs/>
          <w:sz w:val="24"/>
          <w:szCs w:val="24"/>
          <w:lang w:val="ro-RO"/>
        </w:rPr>
        <w:t>Bibliografie</w:t>
      </w:r>
    </w:p>
    <w:p>
      <w:pPr>
        <w:pStyle w:val="Normal"/>
        <w:spacing w:before="0" w:after="0"/>
        <w:contextualSpacing/>
        <w:jc w:val="both"/>
        <w:rPr>
          <w:rFonts w:ascii="Times New Roman" w:hAnsi="Times New Roman" w:cs="Times New Roman"/>
          <w:sz w:val="24"/>
          <w:szCs w:val="24"/>
          <w:lang w:val="ro-RO"/>
        </w:rPr>
      </w:pPr>
      <w:r>
        <w:rPr>
          <w:rFonts w:cs="Times New Roman" w:ascii="Times New Roman" w:hAnsi="Times New Roman"/>
          <w:sz w:val="24"/>
          <w:szCs w:val="24"/>
          <w:lang w:val="ro-RO"/>
        </w:rPr>
        <w:t>- Legea nr. 82/ 24.12.1991 contabilităţii - republicată și actualizată;</w:t>
      </w:r>
    </w:p>
    <w:p>
      <w:pPr>
        <w:pStyle w:val="Normal"/>
        <w:spacing w:before="0" w:after="0"/>
        <w:contextualSpacing/>
        <w:jc w:val="both"/>
        <w:rPr/>
      </w:pPr>
      <w:r>
        <w:rPr>
          <w:rFonts w:cs="Times New Roman" w:ascii="Times New Roman" w:hAnsi="Times New Roman"/>
          <w:sz w:val="24"/>
          <w:szCs w:val="24"/>
          <w:lang w:val="ro-RO"/>
        </w:rPr>
        <w:t>- Legea 1/</w:t>
      </w:r>
      <w:r>
        <w:rPr>
          <w:rFonts w:cs="Times New Roman" w:ascii="Times New Roman" w:hAnsi="Times New Roman"/>
          <w:sz w:val="24"/>
          <w:szCs w:val="24"/>
          <w:lang w:val="en-US"/>
        </w:rPr>
        <w:t>10.01.</w:t>
      </w:r>
      <w:r>
        <w:rPr>
          <w:rFonts w:cs="Times New Roman" w:ascii="Times New Roman" w:hAnsi="Times New Roman"/>
          <w:sz w:val="24"/>
          <w:szCs w:val="24"/>
          <w:lang w:val="ro-RO"/>
        </w:rPr>
        <w:t xml:space="preserve">2011 Educaţiei Naţionale, - republicată cu modificările si completările ulterioare, </w:t>
      </w:r>
      <w:r>
        <w:rPr>
          <w:rFonts w:eastAsia="Times New Roman" w:cs="Times New Roman" w:ascii="Times New Roman" w:hAnsi="Times New Roman"/>
          <w:color w:val="000000"/>
          <w:sz w:val="24"/>
          <w:szCs w:val="24"/>
          <w:lang w:eastAsia="ro-RO"/>
        </w:rPr>
        <w:t>TITLUL II Învăţământul preuniversitar</w:t>
      </w:r>
      <w:r>
        <w:rPr>
          <w:rFonts w:eastAsia="Times New Roman" w:cs="Times New Roman" w:ascii="Times New Roman" w:hAnsi="Times New Roman"/>
          <w:color w:val="000000"/>
          <w:sz w:val="24"/>
          <w:szCs w:val="24"/>
          <w:lang w:val="ro-RO" w:eastAsia="ro-RO"/>
        </w:rPr>
        <w:t>, CAP VIII – Finanţarea şi baza materială a învăţământului preuniversitar;</w:t>
      </w:r>
    </w:p>
    <w:p>
      <w:pPr>
        <w:pStyle w:val="Normal"/>
        <w:spacing w:before="0" w:after="0"/>
        <w:contextualSpacing/>
        <w:jc w:val="both"/>
        <w:rPr>
          <w:rFonts w:ascii="Times New Roman" w:hAnsi="Times New Roman" w:cs="Times New Roman"/>
          <w:sz w:val="24"/>
          <w:szCs w:val="24"/>
          <w:lang w:val="ro-RO"/>
        </w:rPr>
      </w:pPr>
      <w:r>
        <w:rPr>
          <w:rFonts w:cs="Times New Roman" w:ascii="Times New Roman" w:hAnsi="Times New Roman"/>
          <w:sz w:val="24"/>
          <w:szCs w:val="24"/>
          <w:lang w:val="ro-RO"/>
        </w:rPr>
        <w:t>- Legea nr. 53/2003 Codul Muncii - republicat, cu modificările şi completările ulterioare;</w:t>
      </w:r>
    </w:p>
    <w:p>
      <w:pPr>
        <w:pStyle w:val="Normal"/>
        <w:spacing w:before="0" w:after="0"/>
        <w:contextualSpacing/>
        <w:jc w:val="both"/>
        <w:rPr/>
      </w:pPr>
      <w:r>
        <w:rPr>
          <w:rFonts w:cs="Times New Roman" w:ascii="Times New Roman" w:hAnsi="Times New Roman"/>
          <w:sz w:val="24"/>
          <w:szCs w:val="24"/>
          <w:lang w:val="ro-RO"/>
        </w:rPr>
        <w:t xml:space="preserve">- Legea nr. 227/08.09.2015 </w:t>
      </w:r>
      <w:r>
        <w:rPr>
          <w:rFonts w:cs="Times New Roman" w:ascii="Times New Roman" w:hAnsi="Times New Roman"/>
          <w:b w:val="false"/>
          <w:bCs w:val="false"/>
          <w:sz w:val="24"/>
          <w:szCs w:val="24"/>
        </w:rPr>
        <w:t xml:space="preserve">privind Codul fiscal </w:t>
      </w:r>
      <w:r>
        <w:rPr>
          <w:rFonts w:cs="Times New Roman" w:ascii="Times New Roman" w:hAnsi="Times New Roman"/>
          <w:b w:val="false"/>
          <w:bCs w:val="false"/>
          <w:sz w:val="24"/>
          <w:szCs w:val="24"/>
          <w:lang w:val="ro-RO"/>
        </w:rPr>
        <w:t xml:space="preserve">cu modificările și completările ulterioare, </w:t>
      </w:r>
      <w:r>
        <w:rPr>
          <w:rFonts w:cs="Times New Roman" w:ascii="Times New Roman" w:hAnsi="Times New Roman"/>
          <w:sz w:val="24"/>
          <w:szCs w:val="24"/>
          <w:lang w:val="ro-RO"/>
        </w:rPr>
        <w:t>TITLUL IV Impozitul pe venit, CAPITOLUL III Venituri din salarii şi asimilate salariilor, TITLUL V Contribuţii sociale obligatorii;</w:t>
      </w:r>
    </w:p>
    <w:p>
      <w:pPr>
        <w:pStyle w:val="Normal"/>
        <w:spacing w:before="0" w:after="0"/>
        <w:contextualSpacing/>
        <w:jc w:val="both"/>
        <w:rPr>
          <w:rFonts w:ascii="Times New Roman" w:hAnsi="Times New Roman" w:cs="Times New Roman"/>
          <w:sz w:val="24"/>
          <w:szCs w:val="24"/>
          <w:lang w:val="ro-RO"/>
        </w:rPr>
      </w:pPr>
      <w:r>
        <w:rPr>
          <w:rFonts w:cs="Times New Roman" w:ascii="Times New Roman" w:hAnsi="Times New Roman"/>
          <w:sz w:val="24"/>
          <w:szCs w:val="24"/>
          <w:lang w:val="ro-RO"/>
        </w:rPr>
        <w:t>- Legea 284/28.12.2010 privind salarizarea unitară a personalului plătit din fonduri publice;</w:t>
      </w:r>
    </w:p>
    <w:p>
      <w:pPr>
        <w:pStyle w:val="Normal"/>
        <w:spacing w:before="0" w:after="0"/>
        <w:contextualSpacing/>
        <w:jc w:val="both"/>
        <w:rPr>
          <w:rFonts w:ascii="Times New Roman" w:hAnsi="Times New Roman" w:cs="Times New Roman"/>
          <w:sz w:val="24"/>
          <w:szCs w:val="24"/>
          <w:lang w:val="ro-RO"/>
        </w:rPr>
      </w:pPr>
      <w:r>
        <w:rPr>
          <w:rFonts w:cs="Times New Roman" w:ascii="Times New Roman" w:hAnsi="Times New Roman"/>
          <w:sz w:val="24"/>
          <w:szCs w:val="24"/>
          <w:lang w:val="ro-RO"/>
        </w:rPr>
        <w:t>- Legea 285/28.12.2010 privind salarizarea în anul 2011 a personalului plătit din fonduri publice;</w:t>
      </w:r>
    </w:p>
    <w:p>
      <w:pPr>
        <w:pStyle w:val="Corptext"/>
        <w:spacing w:before="0" w:after="0"/>
        <w:contextualSpacing/>
        <w:jc w:val="both"/>
        <w:rPr/>
      </w:pPr>
      <w:r>
        <w:rPr>
          <w:rFonts w:cs="Times New Roman" w:ascii="Times New Roman" w:hAnsi="Times New Roman"/>
          <w:b w:val="false"/>
          <w:i w:val="false"/>
          <w:caps w:val="false"/>
          <w:smallCaps w:val="false"/>
          <w:strike w:val="false"/>
          <w:dstrike w:val="false"/>
          <w:color w:val="000000"/>
          <w:spacing w:val="0"/>
          <w:sz w:val="24"/>
          <w:szCs w:val="24"/>
          <w:u w:val="none"/>
          <w:lang w:val="en-US"/>
        </w:rPr>
        <w:t xml:space="preserve">- </w:t>
      </w:r>
      <w:hyperlink r:id="rId3" w:tgtFrame="_blank">
        <w:r>
          <w:rPr>
            <w:rStyle w:val="LegturInternet"/>
            <w:rFonts w:cs="Times New Roman" w:ascii="Times New Roman" w:hAnsi="Times New Roman"/>
            <w:b w:val="false"/>
            <w:i w:val="false"/>
            <w:caps w:val="false"/>
            <w:smallCaps w:val="false"/>
            <w:strike w:val="false"/>
            <w:dstrike w:val="false"/>
            <w:color w:val="000000"/>
            <w:spacing w:val="0"/>
            <w:sz w:val="24"/>
            <w:szCs w:val="24"/>
            <w:u w:val="none"/>
          </w:rPr>
          <w:t>Ordinul comun al M.E.C.T.S, Ministerului Administraţiei şi Internelor şi Ministerului Finanţelor Publice nr. 4576/11.07.2011, nr. 230/18.10.2011, nr. 2445/15.09.2011 privind validarea fluxurilor financiare pentru cheltuielile de personal în învăţământul preuniversitar de stat.</w:t>
        </w:r>
      </w:hyperlink>
    </w:p>
    <w:p>
      <w:pPr>
        <w:pStyle w:val="Corptext"/>
        <w:spacing w:before="0" w:after="0"/>
        <w:contextualSpacing/>
        <w:jc w:val="both"/>
        <w:rPr/>
      </w:pPr>
      <w:r>
        <w:rPr>
          <w:rFonts w:cs="Times New Roman" w:ascii="Times New Roman" w:hAnsi="Times New Roman"/>
          <w:b w:val="false"/>
          <w:i w:val="false"/>
          <w:caps w:val="false"/>
          <w:smallCaps w:val="false"/>
          <w:strike w:val="false"/>
          <w:dstrike w:val="false"/>
          <w:color w:val="000000"/>
          <w:spacing w:val="0"/>
          <w:sz w:val="24"/>
          <w:szCs w:val="24"/>
          <w:u w:val="none"/>
          <w:lang w:val="en-US"/>
        </w:rPr>
        <w:t xml:space="preserve">- </w:t>
      </w:r>
      <w:hyperlink r:id="rId4">
        <w:r>
          <w:rPr>
            <w:rStyle w:val="Style"/>
            <w:rFonts w:cs="Times New Roman" w:ascii="Times New Roman" w:hAnsi="Times New Roman"/>
            <w:color w:val="000000"/>
            <w:sz w:val="24"/>
            <w:szCs w:val="24"/>
            <w:u w:val="none"/>
          </w:rPr>
          <w:t>Ordinului comun al M.E.C.T.S, al Ministrului Administraţiei şi Internelor şi al Ministrului Finanţelor Publice nr. 4271/29.05.2012</w:t>
        </w:r>
      </w:hyperlink>
      <w:r>
        <w:rPr>
          <w:rFonts w:cs="Times New Roman" w:ascii="Times New Roman" w:hAnsi="Times New Roman"/>
          <w:color w:val="000000"/>
          <w:sz w:val="24"/>
          <w:szCs w:val="24"/>
          <w:u w:val="none"/>
        </w:rPr>
        <w:t>,</w:t>
      </w:r>
      <w:r>
        <w:rPr>
          <w:rFonts w:cs="Times New Roman" w:ascii="Times New Roman" w:hAnsi="Times New Roman"/>
          <w:b w:val="false"/>
          <w:i w:val="false"/>
          <w:caps w:val="false"/>
          <w:smallCaps w:val="false"/>
          <w:strike w:val="false"/>
          <w:dstrike w:val="false"/>
          <w:color w:val="000000"/>
          <w:spacing w:val="0"/>
          <w:sz w:val="24"/>
          <w:szCs w:val="24"/>
          <w:u w:val="none"/>
          <w:lang w:val="en-US"/>
        </w:rPr>
        <w:t xml:space="preserve"> </w:t>
      </w:r>
      <w:hyperlink r:id="rId5" w:tgtFrame="_blank">
        <w:r>
          <w:rPr>
            <w:rStyle w:val="LegturInternet"/>
            <w:rFonts w:cs="Times New Roman" w:ascii="Times New Roman" w:hAnsi="Times New Roman"/>
            <w:b w:val="false"/>
            <w:i w:val="false"/>
            <w:caps w:val="false"/>
            <w:smallCaps w:val="false"/>
            <w:strike w:val="false"/>
            <w:dstrike w:val="false"/>
            <w:color w:val="000000"/>
            <w:spacing w:val="0"/>
            <w:sz w:val="24"/>
            <w:szCs w:val="24"/>
            <w:u w:val="none"/>
          </w:rPr>
          <w:t>nr. 116/29.05.2012 și nr. 755/29.05.2012</w:t>
        </w:r>
      </w:hyperlink>
      <w:r>
        <w:rPr>
          <w:rFonts w:cs="Times New Roman" w:ascii="Times New Roman" w:hAnsi="Times New Roman"/>
          <w:b w:val="false"/>
          <w:i w:val="false"/>
          <w:caps w:val="false"/>
          <w:smallCaps w:val="false"/>
          <w:strike w:val="false"/>
          <w:dstrike w:val="false"/>
          <w:color w:val="000000"/>
          <w:spacing w:val="0"/>
          <w:sz w:val="24"/>
          <w:szCs w:val="24"/>
          <w:u w:val="none"/>
          <w:lang w:val="en-US"/>
        </w:rPr>
        <w:t xml:space="preserve"> privind modificarea </w:t>
      </w:r>
      <w:hyperlink r:id="rId6">
        <w:r>
          <w:rPr>
            <w:rStyle w:val="Style"/>
            <w:rFonts w:cs="Times New Roman" w:ascii="Times New Roman" w:hAnsi="Times New Roman"/>
            <w:b w:val="false"/>
            <w:i w:val="false"/>
            <w:caps w:val="false"/>
            <w:smallCaps w:val="false"/>
            <w:strike w:val="false"/>
            <w:dstrike w:val="false"/>
            <w:color w:val="000000"/>
            <w:spacing w:val="0"/>
            <w:sz w:val="24"/>
            <w:szCs w:val="24"/>
            <w:u w:val="none"/>
            <w:lang w:val="en-US"/>
          </w:rPr>
          <w:t>Ordinului ministrului educaţiei, cercetării, tineretului şi sportului, al ministrului administraţiei şi internelor şi al ministrului finanţelor publice nr. 4.576</w:t>
        </w:r>
      </w:hyperlink>
      <w:r>
        <w:rPr>
          <w:rFonts w:cs="Times New Roman" w:ascii="Times New Roman" w:hAnsi="Times New Roman"/>
          <w:b w:val="false"/>
          <w:i w:val="false"/>
          <w:caps w:val="false"/>
          <w:smallCaps w:val="false"/>
          <w:strike w:val="false"/>
          <w:dstrike w:val="false"/>
          <w:color w:val="000000"/>
          <w:spacing w:val="0"/>
          <w:sz w:val="24"/>
          <w:szCs w:val="24"/>
          <w:u w:val="none"/>
          <w:lang w:val="en-US"/>
        </w:rPr>
        <w:t>/</w:t>
      </w:r>
      <w:hyperlink r:id="rId7">
        <w:r>
          <w:rPr>
            <w:rStyle w:val="Style"/>
            <w:rFonts w:cs="Times New Roman" w:ascii="Times New Roman" w:hAnsi="Times New Roman"/>
            <w:b w:val="false"/>
            <w:i w:val="false"/>
            <w:caps w:val="false"/>
            <w:smallCaps w:val="false"/>
            <w:strike w:val="false"/>
            <w:dstrike w:val="false"/>
            <w:color w:val="000000"/>
            <w:spacing w:val="0"/>
            <w:sz w:val="24"/>
            <w:szCs w:val="24"/>
            <w:u w:val="none"/>
            <w:lang w:val="en-US"/>
          </w:rPr>
          <w:t>230</w:t>
        </w:r>
      </w:hyperlink>
      <w:r>
        <w:rPr>
          <w:rFonts w:cs="Times New Roman" w:ascii="Times New Roman" w:hAnsi="Times New Roman"/>
          <w:b w:val="false"/>
          <w:i w:val="false"/>
          <w:caps w:val="false"/>
          <w:smallCaps w:val="false"/>
          <w:strike w:val="false"/>
          <w:dstrike w:val="false"/>
          <w:color w:val="000000"/>
          <w:spacing w:val="0"/>
          <w:sz w:val="24"/>
          <w:szCs w:val="24"/>
          <w:u w:val="none"/>
          <w:lang w:val="en-US"/>
        </w:rPr>
        <w:t>/</w:t>
      </w:r>
      <w:hyperlink r:id="rId8">
        <w:r>
          <w:rPr>
            <w:rStyle w:val="Style"/>
            <w:rFonts w:cs="Times New Roman" w:ascii="Times New Roman" w:hAnsi="Times New Roman"/>
            <w:b w:val="false"/>
            <w:i w:val="false"/>
            <w:caps w:val="false"/>
            <w:smallCaps w:val="false"/>
            <w:strike w:val="false"/>
            <w:dstrike w:val="false"/>
            <w:color w:val="000000"/>
            <w:spacing w:val="0"/>
            <w:sz w:val="24"/>
            <w:szCs w:val="24"/>
            <w:u w:val="none"/>
            <w:lang w:val="en-US"/>
          </w:rPr>
          <w:t>2.445/2011</w:t>
        </w:r>
      </w:hyperlink>
      <w:r>
        <w:rPr>
          <w:rFonts w:cs="Times New Roman" w:ascii="Times New Roman" w:hAnsi="Times New Roman"/>
          <w:b w:val="false"/>
          <w:i w:val="false"/>
          <w:caps w:val="false"/>
          <w:smallCaps w:val="false"/>
          <w:strike w:val="false"/>
          <w:dstrike w:val="false"/>
          <w:color w:val="000000"/>
          <w:spacing w:val="0"/>
          <w:sz w:val="24"/>
          <w:szCs w:val="24"/>
          <w:u w:val="none"/>
          <w:lang w:val="en-US"/>
        </w:rPr>
        <w:t xml:space="preserve"> privind validarea fluxurilor financiare pentru cheltuielile de personal în învăţământul preuniversitar de stat;</w:t>
      </w:r>
    </w:p>
    <w:p>
      <w:pPr>
        <w:pStyle w:val="Corptext"/>
        <w:spacing w:before="0" w:after="0"/>
        <w:contextualSpacing/>
        <w:jc w:val="both"/>
        <w:rPr/>
      </w:pPr>
      <w:r>
        <w:rPr>
          <w:rFonts w:cs="Times New Roman" w:ascii="Times New Roman" w:hAnsi="Times New Roman"/>
          <w:b w:val="false"/>
          <w:i w:val="false"/>
          <w:caps w:val="false"/>
          <w:smallCaps w:val="false"/>
          <w:strike w:val="false"/>
          <w:dstrike w:val="false"/>
          <w:color w:val="000000"/>
          <w:spacing w:val="0"/>
          <w:sz w:val="24"/>
          <w:szCs w:val="24"/>
          <w:u w:val="none"/>
          <w:lang w:val="en-US"/>
        </w:rPr>
        <w:t xml:space="preserve">- </w:t>
      </w:r>
      <w:r>
        <w:rPr>
          <w:rFonts w:cs="Times New Roman" w:ascii="Times New Roman" w:hAnsi="Times New Roman"/>
          <w:b w:val="false"/>
          <w:i w:val="false"/>
          <w:caps w:val="false"/>
          <w:smallCaps w:val="false"/>
          <w:strike w:val="false"/>
          <w:dstrike w:val="false"/>
          <w:color w:val="000000"/>
          <w:spacing w:val="0"/>
          <w:sz w:val="24"/>
          <w:szCs w:val="24"/>
          <w:u w:val="none"/>
          <w:lang w:val="it-IT"/>
        </w:rPr>
        <w:t>Legea 273/</w:t>
      </w:r>
      <w:r>
        <w:rPr>
          <w:rFonts w:cs="Times New Roman" w:ascii="Times New Roman" w:hAnsi="Times New Roman"/>
          <w:b w:val="false"/>
          <w:i w:val="false"/>
          <w:caps w:val="false"/>
          <w:smallCaps w:val="false"/>
          <w:strike w:val="false"/>
          <w:dstrike w:val="false"/>
          <w:color w:val="000000"/>
          <w:spacing w:val="0"/>
          <w:sz w:val="24"/>
          <w:szCs w:val="24"/>
          <w:u w:val="none"/>
          <w:lang w:val="en-US"/>
        </w:rPr>
        <w:t>29.06.</w:t>
      </w:r>
      <w:r>
        <w:rPr>
          <w:rFonts w:cs="Times New Roman" w:ascii="Times New Roman" w:hAnsi="Times New Roman"/>
          <w:b w:val="false"/>
          <w:i w:val="false"/>
          <w:caps w:val="false"/>
          <w:smallCaps w:val="false"/>
          <w:strike w:val="false"/>
          <w:dstrike w:val="false"/>
          <w:color w:val="000000"/>
          <w:spacing w:val="0"/>
          <w:sz w:val="24"/>
          <w:szCs w:val="24"/>
          <w:u w:val="none"/>
          <w:lang w:val="it-IT"/>
        </w:rPr>
        <w:t>2006 – privind finanțele publice locale, cu modificarile si completarile ulterioare;</w:t>
      </w:r>
    </w:p>
    <w:p>
      <w:pPr>
        <w:pStyle w:val="Corptext"/>
        <w:spacing w:before="0" w:after="0"/>
        <w:contextualSpacing/>
        <w:jc w:val="both"/>
        <w:rPr/>
      </w:pPr>
      <w:r>
        <w:rPr>
          <w:rFonts w:cs="Times New Roman" w:ascii="Times New Roman" w:hAnsi="Times New Roman"/>
          <w:b w:val="false"/>
          <w:i w:val="false"/>
          <w:caps w:val="false"/>
          <w:smallCaps w:val="false"/>
          <w:strike w:val="false"/>
          <w:dstrike w:val="false"/>
          <w:color w:val="000000"/>
          <w:spacing w:val="0"/>
          <w:sz w:val="24"/>
          <w:szCs w:val="24"/>
          <w:u w:val="none"/>
          <w:lang w:val="en-US"/>
        </w:rPr>
        <w:t xml:space="preserve">- </w:t>
      </w:r>
      <w:r>
        <w:rPr>
          <w:rFonts w:cs="Times New Roman" w:ascii="Times New Roman" w:hAnsi="Times New Roman"/>
          <w:b w:val="false"/>
          <w:i w:val="false"/>
          <w:caps w:val="false"/>
          <w:smallCaps w:val="false"/>
          <w:strike w:val="false"/>
          <w:dstrike w:val="false"/>
          <w:color w:val="000000"/>
          <w:spacing w:val="0"/>
          <w:sz w:val="24"/>
          <w:szCs w:val="24"/>
          <w:u w:val="none"/>
          <w:lang w:val="it-IT"/>
        </w:rPr>
        <w:t>Legea nr. 500/</w:t>
      </w:r>
      <w:r>
        <w:rPr>
          <w:rFonts w:cs="Times New Roman" w:ascii="Times New Roman" w:hAnsi="Times New Roman"/>
          <w:b w:val="false"/>
          <w:i w:val="false"/>
          <w:caps w:val="false"/>
          <w:smallCaps w:val="false"/>
          <w:strike w:val="false"/>
          <w:dstrike w:val="false"/>
          <w:color w:val="000000"/>
          <w:spacing w:val="0"/>
          <w:sz w:val="24"/>
          <w:szCs w:val="24"/>
          <w:u w:val="none"/>
          <w:lang w:val="en-US"/>
        </w:rPr>
        <w:t>11.07.</w:t>
      </w:r>
      <w:r>
        <w:rPr>
          <w:rFonts w:cs="Times New Roman" w:ascii="Times New Roman" w:hAnsi="Times New Roman"/>
          <w:b w:val="false"/>
          <w:i w:val="false"/>
          <w:caps w:val="false"/>
          <w:smallCaps w:val="false"/>
          <w:strike w:val="false"/>
          <w:dstrike w:val="false"/>
          <w:color w:val="000000"/>
          <w:spacing w:val="0"/>
          <w:sz w:val="24"/>
          <w:szCs w:val="24"/>
          <w:u w:val="none"/>
          <w:lang w:val="it-IT"/>
        </w:rPr>
        <w:t xml:space="preserve">2002,  </w:t>
      </w:r>
      <w:r>
        <w:rPr>
          <w:rFonts w:cs="Times New Roman" w:ascii="Times New Roman" w:hAnsi="Times New Roman"/>
          <w:b w:val="false"/>
          <w:i w:val="false"/>
          <w:caps w:val="false"/>
          <w:smallCaps w:val="false"/>
          <w:strike w:val="false"/>
          <w:dstrike w:val="false"/>
          <w:color w:val="000000"/>
          <w:spacing w:val="0"/>
          <w:sz w:val="24"/>
          <w:szCs w:val="24"/>
          <w:u w:val="none"/>
          <w:lang w:val="en-US"/>
        </w:rPr>
        <w:t xml:space="preserve">privind </w:t>
      </w:r>
      <w:r>
        <w:rPr>
          <w:rFonts w:cs="Times New Roman" w:ascii="Times New Roman" w:hAnsi="Times New Roman"/>
          <w:b w:val="false"/>
          <w:i w:val="false"/>
          <w:caps w:val="false"/>
          <w:smallCaps w:val="false"/>
          <w:strike w:val="false"/>
          <w:dstrike w:val="false"/>
          <w:color w:val="000000"/>
          <w:spacing w:val="0"/>
          <w:sz w:val="24"/>
          <w:szCs w:val="24"/>
          <w:u w:val="none"/>
          <w:lang w:val="it-IT"/>
        </w:rPr>
        <w:t>finantel</w:t>
      </w:r>
      <w:r>
        <w:rPr>
          <w:rFonts w:cs="Times New Roman" w:ascii="Times New Roman" w:hAnsi="Times New Roman"/>
          <w:b w:val="false"/>
          <w:i w:val="false"/>
          <w:caps w:val="false"/>
          <w:smallCaps w:val="false"/>
          <w:strike w:val="false"/>
          <w:dstrike w:val="false"/>
          <w:color w:val="000000"/>
          <w:spacing w:val="0"/>
          <w:sz w:val="24"/>
          <w:szCs w:val="24"/>
          <w:u w:val="none"/>
          <w:lang w:val="en-US"/>
        </w:rPr>
        <w:t>e</w:t>
      </w:r>
      <w:r>
        <w:rPr>
          <w:rFonts w:cs="Times New Roman" w:ascii="Times New Roman" w:hAnsi="Times New Roman"/>
          <w:b w:val="false"/>
          <w:i w:val="false"/>
          <w:caps w:val="false"/>
          <w:smallCaps w:val="false"/>
          <w:strike w:val="false"/>
          <w:dstrike w:val="false"/>
          <w:color w:val="000000"/>
          <w:spacing w:val="0"/>
          <w:sz w:val="24"/>
          <w:szCs w:val="24"/>
          <w:u w:val="none"/>
          <w:lang w:val="it-IT"/>
        </w:rPr>
        <w:t xml:space="preserve"> publice cu modificarile si completarile ulterioare;</w:t>
      </w:r>
    </w:p>
    <w:p>
      <w:pPr>
        <w:pStyle w:val="Corptext"/>
        <w:spacing w:before="0" w:after="0"/>
        <w:contextualSpacing/>
        <w:jc w:val="both"/>
        <w:rPr/>
      </w:pPr>
      <w:r>
        <w:rPr>
          <w:rFonts w:cs="Times New Roman" w:ascii="Times New Roman" w:hAnsi="Times New Roman"/>
          <w:b w:val="false"/>
          <w:i w:val="false"/>
          <w:caps w:val="false"/>
          <w:smallCaps w:val="false"/>
          <w:strike w:val="false"/>
          <w:dstrike w:val="false"/>
          <w:color w:val="000000"/>
          <w:spacing w:val="0"/>
          <w:sz w:val="24"/>
          <w:szCs w:val="24"/>
          <w:u w:val="none"/>
          <w:lang w:val="en-US"/>
        </w:rPr>
        <w:t>- O.M.F.P. nr. 517/13.04.2016 pentru</w:t>
      </w:r>
      <w:r>
        <w:rPr>
          <w:rFonts w:cs="Times New Roman" w:ascii="Times New Roman" w:hAnsi="Times New Roman"/>
          <w:b/>
          <w:i w:val="false"/>
          <w:caps w:val="false"/>
          <w:smallCaps w:val="false"/>
          <w:strike w:val="false"/>
          <w:dstrike w:val="false"/>
          <w:color w:val="000000"/>
          <w:spacing w:val="0"/>
          <w:sz w:val="24"/>
          <w:szCs w:val="24"/>
          <w:u w:val="none"/>
          <w:lang w:val="en-US"/>
        </w:rPr>
        <w:t xml:space="preserve"> </w:t>
      </w:r>
      <w:r>
        <w:rPr>
          <w:rFonts w:cs="Times New Roman" w:ascii="Times New Roman" w:hAnsi="Times New Roman"/>
          <w:b w:val="false"/>
          <w:i w:val="false"/>
          <w:caps w:val="false"/>
          <w:smallCaps w:val="false"/>
          <w:strike w:val="false"/>
          <w:dstrike w:val="false"/>
          <w:color w:val="000000"/>
          <w:spacing w:val="0"/>
          <w:sz w:val="24"/>
          <w:szCs w:val="24"/>
          <w:u w:val="none"/>
          <w:lang w:val="en-US"/>
        </w:rPr>
        <w:t>aprobarea de proceduri aferente unor module care fac parte din procedura de funcţionare a sistemului naţional de raportare - Forexebug</w:t>
      </w:r>
    </w:p>
    <w:p>
      <w:pPr>
        <w:pStyle w:val="Corptext"/>
        <w:spacing w:before="0" w:after="0"/>
        <w:contextualSpacing/>
        <w:jc w:val="both"/>
        <w:rPr>
          <w:rFonts w:ascii="Times New Roman" w:hAnsi="Times New Roman" w:cs="Times New Roman"/>
          <w:b w:val="false"/>
          <w:b w:val="false"/>
          <w:i w:val="false"/>
          <w:i w:val="false"/>
          <w:caps w:val="false"/>
          <w:smallCaps w:val="false"/>
          <w:strike w:val="false"/>
          <w:dstrike w:val="false"/>
          <w:color w:val="000000"/>
          <w:spacing w:val="0"/>
          <w:sz w:val="24"/>
          <w:szCs w:val="24"/>
          <w:u w:val="none"/>
          <w:lang w:val="en-US"/>
        </w:rPr>
      </w:pPr>
      <w:r>
        <w:rPr>
          <w:rFonts w:cs="Times New Roman" w:ascii="Times New Roman" w:hAnsi="Times New Roman"/>
          <w:b w:val="false"/>
          <w:i w:val="false"/>
          <w:caps w:val="false"/>
          <w:smallCaps w:val="false"/>
          <w:strike w:val="false"/>
          <w:dstrike w:val="false"/>
          <w:color w:val="000000"/>
          <w:spacing w:val="0"/>
          <w:sz w:val="24"/>
          <w:szCs w:val="24"/>
          <w:u w:val="none"/>
          <w:lang w:val="en-US"/>
        </w:rPr>
        <w:t>- Legea nr. 98/19.05.2016 privind achiziţiile publice;</w:t>
      </w:r>
    </w:p>
    <w:p>
      <w:pPr>
        <w:pStyle w:val="Corptext"/>
        <w:spacing w:before="0" w:after="0"/>
        <w:contextualSpacing/>
        <w:jc w:val="both"/>
        <w:rPr/>
      </w:pPr>
      <w:r>
        <w:rPr>
          <w:rFonts w:cs="Times New Roman" w:ascii="Times New Roman" w:hAnsi="Times New Roman"/>
          <w:b w:val="false"/>
          <w:i w:val="false"/>
          <w:caps w:val="false"/>
          <w:smallCaps w:val="false"/>
          <w:strike w:val="false"/>
          <w:dstrike w:val="false"/>
          <w:color w:val="000000"/>
          <w:spacing w:val="0"/>
          <w:sz w:val="24"/>
          <w:szCs w:val="24"/>
          <w:u w:val="none"/>
          <w:lang w:val="en-US"/>
        </w:rPr>
        <w:t xml:space="preserve">- H.G. nr. 395/02.06.2016 pentru aprobarea Normelor metodologice de aplicare a prevederilor referitoare la atribuirea contractului de achiziţie publică/acordului - cadru din </w:t>
      </w:r>
      <w:hyperlink r:id="rId9">
        <w:r>
          <w:rPr>
            <w:rStyle w:val="Style"/>
            <w:rFonts w:cs="Times New Roman" w:ascii="Times New Roman" w:hAnsi="Times New Roman"/>
            <w:b w:val="false"/>
            <w:i w:val="false"/>
            <w:caps w:val="false"/>
            <w:smallCaps w:val="false"/>
            <w:strike w:val="false"/>
            <w:dstrike w:val="false"/>
            <w:color w:val="000000"/>
            <w:spacing w:val="0"/>
            <w:sz w:val="24"/>
            <w:szCs w:val="24"/>
            <w:u w:val="none"/>
            <w:lang w:val="en-US"/>
          </w:rPr>
          <w:t>Legea nr. 98/2016</w:t>
        </w:r>
      </w:hyperlink>
      <w:r>
        <w:rPr>
          <w:rFonts w:cs="Times New Roman" w:ascii="Times New Roman" w:hAnsi="Times New Roman"/>
          <w:b w:val="false"/>
          <w:i w:val="false"/>
          <w:caps w:val="false"/>
          <w:smallCaps w:val="false"/>
          <w:strike w:val="false"/>
          <w:dstrike w:val="false"/>
          <w:color w:val="000000"/>
          <w:spacing w:val="0"/>
          <w:sz w:val="24"/>
          <w:szCs w:val="24"/>
          <w:u w:val="none"/>
          <w:lang w:val="en-US"/>
        </w:rPr>
        <w:t xml:space="preserve"> privind achiziţiile publice;</w:t>
      </w:r>
    </w:p>
    <w:p>
      <w:pPr>
        <w:pStyle w:val="Corptext"/>
        <w:spacing w:before="0" w:after="0"/>
        <w:contextualSpacing/>
        <w:jc w:val="both"/>
        <w:rPr/>
      </w:pPr>
      <w:r>
        <w:rPr>
          <w:rFonts w:cs="Times New Roman" w:ascii="Times New Roman" w:hAnsi="Times New Roman"/>
          <w:sz w:val="24"/>
          <w:szCs w:val="24"/>
        </w:rPr>
        <w:t xml:space="preserve">- </w:t>
      </w:r>
      <w:r>
        <w:rPr>
          <w:rFonts w:cs="Times New Roman" w:ascii="Times New Roman" w:hAnsi="Times New Roman"/>
          <w:sz w:val="24"/>
          <w:szCs w:val="24"/>
          <w:lang w:val="it-IT"/>
        </w:rPr>
        <w:t>O.M.F.P. nr.1792/2002 pentru aprobarea Normelor metodologice privind angajarea, lichidarea, ordonanţarea şi plata cheltuielilor instituţiilor publice, precum şi organizarea, evidenţa şi raportarea angajamentelor bugetare şi legale</w:t>
      </w:r>
      <w:r>
        <w:rPr>
          <w:rFonts w:cs="Times New Roman" w:ascii="Times New Roman" w:hAnsi="Times New Roman"/>
          <w:sz w:val="24"/>
          <w:szCs w:val="24"/>
          <w:lang w:val="en-US"/>
        </w:rPr>
        <w:t>;</w:t>
      </w:r>
    </w:p>
    <w:p>
      <w:pPr>
        <w:pStyle w:val="Corptext"/>
        <w:spacing w:before="0" w:after="0"/>
        <w:contextualSpacing/>
        <w:jc w:val="both"/>
        <w:rPr/>
      </w:pPr>
      <w:r>
        <w:rPr>
          <w:rFonts w:cs="Times New Roman" w:ascii="Times New Roman" w:hAnsi="Times New Roman"/>
          <w:sz w:val="24"/>
          <w:szCs w:val="24"/>
          <w:lang w:val="ro-RO"/>
        </w:rPr>
        <w:t xml:space="preserve">- </w:t>
      </w:r>
      <w:r>
        <w:rPr>
          <w:rFonts w:cs="Times New Roman" w:ascii="Times New Roman" w:hAnsi="Times New Roman"/>
          <w:sz w:val="24"/>
          <w:szCs w:val="24"/>
          <w:lang w:val="it-IT"/>
        </w:rPr>
        <w:t xml:space="preserve">O.M.F.P. </w:t>
      </w:r>
      <w:r>
        <w:rPr>
          <w:rFonts w:cs="Times New Roman" w:ascii="Times New Roman" w:hAnsi="Times New Roman"/>
          <w:sz w:val="24"/>
          <w:szCs w:val="24"/>
          <w:lang w:val="ro-RO"/>
        </w:rPr>
        <w:t>nr. 1954/16.12.2005</w:t>
      </w:r>
      <w:r>
        <w:rPr>
          <w:rFonts w:cs="Times New Roman" w:ascii="Times New Roman" w:hAnsi="Times New Roman"/>
          <w:sz w:val="24"/>
          <w:szCs w:val="24"/>
          <w:lang w:val="it-IT"/>
        </w:rPr>
        <w:t xml:space="preserve"> privind clasificatia indicatorilor finantelor publice;</w:t>
      </w:r>
    </w:p>
    <w:p>
      <w:pPr>
        <w:pStyle w:val="Corptext"/>
        <w:spacing w:before="0" w:after="0"/>
        <w:contextualSpacing/>
        <w:jc w:val="both"/>
        <w:rPr/>
      </w:pPr>
      <w:r>
        <w:rPr>
          <w:rFonts w:cs="Times New Roman" w:ascii="Times New Roman" w:hAnsi="Times New Roman"/>
          <w:sz w:val="24"/>
          <w:szCs w:val="24"/>
          <w:lang w:val="en-US"/>
        </w:rPr>
        <w:t xml:space="preserve">- </w:t>
      </w:r>
      <w:r>
        <w:rPr>
          <w:rFonts w:cs="Times New Roman" w:ascii="Times New Roman" w:hAnsi="Times New Roman"/>
          <w:sz w:val="24"/>
          <w:szCs w:val="24"/>
          <w:lang w:val="it-IT"/>
        </w:rPr>
        <w:t>O.M.F.P. nr. 2021/</w:t>
      </w:r>
      <w:r>
        <w:rPr>
          <w:rFonts w:cs="Times New Roman" w:ascii="Times New Roman" w:hAnsi="Times New Roman"/>
          <w:sz w:val="24"/>
          <w:szCs w:val="24"/>
          <w:lang w:val="en-US"/>
        </w:rPr>
        <w:t>17.12.</w:t>
      </w:r>
      <w:r>
        <w:rPr>
          <w:rFonts w:cs="Times New Roman" w:ascii="Times New Roman" w:hAnsi="Times New Roman"/>
          <w:sz w:val="24"/>
          <w:szCs w:val="24"/>
          <w:lang w:val="it-IT"/>
        </w:rPr>
        <w:t xml:space="preserve">2013 pentru modificarea şi completarea Normelor metodologice privind organizarea şi conducerea contabilităţii instituţiilor publice, Planul de conturi pentru instituţiile publice şi instrucţiunile de aplicare a acestuia, aprobate prin </w:t>
      </w:r>
      <w:hyperlink r:id="rId10">
        <w:r>
          <w:rPr>
            <w:rStyle w:val="Style"/>
            <w:rFonts w:cs="Times New Roman" w:ascii="Times New Roman" w:hAnsi="Times New Roman"/>
            <w:sz w:val="24"/>
            <w:szCs w:val="24"/>
            <w:lang w:val="it-IT"/>
          </w:rPr>
          <w:t>Ordinul ministrului finanţelor publice nr. 1917/2005</w:t>
        </w:r>
      </w:hyperlink>
      <w:r>
        <w:rPr>
          <w:rFonts w:cs="Times New Roman" w:ascii="Times New Roman" w:hAnsi="Times New Roman"/>
          <w:sz w:val="24"/>
          <w:szCs w:val="24"/>
          <w:lang w:val="en-US"/>
        </w:rPr>
        <w:t>;</w:t>
      </w:r>
    </w:p>
    <w:p>
      <w:pPr>
        <w:pStyle w:val="Corptext"/>
        <w:spacing w:before="0" w:after="0"/>
        <w:contextualSpacing/>
        <w:jc w:val="both"/>
        <w:rPr/>
      </w:pPr>
      <w:r>
        <w:rPr>
          <w:rFonts w:cs="Times New Roman" w:ascii="Times New Roman" w:hAnsi="Times New Roman"/>
          <w:sz w:val="24"/>
          <w:szCs w:val="24"/>
          <w:lang w:val="ro-RO"/>
        </w:rPr>
        <w:t>- O</w:t>
      </w:r>
      <w:r>
        <w:rPr>
          <w:rFonts w:cs="Times New Roman" w:ascii="Times New Roman" w:hAnsi="Times New Roman"/>
          <w:sz w:val="24"/>
          <w:szCs w:val="24"/>
          <w:lang w:val="en-US"/>
        </w:rPr>
        <w:t>.M.F.P.</w:t>
      </w:r>
      <w:r>
        <w:rPr>
          <w:rFonts w:cs="Times New Roman" w:ascii="Times New Roman" w:hAnsi="Times New Roman"/>
          <w:sz w:val="24"/>
          <w:szCs w:val="24"/>
          <w:lang w:val="ro-RO"/>
        </w:rPr>
        <w:t xml:space="preserve"> nr. 2634/2015 privind documentele financiar-contabile;</w:t>
      </w:r>
    </w:p>
    <w:p>
      <w:pPr>
        <w:pStyle w:val="Corptext"/>
        <w:spacing w:before="0" w:after="0"/>
        <w:contextualSpacing/>
        <w:jc w:val="both"/>
        <w:rPr/>
      </w:pPr>
      <w:r>
        <w:rPr>
          <w:rFonts w:cs="Times New Roman" w:ascii="Times New Roman" w:hAnsi="Times New Roman"/>
          <w:sz w:val="24"/>
          <w:szCs w:val="24"/>
          <w:lang w:val="en-US"/>
        </w:rPr>
        <w:t xml:space="preserve">- O.M.F.P. nr. </w:t>
      </w:r>
      <w:r>
        <w:rPr>
          <w:rFonts w:cs="Times New Roman" w:ascii="Times New Roman" w:hAnsi="Times New Roman"/>
          <w:b w:val="false"/>
          <w:bCs w:val="false"/>
          <w:sz w:val="24"/>
          <w:szCs w:val="24"/>
        </w:rPr>
        <w:t>923/2014 pentru aprobarea Normelor metodologice generale referitoare la exercitarea controlului financiar preventiv şi a Codului specific de norme profesionale pentru persoanele care desfăşoară activitatea de control financiar preventiv propriu;</w:t>
      </w:r>
    </w:p>
    <w:p>
      <w:pPr>
        <w:pStyle w:val="Corptext"/>
        <w:spacing w:before="0" w:after="0"/>
        <w:contextualSpacing/>
        <w:jc w:val="both"/>
        <w:rPr/>
      </w:pPr>
      <w:r>
        <w:rPr>
          <w:rFonts w:cs="Times New Roman" w:ascii="Times New Roman" w:hAnsi="Times New Roman"/>
          <w:sz w:val="24"/>
          <w:szCs w:val="24"/>
        </w:rPr>
        <w:t xml:space="preserve">- </w:t>
      </w:r>
      <w:r>
        <w:rPr>
          <w:rFonts w:cs="Times New Roman" w:ascii="Times New Roman" w:hAnsi="Times New Roman"/>
          <w:b w:val="false"/>
          <w:i w:val="false"/>
          <w:caps w:val="false"/>
          <w:smallCaps w:val="false"/>
          <w:strike w:val="false"/>
          <w:dstrike w:val="false"/>
          <w:color w:val="000000"/>
          <w:spacing w:val="0"/>
          <w:sz w:val="24"/>
          <w:szCs w:val="24"/>
          <w:u w:val="none"/>
          <w:lang w:val="it-IT"/>
        </w:rPr>
        <w:t xml:space="preserve">O.M.F.P. </w:t>
      </w:r>
      <w:r>
        <w:rPr>
          <w:rFonts w:cs="Times New Roman" w:ascii="Times New Roman" w:hAnsi="Times New Roman"/>
          <w:b w:val="false"/>
          <w:i w:val="false"/>
          <w:caps w:val="false"/>
          <w:smallCaps w:val="false"/>
          <w:strike w:val="false"/>
          <w:dstrike w:val="false"/>
          <w:color w:val="000000"/>
          <w:spacing w:val="0"/>
          <w:sz w:val="24"/>
          <w:szCs w:val="24"/>
          <w:u w:val="none"/>
          <w:lang w:val="en-US"/>
        </w:rPr>
        <w:t>nr.</w:t>
      </w:r>
      <w:r>
        <w:rPr>
          <w:rFonts w:cs="Times New Roman" w:ascii="Times New Roman" w:hAnsi="Times New Roman"/>
          <w:b w:val="false"/>
          <w:i w:val="false"/>
          <w:caps w:val="false"/>
          <w:smallCaps w:val="false"/>
          <w:strike w:val="false"/>
          <w:dstrike w:val="false"/>
          <w:color w:val="000000"/>
          <w:spacing w:val="0"/>
          <w:sz w:val="24"/>
          <w:szCs w:val="24"/>
          <w:u w:val="none"/>
          <w:lang w:val="it-IT"/>
        </w:rPr>
        <w:t xml:space="preserve"> 2861/</w:t>
      </w:r>
      <w:r>
        <w:rPr>
          <w:rFonts w:cs="Times New Roman" w:ascii="Times New Roman" w:hAnsi="Times New Roman"/>
          <w:b w:val="false"/>
          <w:i w:val="false"/>
          <w:caps w:val="false"/>
          <w:smallCaps w:val="false"/>
          <w:strike w:val="false"/>
          <w:dstrike w:val="false"/>
          <w:color w:val="000000"/>
          <w:spacing w:val="0"/>
          <w:sz w:val="24"/>
          <w:szCs w:val="24"/>
          <w:u w:val="none"/>
          <w:lang w:val="en-US"/>
        </w:rPr>
        <w:t>09.10.</w:t>
      </w:r>
      <w:r>
        <w:rPr>
          <w:rFonts w:cs="Times New Roman" w:ascii="Times New Roman" w:hAnsi="Times New Roman"/>
          <w:b w:val="false"/>
          <w:i w:val="false"/>
          <w:caps w:val="false"/>
          <w:smallCaps w:val="false"/>
          <w:strike w:val="false"/>
          <w:dstrike w:val="false"/>
          <w:color w:val="000000"/>
          <w:spacing w:val="0"/>
          <w:sz w:val="24"/>
          <w:szCs w:val="24"/>
          <w:u w:val="none"/>
          <w:lang w:val="it-IT"/>
        </w:rPr>
        <w:t>2009 pentru aprobarea Normelor privind organizarea şi efectuarea inventarierii elementelor de natura activelor, datoriilor şi capitalurilor proprii</w:t>
      </w:r>
      <w:r>
        <w:rPr>
          <w:rFonts w:cs="Times New Roman" w:ascii="Times New Roman" w:hAnsi="Times New Roman"/>
          <w:b w:val="false"/>
          <w:i w:val="false"/>
          <w:caps w:val="false"/>
          <w:smallCaps w:val="false"/>
          <w:strike w:val="false"/>
          <w:dstrike w:val="false"/>
          <w:color w:val="000000"/>
          <w:spacing w:val="0"/>
          <w:sz w:val="24"/>
          <w:szCs w:val="24"/>
          <w:u w:val="none"/>
          <w:lang w:val="en-US"/>
        </w:rPr>
        <w:t>;</w:t>
      </w:r>
    </w:p>
    <w:p>
      <w:pPr>
        <w:pStyle w:val="Normal"/>
        <w:spacing w:before="0" w:after="0"/>
        <w:contextualSpacing/>
        <w:jc w:val="both"/>
        <w:rPr>
          <w:rFonts w:ascii="Times New Roman" w:hAnsi="Times New Roman" w:cs="Times New Roman"/>
          <w:b w:val="false"/>
          <w:b w:val="false"/>
          <w:i w:val="false"/>
          <w:i w:val="false"/>
          <w:caps w:val="false"/>
          <w:smallCaps w:val="false"/>
          <w:strike w:val="false"/>
          <w:dstrike w:val="false"/>
          <w:color w:val="000000"/>
          <w:spacing w:val="0"/>
          <w:sz w:val="24"/>
          <w:szCs w:val="24"/>
          <w:u w:val="none"/>
          <w:lang w:val="en-US"/>
        </w:rPr>
      </w:pPr>
      <w:r>
        <w:rPr>
          <w:rFonts w:cs="Times New Roman" w:ascii="Times New Roman" w:hAnsi="Times New Roman"/>
          <w:b w:val="false"/>
          <w:i w:val="false"/>
          <w:caps w:val="false"/>
          <w:smallCaps w:val="false"/>
          <w:strike w:val="false"/>
          <w:dstrike w:val="false"/>
          <w:color w:val="000000"/>
          <w:spacing w:val="0"/>
          <w:sz w:val="24"/>
          <w:szCs w:val="24"/>
          <w:u w:val="none"/>
          <w:lang w:val="en-US"/>
        </w:rPr>
        <w:t>- Decretul 209/05.07.1976 privind aprobarea Regulamntului operaţiilor de casă;</w:t>
      </w:r>
    </w:p>
    <w:p>
      <w:pPr>
        <w:pStyle w:val="Normal"/>
        <w:spacing w:before="0" w:after="0"/>
        <w:contextualSpacing/>
        <w:jc w:val="both"/>
        <w:rPr/>
      </w:pPr>
      <w:r>
        <w:rPr>
          <w:rFonts w:cs="Times New Roman" w:ascii="Times New Roman" w:hAnsi="Times New Roman"/>
          <w:b w:val="false"/>
          <w:i w:val="false"/>
          <w:caps w:val="false"/>
          <w:smallCaps w:val="false"/>
          <w:strike w:val="false"/>
          <w:dstrike w:val="false"/>
          <w:color w:val="000000"/>
          <w:spacing w:val="0"/>
          <w:sz w:val="24"/>
          <w:szCs w:val="24"/>
          <w:u w:val="none"/>
          <w:lang w:val="en-US"/>
        </w:rPr>
        <w:t xml:space="preserve">- </w:t>
      </w:r>
      <w:r>
        <w:rPr>
          <w:rFonts w:cs="Times New Roman" w:ascii="Times New Roman" w:hAnsi="Times New Roman"/>
          <w:b w:val="false"/>
          <w:i w:val="false"/>
          <w:caps w:val="false"/>
          <w:smallCaps w:val="false"/>
          <w:strike w:val="false"/>
          <w:dstrike w:val="false"/>
          <w:color w:val="000000"/>
          <w:spacing w:val="0"/>
          <w:sz w:val="24"/>
          <w:szCs w:val="24"/>
          <w:u w:val="none"/>
          <w:lang w:val="ro-RO"/>
        </w:rPr>
        <w:t>Ordonanţa de Guvern nr. 33/</w:t>
      </w:r>
      <w:r>
        <w:rPr>
          <w:rFonts w:cs="Times New Roman" w:ascii="Times New Roman" w:hAnsi="Times New Roman"/>
          <w:b w:val="false"/>
          <w:i w:val="false"/>
          <w:caps w:val="false"/>
          <w:smallCaps w:val="false"/>
          <w:strike w:val="false"/>
          <w:dstrike w:val="false"/>
          <w:color w:val="000000"/>
          <w:spacing w:val="0"/>
          <w:sz w:val="24"/>
          <w:szCs w:val="24"/>
          <w:u w:val="none"/>
          <w:lang w:val="en-US"/>
        </w:rPr>
        <w:t>1</w:t>
      </w:r>
      <w:r>
        <w:rPr>
          <w:rFonts w:cs="Times New Roman" w:ascii="Times New Roman" w:hAnsi="Times New Roman"/>
          <w:b w:val="false"/>
          <w:i w:val="false"/>
          <w:caps w:val="false"/>
          <w:smallCaps w:val="false"/>
          <w:strike w:val="false"/>
          <w:dstrike w:val="false"/>
          <w:color w:val="000000"/>
          <w:spacing w:val="0"/>
          <w:sz w:val="24"/>
          <w:szCs w:val="24"/>
          <w:u w:val="none"/>
          <w:lang w:val="ro-RO"/>
        </w:rPr>
        <w:t>6.</w:t>
      </w:r>
      <w:r>
        <w:rPr>
          <w:rFonts w:cs="Times New Roman" w:ascii="Times New Roman" w:hAnsi="Times New Roman"/>
          <w:b w:val="false"/>
          <w:i w:val="false"/>
          <w:caps w:val="false"/>
          <w:smallCaps w:val="false"/>
          <w:strike w:val="false"/>
          <w:dstrike w:val="false"/>
          <w:color w:val="000000"/>
          <w:spacing w:val="0"/>
          <w:sz w:val="24"/>
          <w:szCs w:val="24"/>
          <w:u w:val="none"/>
          <w:lang w:val="en-US"/>
        </w:rPr>
        <w:t>08.</w:t>
      </w:r>
      <w:r>
        <w:rPr>
          <w:rFonts w:cs="Times New Roman" w:ascii="Times New Roman" w:hAnsi="Times New Roman"/>
          <w:b w:val="false"/>
          <w:i w:val="false"/>
          <w:caps w:val="false"/>
          <w:smallCaps w:val="false"/>
          <w:strike w:val="false"/>
          <w:dstrike w:val="false"/>
          <w:color w:val="000000"/>
          <w:spacing w:val="0"/>
          <w:sz w:val="24"/>
          <w:szCs w:val="24"/>
          <w:u w:val="none"/>
          <w:lang w:val="ro-RO"/>
        </w:rPr>
        <w:t xml:space="preserve">2001 privind acordarea de rechizite şcolare în anul şcolar 2001 – 2002, aprobată  cu modificări  și completări prin </w:t>
      </w:r>
      <w:r>
        <w:rPr>
          <w:rFonts w:ascii="Times New Roman" w:hAnsi="Times New Roman" w:cs="Times New Roman"/>
          <w:b w:val="false"/>
          <w:b w:val="false"/>
          <w:i w:val="false"/>
          <w:i w:val="false"/>
          <w:caps w:val="false"/>
          <w:smallCaps w:val="false"/>
          <w:strike w:val="false"/>
          <w:dstrike w:val="false"/>
          <w:color w:val="000000"/>
          <w:spacing w:val="0"/>
          <w:sz w:val="24"/>
          <w:sz w:val="24"/>
          <w:szCs w:val="24"/>
          <w:u w:val="none"/>
          <w:lang w:val="ro-RO"/>
        </w:rPr>
        <w:t>﻿</w:t>
      </w:r>
      <w:r>
        <w:rPr>
          <w:rFonts w:cs="Times New Roman" w:ascii="Times New Roman" w:hAnsi="Times New Roman"/>
          <w:b w:val="false"/>
          <w:i w:val="false"/>
          <w:caps w:val="false"/>
          <w:smallCaps w:val="false"/>
          <w:strike w:val="false"/>
          <w:dstrike w:val="false"/>
          <w:color w:val="000000"/>
          <w:spacing w:val="0"/>
          <w:sz w:val="24"/>
          <w:szCs w:val="24"/>
          <w:u w:val="none"/>
          <w:lang w:val="ro-RO"/>
        </w:rPr>
        <w:t>Legea nr. 126 din 18 martie 2002;</w:t>
      </w:r>
    </w:p>
    <w:p>
      <w:pPr>
        <w:pStyle w:val="Normal"/>
        <w:spacing w:before="0" w:after="0"/>
        <w:contextualSpacing/>
        <w:jc w:val="both"/>
        <w:rPr>
          <w:rFonts w:ascii="Times New Roman" w:hAnsi="Times New Roman" w:cs="Times New Roman"/>
          <w:b w:val="false"/>
          <w:b w:val="false"/>
          <w:i w:val="false"/>
          <w:i w:val="false"/>
          <w:caps w:val="false"/>
          <w:smallCaps w:val="false"/>
          <w:strike w:val="false"/>
          <w:dstrike w:val="false"/>
          <w:color w:val="000000"/>
          <w:spacing w:val="0"/>
          <w:sz w:val="24"/>
          <w:szCs w:val="24"/>
          <w:u w:val="none"/>
          <w:lang w:val="ro-RO"/>
        </w:rPr>
      </w:pPr>
      <w:r>
        <w:rPr>
          <w:rFonts w:cs="Times New Roman" w:ascii="Times New Roman" w:hAnsi="Times New Roman"/>
          <w:b w:val="false"/>
          <w:i w:val="false"/>
          <w:caps w:val="false"/>
          <w:smallCaps w:val="false"/>
          <w:strike w:val="false"/>
          <w:dstrike w:val="false"/>
          <w:color w:val="000000"/>
          <w:spacing w:val="0"/>
          <w:sz w:val="24"/>
          <w:szCs w:val="24"/>
          <w:u w:val="none"/>
          <w:lang w:val="ro-RO"/>
        </w:rPr>
        <w:t>- O.M.E.C.T.S. Nr 5576/07.10.2011 privind aprobarea Criteriilor generale de acordare a burselor elevilor din învăţământul preuniversitar de stat;</w:t>
      </w:r>
    </w:p>
    <w:p>
      <w:pPr>
        <w:pStyle w:val="Normal"/>
        <w:spacing w:before="0" w:after="0"/>
        <w:contextualSpacing/>
        <w:jc w:val="both"/>
        <w:rPr>
          <w:rFonts w:ascii="Times New Roman" w:hAnsi="Times New Roman" w:cs="Times New Roman"/>
          <w:sz w:val="24"/>
          <w:szCs w:val="24"/>
        </w:rPr>
      </w:pPr>
      <w:r>
        <w:rPr>
          <w:rFonts w:cs="Times New Roman" w:ascii="Times New Roman" w:hAnsi="Times New Roman"/>
          <w:b w:val="false"/>
          <w:i w:val="false"/>
          <w:caps w:val="false"/>
          <w:smallCaps w:val="false"/>
          <w:strike w:val="false"/>
          <w:dstrike w:val="false"/>
          <w:color w:val="000000"/>
          <w:spacing w:val="0"/>
          <w:sz w:val="24"/>
          <w:szCs w:val="24"/>
          <w:u w:val="none"/>
          <w:lang w:val="ro-RO"/>
        </w:rPr>
        <w:t>- H.G. nr. 1488/09.09.2004 privind aprobarea criteriilor şi a cuantumului sprijinului financiar ce se acordă elevilor în cadrul Programului naţional de protecţie socială "Bani de liceu";</w:t>
      </w:r>
    </w:p>
    <w:p>
      <w:pPr>
        <w:pStyle w:val="Corptext"/>
        <w:spacing w:before="0" w:after="0"/>
        <w:contextualSpacing/>
        <w:jc w:val="both"/>
        <w:rPr>
          <w:rFonts w:ascii="Times New Roman" w:hAnsi="Times New Roman" w:cs="Times New Roman"/>
          <w:sz w:val="24"/>
          <w:szCs w:val="24"/>
          <w:lang w:val="ro-RO"/>
        </w:rPr>
      </w:pPr>
      <w:r>
        <w:rPr>
          <w:rFonts w:cs="Times New Roman" w:ascii="Times New Roman" w:hAnsi="Times New Roman"/>
          <w:sz w:val="24"/>
          <w:szCs w:val="24"/>
          <w:lang w:val="ro-RO"/>
        </w:rPr>
        <w:t>- H.G. nr. 4839/01.10.2004 privind criteriile specifice şi metodologia de acordare a sprijinului financiar în cadrul Programului naţional de protecţie socială "Bani de liceu";</w:t>
      </w:r>
    </w:p>
    <w:p>
      <w:pPr>
        <w:pStyle w:val="Corptext"/>
        <w:spacing w:before="0" w:after="0"/>
        <w:contextualSpacing/>
        <w:jc w:val="both"/>
        <w:rPr/>
      </w:pPr>
      <w:r>
        <w:rPr>
          <w:rFonts w:cs="Times New Roman" w:ascii="Times New Roman" w:hAnsi="Times New Roman"/>
          <w:sz w:val="24"/>
          <w:szCs w:val="24"/>
          <w:lang w:val="ro-RO"/>
        </w:rPr>
        <w:t xml:space="preserve">-  H.G. nr 1062/30.10.2012 </w:t>
      </w:r>
      <w:r>
        <w:rPr>
          <w:rFonts w:cs="Times New Roman" w:ascii="Times New Roman" w:hAnsi="Times New Roman"/>
          <w:sz w:val="24"/>
          <w:szCs w:val="24"/>
        </w:rPr>
        <w:t>privind modalitatea de subvenţionare de către stat a costurilor pentru elevii care frecventează învăţământul profesional;</w:t>
      </w:r>
    </w:p>
    <w:p>
      <w:pPr>
        <w:pStyle w:val="Corptext"/>
        <w:spacing w:before="0" w:after="0"/>
        <w:contextualSpacing/>
        <w:jc w:val="both"/>
        <w:rPr/>
      </w:pPr>
      <w:r>
        <w:rPr>
          <w:rFonts w:cs="Times New Roman" w:ascii="Times New Roman" w:hAnsi="Times New Roman"/>
          <w:sz w:val="24"/>
          <w:szCs w:val="24"/>
          <w:lang w:val="ro-RO"/>
        </w:rPr>
        <w:t xml:space="preserve">- H.G. nr. 863/16.11.2016 </w:t>
      </w:r>
      <w:r>
        <w:rPr>
          <w:lang w:val="ro-RO"/>
        </w:rPr>
        <w:t xml:space="preserve">pentru aprobarea Metodologiei de calcul şi stabilirea tarifului maxim per kilometru aferent abonamentului de transport prevăzut la alin. (3) al art. 84 din </w:t>
      </w:r>
      <w:hyperlink r:id="rId11">
        <w:r>
          <w:rPr>
            <w:rStyle w:val="Style"/>
            <w:lang w:val="ro-RO"/>
          </w:rPr>
          <w:t>Legea educaţiei naţionale nr. 1/2011</w:t>
        </w:r>
      </w:hyperlink>
      <w:r>
        <w:rPr>
          <w:lang w:val="ro-RO"/>
        </w:rPr>
        <w:t>;</w:t>
      </w:r>
    </w:p>
    <w:p>
      <w:pPr>
        <w:pStyle w:val="Corptext"/>
        <w:spacing w:before="0" w:after="0"/>
        <w:contextualSpacing/>
        <w:jc w:val="both"/>
        <w:rPr/>
      </w:pPr>
      <w:r>
        <w:rPr>
          <w:rFonts w:cs="Times New Roman" w:ascii="Times New Roman" w:hAnsi="Times New Roman"/>
          <w:sz w:val="24"/>
          <w:szCs w:val="24"/>
          <w:lang w:val="ro-RO"/>
        </w:rPr>
        <w:t xml:space="preserve">- Legea nr. 22/18.11.1969, modificata si completata prin Legea 54/1994 privind angajarea gestionarilor, constituirea de garanţii şi răspunderea în legătură cu gestionarea bunurilor agenţilor economici, autorităţilor sau instituţiilor publice; </w:t>
      </w:r>
    </w:p>
    <w:p>
      <w:pPr>
        <w:pStyle w:val="Normal"/>
        <w:spacing w:before="0" w:after="0"/>
        <w:contextualSpacing/>
        <w:jc w:val="both"/>
        <w:rPr>
          <w:rFonts w:ascii="Times New Roman" w:hAnsi="Times New Roman" w:cs="Times New Roman"/>
          <w:sz w:val="24"/>
          <w:szCs w:val="24"/>
          <w:lang w:val="ro-RO"/>
        </w:rPr>
      </w:pPr>
      <w:r>
        <w:rPr>
          <w:rFonts w:cs="Times New Roman" w:ascii="Times New Roman" w:hAnsi="Times New Roman"/>
          <w:sz w:val="24"/>
          <w:szCs w:val="24"/>
          <w:lang w:val="ro-RO"/>
        </w:rPr>
        <w:t xml:space="preserve">- H.G nr. 276/21.05.2013 privind stabilirea valorii de intrare a mijloacelor fixe; </w:t>
      </w:r>
    </w:p>
    <w:p>
      <w:pPr>
        <w:pStyle w:val="Normal"/>
        <w:spacing w:before="0" w:after="0"/>
        <w:contextualSpacing/>
        <w:jc w:val="both"/>
        <w:rPr/>
      </w:pPr>
      <w:r>
        <w:rPr>
          <w:rFonts w:cs="Times New Roman" w:ascii="Times New Roman" w:hAnsi="Times New Roman"/>
          <w:b/>
          <w:bCs/>
          <w:sz w:val="24"/>
          <w:szCs w:val="24"/>
        </w:rPr>
        <w:t xml:space="preserve">- </w:t>
      </w:r>
      <w:r>
        <w:rPr>
          <w:rFonts w:cs="Times New Roman" w:ascii="Times New Roman" w:hAnsi="Times New Roman"/>
          <w:sz w:val="24"/>
          <w:szCs w:val="24"/>
        </w:rPr>
        <w:t>Hotărârea nr. 1860/</w:t>
      </w:r>
      <w:r>
        <w:rPr>
          <w:rFonts w:cs="Times New Roman" w:ascii="Times New Roman" w:hAnsi="Times New Roman"/>
          <w:sz w:val="24"/>
          <w:szCs w:val="24"/>
          <w:lang w:val="ro-RO"/>
        </w:rPr>
        <w:t>21.12.</w:t>
      </w:r>
      <w:r>
        <w:rPr>
          <w:rFonts w:cs="Times New Roman" w:ascii="Times New Roman" w:hAnsi="Times New Roman"/>
          <w:sz w:val="24"/>
          <w:szCs w:val="24"/>
        </w:rPr>
        <w:t xml:space="preserve">2006 privind drepturile şi obligaţiile personalului autorităţilor şi instituţiilor publice pe perioada delegării şi detaşării în altă localitate, precum şi în cazul deplasării, în cadrul localităţii, în interesul serviciului; </w:t>
      </w:r>
    </w:p>
    <w:p>
      <w:pPr>
        <w:pStyle w:val="Normal"/>
        <w:spacing w:before="0" w:after="0"/>
        <w:contextualSpacing/>
        <w:jc w:val="both"/>
        <w:rPr/>
      </w:pPr>
      <w:r>
        <w:rPr>
          <w:rFonts w:cs="Times New Roman" w:ascii="Times New Roman" w:hAnsi="Times New Roman"/>
          <w:sz w:val="24"/>
          <w:szCs w:val="24"/>
        </w:rPr>
        <w:t>- H.G. 2139/</w:t>
      </w:r>
      <w:r>
        <w:rPr>
          <w:rFonts w:cs="Times New Roman" w:ascii="Times New Roman" w:hAnsi="Times New Roman"/>
          <w:sz w:val="24"/>
          <w:szCs w:val="24"/>
          <w:lang w:val="ro-RO"/>
        </w:rPr>
        <w:t>30.11.</w:t>
      </w:r>
      <w:r>
        <w:rPr>
          <w:rFonts w:cs="Times New Roman" w:ascii="Times New Roman" w:hAnsi="Times New Roman"/>
          <w:sz w:val="24"/>
          <w:szCs w:val="24"/>
        </w:rPr>
        <w:t xml:space="preserve">2004 pentru aprobarea </w:t>
      </w:r>
      <w:r>
        <w:rPr>
          <w:rFonts w:cs="Times New Roman" w:ascii="Times New Roman" w:hAnsi="Times New Roman"/>
          <w:sz w:val="24"/>
          <w:szCs w:val="24"/>
          <w:lang w:val="ro-RO"/>
        </w:rPr>
        <w:t>C</w:t>
      </w:r>
      <w:r>
        <w:rPr>
          <w:rFonts w:cs="Times New Roman" w:ascii="Times New Roman" w:hAnsi="Times New Roman"/>
          <w:sz w:val="24"/>
          <w:szCs w:val="24"/>
        </w:rPr>
        <w:t>atalogului privind clasificarea şi duratele normale de funcţionare a mijloacelor fixe, actualizată;</w:t>
      </w:r>
    </w:p>
    <w:p>
      <w:pPr>
        <w:pStyle w:val="Normal"/>
        <w:spacing w:before="0" w:after="0"/>
        <w:contextualSpacing/>
        <w:jc w:val="both"/>
        <w:rPr/>
      </w:pPr>
      <w:r>
        <w:rPr>
          <w:rFonts w:cs="Times New Roman" w:ascii="Times New Roman" w:hAnsi="Times New Roman"/>
          <w:sz w:val="24"/>
          <w:szCs w:val="24"/>
          <w:lang w:val="ro-RO"/>
        </w:rPr>
        <w:t xml:space="preserve">- </w:t>
      </w:r>
      <w:r>
        <w:rPr>
          <w:rFonts w:cs="Times New Roman" w:ascii="Times New Roman" w:hAnsi="Times New Roman"/>
          <w:sz w:val="24"/>
          <w:szCs w:val="24"/>
        </w:rPr>
        <w:t>L</w:t>
      </w:r>
      <w:r>
        <w:rPr>
          <w:rFonts w:cs="Times New Roman" w:ascii="Times New Roman" w:hAnsi="Times New Roman"/>
          <w:sz w:val="24"/>
          <w:szCs w:val="24"/>
          <w:lang w:val="ro-RO"/>
        </w:rPr>
        <w:t>egea</w:t>
      </w:r>
      <w:r>
        <w:rPr>
          <w:rFonts w:cs="Times New Roman" w:ascii="Times New Roman" w:hAnsi="Times New Roman"/>
          <w:sz w:val="24"/>
          <w:szCs w:val="24"/>
        </w:rPr>
        <w:t xml:space="preserve"> nr. 319/</w:t>
      </w:r>
      <w:r>
        <w:rPr>
          <w:rFonts w:cs="Times New Roman" w:ascii="Times New Roman" w:hAnsi="Times New Roman"/>
          <w:sz w:val="24"/>
          <w:szCs w:val="24"/>
          <w:lang w:val="ro-RO"/>
        </w:rPr>
        <w:t>14.07.</w:t>
      </w:r>
      <w:r>
        <w:rPr>
          <w:rFonts w:cs="Times New Roman" w:ascii="Times New Roman" w:hAnsi="Times New Roman"/>
          <w:sz w:val="24"/>
          <w:szCs w:val="24"/>
        </w:rPr>
        <w:t>2006 Legea securităţii şi sănătăţii în muncă cu modificările si completările ulterioare;</w:t>
      </w:r>
    </w:p>
    <w:p>
      <w:pPr>
        <w:pStyle w:val="Normal"/>
        <w:spacing w:before="0" w:after="0"/>
        <w:contextualSpacing/>
        <w:jc w:val="both"/>
        <w:rPr/>
      </w:pPr>
      <w:r>
        <w:rPr>
          <w:rFonts w:cs="Times New Roman" w:ascii="Times New Roman" w:hAnsi="Times New Roman"/>
          <w:sz w:val="24"/>
          <w:szCs w:val="24"/>
          <w:lang w:val="ro-RO"/>
        </w:rPr>
        <w:t xml:space="preserve">- </w:t>
      </w:r>
      <w:r>
        <w:rPr>
          <w:rFonts w:cs="Times New Roman" w:ascii="Times New Roman" w:hAnsi="Times New Roman"/>
          <w:sz w:val="24"/>
          <w:szCs w:val="24"/>
        </w:rPr>
        <w:t>L</w:t>
      </w:r>
      <w:r>
        <w:rPr>
          <w:rFonts w:cs="Times New Roman" w:ascii="Times New Roman" w:hAnsi="Times New Roman"/>
          <w:sz w:val="24"/>
          <w:szCs w:val="24"/>
          <w:lang w:val="ro-RO"/>
        </w:rPr>
        <w:t>egea</w:t>
      </w:r>
      <w:r>
        <w:rPr>
          <w:rFonts w:cs="Times New Roman" w:ascii="Times New Roman" w:hAnsi="Times New Roman"/>
          <w:sz w:val="24"/>
          <w:szCs w:val="24"/>
        </w:rPr>
        <w:t xml:space="preserve"> nr.307/</w:t>
      </w:r>
      <w:r>
        <w:rPr>
          <w:rFonts w:cs="Times New Roman" w:ascii="Times New Roman" w:hAnsi="Times New Roman"/>
          <w:sz w:val="24"/>
          <w:szCs w:val="24"/>
          <w:lang w:val="ro-RO"/>
        </w:rPr>
        <w:t>12.07.</w:t>
      </w:r>
      <w:r>
        <w:rPr>
          <w:rFonts w:cs="Times New Roman" w:ascii="Times New Roman" w:hAnsi="Times New Roman"/>
          <w:sz w:val="24"/>
          <w:szCs w:val="24"/>
        </w:rPr>
        <w:t>2006 privind apărarea împotriva incendiilor, cu modificările ulterioare;</w:t>
      </w:r>
    </w:p>
    <w:p>
      <w:pPr>
        <w:pStyle w:val="Normal"/>
        <w:spacing w:before="0" w:after="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Spacing"/>
        <w:spacing w:before="0" w:after="0"/>
        <w:contextualSpacing/>
        <w:jc w:val="both"/>
        <w:rPr>
          <w:rFonts w:ascii="Times New Roman" w:hAnsi="Times New Roman" w:cs="Times New Roman"/>
          <w:sz w:val="24"/>
          <w:szCs w:val="24"/>
        </w:rPr>
      </w:pPr>
      <w:r>
        <w:rPr>
          <w:rFonts w:cs="Times New Roman" w:ascii="Times New Roman" w:hAnsi="Times New Roman"/>
          <w:sz w:val="24"/>
          <w:szCs w:val="24"/>
        </w:rPr>
      </w:r>
    </w:p>
    <w:p>
      <w:pPr>
        <w:pStyle w:val="Normal"/>
        <w:spacing w:before="0" w:after="0"/>
        <w:contextualSpacing/>
        <w:jc w:val="both"/>
        <w:rPr>
          <w:rFonts w:ascii="Times New Roman" w:hAnsi="Times New Roman" w:cs="Times New Roman"/>
          <w:sz w:val="24"/>
          <w:szCs w:val="24"/>
        </w:rPr>
      </w:pPr>
      <w:r>
        <w:rPr>
          <w:rFonts w:cs="Times New Roman" w:ascii="Times New Roman" w:hAnsi="Times New Roman"/>
          <w:sz w:val="24"/>
          <w:szCs w:val="24"/>
        </w:rPr>
      </w:r>
    </w:p>
    <w:p>
      <w:pPr>
        <w:pStyle w:val="Corptext"/>
        <w:spacing w:before="0" w:after="0"/>
        <w:contextualSpacing/>
        <w:jc w:val="both"/>
        <w:rPr>
          <w:rFonts w:ascii="Times New Roman" w:hAnsi="Times New Roman" w:cs="Times New Roman"/>
          <w:sz w:val="24"/>
          <w:szCs w:val="24"/>
        </w:rPr>
      </w:pPr>
      <w:r>
        <w:rPr>
          <w:rFonts w:cs="Times New Roman" w:ascii="Times New Roman" w:hAnsi="Times New Roman"/>
          <w:sz w:val="24"/>
          <w:szCs w:val="24"/>
        </w:rPr>
      </w:r>
    </w:p>
    <w:sectPr>
      <w:type w:val="nextPage"/>
      <w:pgSz w:w="12240" w:h="15840"/>
      <w:pgMar w:left="1440" w:right="1440" w:header="0" w:top="1440" w:footer="0" w:bottom="14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Symbol">
    <w:charset w:val="01"/>
    <w:family w:val="roman"/>
    <w:pitch w:val="variable"/>
  </w:font>
  <w:font w:name="Arial">
    <w:charset w:val="ee"/>
    <w:family w:val="roman"/>
    <w:pitch w:val="variable"/>
  </w:font>
  <w:font w:name="Times New Roman">
    <w:charset w:val="80"/>
    <w:family w:val="roman"/>
    <w:pitch w:val="variable"/>
  </w:font>
  <w:font w:name="TimesNewRomanPSMT">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itlu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ind w:left="1440" w:hanging="360"/>
      </w:pPr>
      <w:rPr>
        <w:rFonts w:ascii="Symbol" w:hAnsi="Symbol" w:cs="Symbol" w:hint="default"/>
        <w:rFonts w:cs="Symbol"/>
      </w:rPr>
    </w:lvl>
  </w:abstractNum>
  <w:abstractNum w:abstractNumId="3">
    <w:lvl w:ilvl="0">
      <w:start w:val="1"/>
      <w:numFmt w:val="bullet"/>
      <w:lvlText w:val=""/>
      <w:lvlJc w:val="left"/>
      <w:pPr>
        <w:ind w:left="720" w:hanging="360"/>
      </w:pPr>
      <w:rPr>
        <w:rFonts w:ascii="Symbol" w:hAnsi="Symbol" w:cs="Symbol" w:hint="default"/>
        <w:rFonts w:cs="Times New Roman"/>
      </w:rPr>
    </w:lvl>
  </w:abstractNum>
  <w:abstractNum w:abstractNumId="4">
    <w:lvl w:ilvl="0">
      <w:start w:val="1"/>
      <w:numFmt w:val="bullet"/>
      <w:lvlText w:val=""/>
      <w:lvlJc w:val="left"/>
      <w:pPr>
        <w:ind w:left="720" w:hanging="360"/>
      </w:pPr>
      <w:rPr>
        <w:rFonts w:ascii="Symbol" w:hAnsi="Symbol" w:cs="Symbol" w:hint="default"/>
        <w:rFonts w:cs="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ro-RO" w:eastAsia="zh-CN" w:bidi="hi-IN"/>
      </w:rPr>
    </w:rPrDefault>
    <w:pPrDefault>
      <w:pPr/>
    </w:pPrDefault>
  </w:docDefaults>
  <w:style w:type="paragraph" w:styleId="Normal">
    <w:name w:val="Normal"/>
    <w:qFormat/>
    <w:pPr>
      <w:widowControl/>
      <w:suppressAutoHyphens w:val="true"/>
      <w:bidi w:val="0"/>
      <w:spacing w:lineRule="atLeast" w:line="100" w:before="0" w:after="0"/>
      <w:jc w:val="left"/>
    </w:pPr>
    <w:rPr>
      <w:rFonts w:ascii="Times New Roman" w:hAnsi="Times New Roman" w:eastAsia="SimSun" w:cs="Times New Roman"/>
      <w:color w:val="000000"/>
      <w:sz w:val="24"/>
      <w:szCs w:val="24"/>
      <w:lang w:val="en-US" w:eastAsia="en-US" w:bidi="ar-SA"/>
    </w:rPr>
  </w:style>
  <w:style w:type="paragraph" w:styleId="Titlu1">
    <w:name w:val="Heading 1"/>
    <w:basedOn w:val="Normal"/>
    <w:next w:val="Normal"/>
    <w:qFormat/>
    <w:pPr>
      <w:keepNext/>
      <w:numPr>
        <w:ilvl w:val="0"/>
        <w:numId w:val="1"/>
      </w:numPr>
      <w:jc w:val="center"/>
      <w:outlineLvl w:val="0"/>
      <w:outlineLvl w:val="0"/>
    </w:pPr>
    <w:rPr>
      <w:b/>
      <w:bCs/>
      <w:u w:val="single"/>
    </w:rPr>
  </w:style>
  <w:style w:type="character" w:styleId="DefaultParagraphFont">
    <w:name w:val="Default Paragraph Font"/>
    <w:qFormat/>
    <w:rPr/>
  </w:style>
  <w:style w:type="character" w:styleId="InternetLink">
    <w:name w:val="Internet Link"/>
    <w:qFormat/>
    <w:rPr>
      <w:color w:val="000080"/>
      <w:u w:val="single"/>
      <w:lang w:val="en-US" w:eastAsia="en-US" w:bidi="en-US"/>
    </w:rPr>
  </w:style>
  <w:style w:type="character" w:styleId="WW8Num4z0">
    <w:name w:val="WW8Num4z0"/>
    <w:qFormat/>
    <w:rPr>
      <w:rFonts w:ascii="Symbol" w:hAnsi="Symbol" w:cs="Symbol"/>
    </w:rPr>
  </w:style>
  <w:style w:type="character" w:styleId="LegturInternet">
    <w:name w:val="Legătură Internet"/>
    <w:rPr>
      <w:color w:val="000080"/>
      <w:u w:val="single"/>
      <w:lang w:val="zxx" w:eastAsia="zxx" w:bidi="zxx"/>
    </w:rPr>
  </w:style>
  <w:style w:type="character" w:styleId="WW8Num10z0">
    <w:name w:val="WW8Num10z0"/>
    <w:qFormat/>
    <w:rPr>
      <w:rFonts w:ascii="Symbol" w:hAnsi="Symbol" w:cs="Times New Roman"/>
    </w:rPr>
  </w:style>
  <w:style w:type="character" w:styleId="WW8Num9z0">
    <w:name w:val="WW8Num9z0"/>
    <w:qFormat/>
    <w:rPr>
      <w:rFonts w:ascii="Symbol" w:hAnsi="Symbol" w:cs="Symbol"/>
    </w:rPr>
  </w:style>
  <w:style w:type="paragraph" w:styleId="Stiltitlu">
    <w:name w:val="Stil titlu"/>
    <w:basedOn w:val="Normal"/>
    <w:next w:val="Corptext"/>
    <w:qFormat/>
    <w:pPr>
      <w:keepNext/>
      <w:spacing w:before="240" w:after="120"/>
    </w:pPr>
    <w:rPr>
      <w:rFonts w:ascii="Arial" w:hAnsi="Arial" w:eastAsia="Microsoft YaHei" w:cs="Mangal"/>
      <w:sz w:val="28"/>
      <w:szCs w:val="28"/>
    </w:rPr>
  </w:style>
  <w:style w:type="paragraph" w:styleId="Corptext">
    <w:name w:val="Body Text"/>
    <w:basedOn w:val="Normal"/>
    <w:pPr>
      <w:spacing w:lineRule="auto" w:line="288" w:before="0" w:after="140"/>
    </w:pPr>
    <w:rPr/>
  </w:style>
  <w:style w:type="paragraph" w:styleId="List">
    <w:name w:val="List"/>
    <w:basedOn w:val="Textbody"/>
    <w:pPr/>
    <w:rPr>
      <w:rFonts w:cs="Mangal"/>
    </w:rPr>
  </w:style>
  <w:style w:type="paragraph" w:styleId="Legend">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Textbody">
    <w:name w:val="Text body"/>
    <w:basedOn w:val="Normal"/>
    <w:qFormat/>
    <w:pPr>
      <w:spacing w:before="0" w:after="120"/>
    </w:pPr>
    <w:rPr/>
  </w:style>
  <w:style w:type="paragraph" w:styleId="NoSpacing">
    <w:name w:val="No Spacing"/>
    <w:qFormat/>
    <w:pPr>
      <w:widowControl/>
      <w:suppressAutoHyphens w:val="true"/>
      <w:bidi w:val="0"/>
      <w:jc w:val="left"/>
    </w:pPr>
    <w:rPr>
      <w:rFonts w:ascii="Times New Roman" w:hAnsi="Times New Roman" w:eastAsia="Times New Roman" w:cs="Times New Roman"/>
      <w:color w:val="00000A"/>
      <w:sz w:val="24"/>
      <w:szCs w:val="24"/>
      <w:lang w:val="en-GB" w:eastAsia="zh-CN" w:bidi="ar-SA"/>
    </w:rPr>
  </w:style>
  <w:style w:type="numbering" w:styleId="WW8Num4">
    <w:name w:val="WW8Num4"/>
    <w:qFormat/>
  </w:style>
  <w:style w:type="numbering" w:styleId="WW8Num10">
    <w:name w:val="WW8Num10"/>
    <w:qFormat/>
  </w:style>
  <w:style w:type="numbering" w:styleId="WW8Num9">
    <w:name w:val="WW8Num9"/>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iphd.ro/doc/legi_site/2011/omects4576_2011.pdf" TargetMode="External"/><Relationship Id="rId4" Type="http://schemas.openxmlformats.org/officeDocument/2006/relationships/hyperlink" Target="" TargetMode="External"/><Relationship Id="rId5" Type="http://schemas.openxmlformats.org/officeDocument/2006/relationships/hyperlink" Target="http://siphd.ro/doc/legi_site/2012/omects4271_2012.pdf" TargetMode="External"/><Relationship Id="rId6" Type="http://schemas.openxmlformats.org/officeDocument/2006/relationships/hyperlink" Target="" TargetMode="External"/><Relationship Id="rId7" Type="http://schemas.openxmlformats.org/officeDocument/2006/relationships/hyperlink" Target="" TargetMode="External"/><Relationship Id="rId8" Type="http://schemas.openxmlformats.org/officeDocument/2006/relationships/hyperlink" Target="" TargetMode="External"/><Relationship Id="rId9" Type="http://schemas.openxmlformats.org/officeDocument/2006/relationships/hyperlink" Target="" TargetMode="External"/><Relationship Id="rId10" Type="http://schemas.openxmlformats.org/officeDocument/2006/relationships/hyperlink" Target="" TargetMode="External"/><Relationship Id="rId11" Type="http://schemas.openxmlformats.org/officeDocument/2006/relationships/hyperlink" Target="" TargetMode="Externa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63</TotalTime>
  <Application>LibreOffice/5.2.5.1$Windows_x86 LibreOffice_project/0312e1a284a7d50ca85a365c316c7abbf20a4d22</Application>
  <Pages>6</Pages>
  <Words>1834</Words>
  <Characters>11794</Characters>
  <CharactersWithSpaces>13728</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2017-05-14T15:06:00Z</dcterms:created>
  <dc:creator>Doina</dc:creator>
  <dc:description/>
  <dc:language>ro-RO</dc:language>
  <cp:lastModifiedBy/>
  <dcterms:modified xsi:type="dcterms:W3CDTF">2017-05-17T14:31:30Z</dcterms:modified>
  <cp:revision>2</cp:revision>
  <dc:subject/>
  <dc:title/>
</cp:coreProperties>
</file>