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  <w:spacing w:after="200" w:line="276" w:lineRule="auto"/>
        <w:ind w:left="0" w:right="0" w:firstLine="72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Ș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coala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…</w:t>
      </w:r>
    </w:p>
    <w:p>
      <w:pPr>
        <w:pStyle w:val="Body"/>
        <w:bidi w:val="0"/>
        <w:spacing w:after="200" w:line="276" w:lineRule="auto"/>
        <w:ind w:left="0" w:right="0" w:firstLine="72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Profesor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…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.</w:t>
      </w:r>
    </w:p>
    <w:p>
      <w:pPr>
        <w:pStyle w:val="Body"/>
        <w:bidi w:val="0"/>
        <w:spacing w:after="200" w:line="276" w:lineRule="auto"/>
        <w:ind w:left="0" w:right="0" w:firstLine="72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Aria Curicular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: Consiliere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ș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 dezvoltare personal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ă</w:t>
      </w:r>
    </w:p>
    <w:p>
      <w:pPr>
        <w:pStyle w:val="Body"/>
        <w:bidi w:val="0"/>
        <w:spacing w:after="200" w:line="276" w:lineRule="auto"/>
        <w:ind w:left="0" w:right="0" w:firstLine="72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 xml:space="preserve">Disciplina: Consiliere 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ș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i dezvoltare personal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ă</w:t>
      </w:r>
    </w:p>
    <w:p>
      <w:pPr>
        <w:pStyle w:val="Body"/>
        <w:bidi w:val="0"/>
        <w:spacing w:after="200" w:line="276" w:lineRule="auto"/>
        <w:ind w:left="0" w:right="0" w:firstLine="720"/>
        <w:jc w:val="left"/>
        <w:rPr>
          <w:rFonts w:ascii="Times New Roman" w:cs="Times New Roman" w:hAnsi="Times New Roman" w:eastAsia="Times New Roman"/>
          <w:b w:val="1"/>
          <w:bCs w:val="1"/>
          <w:sz w:val="24"/>
          <w:szCs w:val="24"/>
          <w:u w:color="000000"/>
          <w:rtl w:val="0"/>
          <w:lang w:val="en-US"/>
        </w:rPr>
      </w:pP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Clasa a V-a, 1 or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/s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pt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m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â</w:t>
      </w:r>
      <w:r>
        <w:rPr>
          <w:rFonts w:ascii="Times New Roman" w:hAnsi="Times New Roman"/>
          <w:b w:val="1"/>
          <w:bCs w:val="1"/>
          <w:sz w:val="24"/>
          <w:szCs w:val="24"/>
          <w:u w:color="000000"/>
          <w:rtl w:val="0"/>
        </w:rPr>
        <w:t>n</w:t>
      </w:r>
      <w:r>
        <w:rPr>
          <w:rFonts w:ascii="Times New Roman" w:hAnsi="Times New Roman" w:hint="default"/>
          <w:b w:val="1"/>
          <w:bCs w:val="1"/>
          <w:sz w:val="24"/>
          <w:szCs w:val="24"/>
          <w:u w:color="000000"/>
          <w:rtl w:val="0"/>
        </w:rPr>
        <w:t>ă</w:t>
      </w:r>
    </w:p>
    <w:p>
      <w:pPr>
        <w:pStyle w:val="Body"/>
        <w:bidi w:val="0"/>
        <w:spacing w:after="200" w:line="276" w:lineRule="auto"/>
        <w:ind w:left="0" w:right="0" w:firstLine="720"/>
        <w:jc w:val="left"/>
        <w:rPr>
          <w:rFonts w:ascii="Calibri" w:cs="Calibri" w:hAnsi="Calibri" w:eastAsia="Calibri"/>
          <w:u w:color="000000"/>
          <w:rtl w:val="0"/>
          <w:lang w:val="en-US"/>
        </w:rPr>
      </w:pPr>
    </w:p>
    <w:p>
      <w:pPr>
        <w:pStyle w:val="Body"/>
        <w:bidi w:val="0"/>
        <w:spacing w:after="200" w:line="276" w:lineRule="auto"/>
        <w:ind w:left="0" w:right="0" w:firstLine="0"/>
        <w:jc w:val="left"/>
        <w:rPr>
          <w:rFonts w:ascii="Calibri" w:cs="Calibri" w:hAnsi="Calibri" w:eastAsia="Calibri"/>
          <w:b w:val="1"/>
          <w:bCs w:val="1"/>
          <w:sz w:val="36"/>
          <w:szCs w:val="36"/>
          <w:u w:color="000000"/>
          <w:rtl w:val="0"/>
          <w:lang w:val="en-US"/>
        </w:rPr>
      </w:pPr>
      <w:r>
        <w:rPr>
          <w:rFonts w:ascii="Calibri" w:cs="Calibri" w:hAnsi="Calibri" w:eastAsia="Calibri"/>
          <w:sz w:val="36"/>
          <w:szCs w:val="36"/>
          <w:u w:color="000000"/>
          <w:rtl w:val="0"/>
          <w:lang w:val="en-US"/>
        </w:rPr>
        <w:tab/>
      </w:r>
      <w:r>
        <w:rPr>
          <w:rFonts w:ascii="Arial" w:cs="Calibri" w:hAnsi="Arial" w:eastAsia="Calibri"/>
          <w:b w:val="1"/>
          <w:bCs w:val="1"/>
          <w:sz w:val="28"/>
          <w:szCs w:val="28"/>
          <w:u w:color="000000"/>
          <w:rtl w:val="0"/>
          <w:lang w:val="en-US"/>
        </w:rPr>
        <w:t>Planificare Anual</w:t>
      </w:r>
      <w:r>
        <w:rPr>
          <w:rFonts w:ascii="Arial" w:cs="Calibri" w:hAnsi="Arial" w:eastAsia="Calibri" w:hint="default"/>
          <w:b w:val="1"/>
          <w:bCs w:val="1"/>
          <w:sz w:val="28"/>
          <w:szCs w:val="28"/>
          <w:u w:color="000000"/>
          <w:rtl w:val="0"/>
          <w:lang w:val="en-US"/>
        </w:rPr>
        <w:t>ă</w:t>
      </w:r>
      <w:r>
        <w:rPr>
          <w:rFonts w:ascii="Arial" w:cs="Calibri" w:hAnsi="Arial" w:eastAsia="Calibri"/>
          <w:b w:val="1"/>
          <w:bCs w:val="1"/>
          <w:sz w:val="28"/>
          <w:szCs w:val="28"/>
          <w:u w:color="000000"/>
          <w:rtl w:val="0"/>
          <w:lang w:val="en-US"/>
        </w:rPr>
        <w:t xml:space="preserve"> -</w:t>
      </w:r>
      <w:r>
        <w:rPr>
          <w:rFonts w:ascii="Arial" w:cs="Calibri" w:hAnsi="Arial" w:eastAsia="Calibri"/>
          <w:b w:val="1"/>
          <w:bCs w:val="1"/>
          <w:sz w:val="28"/>
          <w:szCs w:val="28"/>
          <w:u w:color="000000"/>
          <w:rtl w:val="0"/>
          <w:lang w:val="en-US"/>
        </w:rPr>
        <w:t xml:space="preserve"> </w:t>
      </w:r>
      <w:r>
        <w:rPr>
          <w:rFonts w:ascii="Arial" w:cs="Calibri" w:hAnsi="Arial" w:eastAsia="Calibri"/>
          <w:b w:val="1"/>
          <w:bCs w:val="1"/>
          <w:sz w:val="28"/>
          <w:szCs w:val="28"/>
          <w:u w:color="000000"/>
          <w:rtl w:val="0"/>
          <w:lang w:val="en-US"/>
        </w:rPr>
        <w:t xml:space="preserve">Anul </w:t>
      </w:r>
      <w:r>
        <w:rPr>
          <w:rFonts w:ascii="Arial" w:cs="Calibri" w:hAnsi="Arial" w:eastAsia="Calibri" w:hint="default"/>
          <w:b w:val="1"/>
          <w:bCs w:val="1"/>
          <w:sz w:val="28"/>
          <w:szCs w:val="28"/>
          <w:u w:color="000000"/>
          <w:rtl w:val="0"/>
          <w:lang w:val="en-US"/>
        </w:rPr>
        <w:t>ş</w:t>
      </w:r>
      <w:r>
        <w:rPr>
          <w:rFonts w:ascii="Arial" w:cs="Calibri" w:hAnsi="Arial" w:eastAsia="Calibri"/>
          <w:b w:val="1"/>
          <w:bCs w:val="1"/>
          <w:sz w:val="28"/>
          <w:szCs w:val="28"/>
          <w:u w:color="000000"/>
          <w:rtl w:val="0"/>
          <w:lang w:val="en-US"/>
        </w:rPr>
        <w:t>colar 2017-2018</w:t>
      </w:r>
    </w:p>
    <w:tbl>
      <w:tblPr>
        <w:tblW w:w="1317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392"/>
        <w:gridCol w:w="7727"/>
        <w:gridCol w:w="1057"/>
      </w:tblGrid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spacing w:after="20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rtl w:val="0"/>
              </w:rPr>
              <w:t>Perioada</w:t>
            </w:r>
          </w:p>
        </w:tc>
        <w:tc>
          <w:tcPr>
            <w:tcW w:type="dxa" w:w="77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rtl w:val="0"/>
              </w:rPr>
              <w:t>Domeniul Tematic</w:t>
            </w:r>
          </w:p>
        </w:tc>
        <w:tc>
          <w:tcPr>
            <w:tcW w:type="dxa" w:w="10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rtl w:val="0"/>
                <w:lang w:val="de-DE"/>
              </w:rPr>
              <w:t>Num</w:t>
            </w:r>
            <w:r>
              <w:rPr>
                <w:rFonts w:ascii="Calibri" w:cs="Calibri" w:hAnsi="Calibri" w:eastAsia="Calibri" w:hint="default"/>
                <w:b w:val="1"/>
                <w:bCs w:val="1"/>
                <w:sz w:val="24"/>
                <w:szCs w:val="24"/>
                <w:u w:color="000000"/>
                <w:rtl w:val="0"/>
              </w:rPr>
              <w:t>ă</w:t>
            </w:r>
            <w:r>
              <w:rPr>
                <w:rFonts w:ascii="Calibri" w:cs="Calibri" w:hAnsi="Calibri" w:eastAsia="Calibri"/>
                <w:b w:val="1"/>
                <w:bCs w:val="1"/>
                <w:sz w:val="24"/>
                <w:szCs w:val="24"/>
                <w:u w:color="000000"/>
                <w:rtl w:val="0"/>
              </w:rPr>
              <w:t>r de ore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4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Semestrul I 11 Septembrie 2017-2 Februarie 2018</w:t>
            </w:r>
          </w:p>
        </w:tc>
        <w:tc>
          <w:tcPr>
            <w:tcW w:type="dxa" w:w="77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u w:color="000000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Autocunoa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  <w:lang w:val="it-IT"/>
              </w:rPr>
              <w:t xml:space="preserve">tere 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i stil de via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 xml:space="preserve">ţă 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s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  <w:lang w:val="pt-PT"/>
              </w:rPr>
              <w:t xml:space="preserve">tos 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i echilibrat</w:t>
            </w:r>
          </w:p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Dezvoltare emo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ţ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fr-FR"/>
              </w:rPr>
              <w:t>ional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ă ş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fr-FR"/>
              </w:rPr>
              <w:t>i social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ă</w:t>
            </w:r>
          </w:p>
        </w:tc>
        <w:tc>
          <w:tcPr>
            <w:tcW w:type="dxa" w:w="10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sz w:val="24"/>
                <w:szCs w:val="24"/>
                <w:u w:color="000000"/>
                <w:rtl w:val="0"/>
                <w:lang w:val="en-US"/>
              </w:rPr>
              <w:t>18</w:t>
            </w:r>
          </w:p>
        </w:tc>
      </w:tr>
      <w:tr>
        <w:tblPrEx>
          <w:shd w:val="clear" w:color="auto" w:fill="ced7e7"/>
        </w:tblPrEx>
        <w:trPr>
          <w:trHeight w:val="900" w:hRule="atLeast"/>
        </w:trPr>
        <w:tc>
          <w:tcPr>
            <w:tcW w:type="dxa" w:w="4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Semestrul al II-lea 12 Februarie 2018-15 Iunie 2018</w:t>
            </w:r>
          </w:p>
        </w:tc>
        <w:tc>
          <w:tcPr>
            <w:tcW w:type="dxa" w:w="772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u w:color="000000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Autocunoa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  <w:lang w:val="it-IT"/>
              </w:rPr>
              <w:t xml:space="preserve">tere 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i stil de via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 xml:space="preserve">ţă 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s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  <w:lang w:val="pt-PT"/>
              </w:rPr>
              <w:t xml:space="preserve">tos 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i echilibrat</w:t>
            </w:r>
          </w:p>
          <w:p>
            <w:pPr>
              <w:pStyle w:val="Body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u w:color="000000"/>
              </w:rPr>
            </w:pP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 xml:space="preserve">Managementul 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u w:color="000000"/>
                <w:rtl w:val="0"/>
              </w:rPr>
              <w:t>ăţă</w:t>
            </w:r>
            <w:r>
              <w:rPr>
                <w:rFonts w:ascii="Times New Roman" w:hAnsi="Times New Roman"/>
                <w:sz w:val="24"/>
                <w:szCs w:val="24"/>
                <w:u w:color="000000"/>
                <w:rtl w:val="0"/>
              </w:rPr>
              <w:t>rii</w:t>
            </w:r>
          </w:p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Managementul carierei</w:t>
            </w:r>
          </w:p>
        </w:tc>
        <w:tc>
          <w:tcPr>
            <w:tcW w:type="dxa" w:w="105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sz w:val="24"/>
                <w:szCs w:val="24"/>
                <w:u w:color="000000"/>
                <w:rtl w:val="0"/>
                <w:lang w:val="en-US"/>
              </w:rPr>
              <w:t>16</w:t>
            </w:r>
          </w:p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1317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Programul Na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ţ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pt-PT"/>
              </w:rPr>
              <w:t xml:space="preserve">ional 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“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coala Altfel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 xml:space="preserve">” 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se va desf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ăş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 xml:space="preserve">ura 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î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n intervalul 2 Octombrie 2017-31 Mai 2018, pe baza unei planific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ă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ri aflate la decizia unit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ăţ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 xml:space="preserve">ii de 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î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nv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ăţă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m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â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en-US"/>
              </w:rPr>
              <w:t>nt.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1317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 xml:space="preserve">Total ore an 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fr-FR"/>
              </w:rPr>
              <w:t>colar : 34</w:t>
            </w:r>
          </w:p>
        </w:tc>
      </w:tr>
      <w:tr>
        <w:tblPrEx>
          <w:shd w:val="clear" w:color="auto" w:fill="ced7e7"/>
        </w:tblPrEx>
        <w:trPr>
          <w:trHeight w:val="605" w:hRule="atLeast"/>
        </w:trPr>
        <w:tc>
          <w:tcPr>
            <w:tcW w:type="dxa" w:w="13176"/>
            <w:gridSpan w:val="3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bidi w:val="0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u w:color="000000"/>
                <w:rtl w:val="0"/>
              </w:rPr>
            </w:pPr>
          </w:p>
          <w:p>
            <w:pPr>
              <w:pStyle w:val="Body"/>
              <w:jc w:val="center"/>
            </w:pP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Total s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ă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pt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ă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>m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â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</w:rPr>
              <w:t xml:space="preserve">ni an </w:t>
            </w:r>
            <w:r>
              <w:rPr>
                <w:rFonts w:ascii="Calibri" w:cs="Calibri" w:hAnsi="Calibri" w:eastAsia="Calibri" w:hint="default"/>
                <w:b w:val="0"/>
                <w:bCs w:val="0"/>
                <w:sz w:val="24"/>
                <w:szCs w:val="24"/>
                <w:u w:color="000000"/>
                <w:rtl w:val="0"/>
              </w:rPr>
              <w:t>ş</w:t>
            </w:r>
            <w:r>
              <w:rPr>
                <w:rFonts w:ascii="Calibri" w:cs="Calibri" w:hAnsi="Calibri" w:eastAsia="Calibri"/>
                <w:b w:val="0"/>
                <w:bCs w:val="0"/>
                <w:sz w:val="24"/>
                <w:szCs w:val="24"/>
                <w:u w:color="000000"/>
                <w:rtl w:val="0"/>
                <w:lang w:val="it-IT"/>
              </w:rPr>
              <w:t>colar:  35</w:t>
            </w:r>
          </w:p>
        </w:tc>
      </w:tr>
    </w:tbl>
    <w:p>
      <w:pPr>
        <w:pStyle w:val="Body"/>
        <w:widowControl w:val="0"/>
        <w:bidi w:val="0"/>
        <w:spacing w:after="200"/>
        <w:ind w:left="0" w:right="0" w:firstLine="0"/>
        <w:jc w:val="center"/>
        <w:rPr>
          <w:rtl w:val="0"/>
        </w:rPr>
      </w:pPr>
      <w:r>
        <w:rPr>
          <w:rFonts w:ascii="Calibri" w:cs="Calibri" w:hAnsi="Calibri" w:eastAsia="Calibri"/>
          <w:b w:val="1"/>
          <w:bCs w:val="1"/>
          <w:sz w:val="36"/>
          <w:szCs w:val="36"/>
          <w:u w:color="000000"/>
          <w:rtl w:val="0"/>
          <w:lang w:val="en-US"/>
        </w:rPr>
      </w:r>
    </w:p>
    <w:sectPr>
      <w:headerReference w:type="default" r:id="rId4"/>
      <w:footerReference w:type="default" r:id="rId5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