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ind w:firstLine="72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Ș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coala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…</w:t>
      </w:r>
    </w:p>
    <w:p>
      <w:pPr>
        <w:pStyle w:val="Body"/>
        <w:ind w:firstLine="72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Profesor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…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.</w:t>
      </w:r>
    </w:p>
    <w:p>
      <w:pPr>
        <w:pStyle w:val="Body"/>
        <w:ind w:firstLine="72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Aria Curicular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: Consiliere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ș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 dezvoltare personal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</w:p>
    <w:p>
      <w:pPr>
        <w:pStyle w:val="Body"/>
        <w:ind w:firstLine="72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 xml:space="preserve">Disciplina: Consiliere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ș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i dezvoltare personal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</w:p>
    <w:p>
      <w:pPr>
        <w:pStyle w:val="Body"/>
        <w:ind w:firstLine="720"/>
        <w:rPr>
          <w:rFonts w:ascii="Times New Roman" w:cs="Times New Roman" w:hAnsi="Times New Roman" w:eastAsia="Times New Roman"/>
          <w:b w:val="1"/>
          <w:bCs w:val="1"/>
          <w:sz w:val="24"/>
          <w:szCs w:val="24"/>
          <w:lang w:val="en-US"/>
        </w:rPr>
      </w:pP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Clasa a V-a, 1 or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/s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pt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m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â</w:t>
      </w:r>
      <w:r>
        <w:rPr>
          <w:rFonts w:ascii="Times New Roman" w:hAnsi="Times New Roman"/>
          <w:b w:val="1"/>
          <w:bCs w:val="1"/>
          <w:sz w:val="24"/>
          <w:szCs w:val="24"/>
          <w:rtl w:val="0"/>
        </w:rPr>
        <w:t>n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</w:rPr>
        <w:t>ă</w:t>
      </w:r>
    </w:p>
    <w:p>
      <w:pPr>
        <w:pStyle w:val="Body"/>
        <w:ind w:firstLine="720"/>
        <w:rPr>
          <w:rFonts w:ascii="Calibri" w:cs="Calibri" w:hAnsi="Calibri" w:eastAsia="Calibri"/>
          <w:b w:val="1"/>
          <w:bCs w:val="1"/>
          <w:lang w:val="en-US"/>
        </w:rPr>
      </w:pPr>
    </w:p>
    <w:p>
      <w:pPr>
        <w:pStyle w:val="Body"/>
        <w:jc w:val="center"/>
        <w:rPr>
          <w:rFonts w:ascii="Calibri" w:cs="Calibri" w:hAnsi="Calibri" w:eastAsia="Calibri"/>
          <w:b w:val="1"/>
          <w:bCs w:val="1"/>
          <w:sz w:val="28"/>
          <w:szCs w:val="28"/>
          <w:lang w:val="en-US"/>
        </w:rPr>
      </w:pPr>
    </w:p>
    <w:p>
      <w:pPr>
        <w:pStyle w:val="Body"/>
        <w:jc w:val="center"/>
        <w:rPr>
          <w:b w:val="1"/>
          <w:bCs w:val="1"/>
          <w:sz w:val="28"/>
          <w:szCs w:val="28"/>
          <w:lang w:val="en-US"/>
        </w:rPr>
      </w:pPr>
      <w:r>
        <w:rPr>
          <w:b w:val="1"/>
          <w:bCs w:val="1"/>
          <w:sz w:val="28"/>
          <w:szCs w:val="28"/>
          <w:rtl w:val="0"/>
          <w:lang w:val="en-US"/>
        </w:rPr>
        <w:t>Planificare calendaristic</w:t>
      </w:r>
      <w:r>
        <w:rPr>
          <w:b w:val="1"/>
          <w:bCs w:val="1"/>
          <w:sz w:val="28"/>
          <w:szCs w:val="28"/>
          <w:rtl w:val="0"/>
          <w:lang w:val="en-US"/>
        </w:rPr>
        <w:t xml:space="preserve">ă </w:t>
      </w:r>
      <w:r>
        <w:rPr>
          <w:b w:val="1"/>
          <w:bCs w:val="1"/>
          <w:sz w:val="28"/>
          <w:szCs w:val="28"/>
          <w:rtl w:val="0"/>
          <w:lang w:val="en-US"/>
        </w:rPr>
        <w:t>pe semestrul I</w:t>
      </w:r>
    </w:p>
    <w:p>
      <w:pPr>
        <w:pStyle w:val="Body"/>
        <w:jc w:val="center"/>
        <w:rPr>
          <w:b w:val="1"/>
          <w:bCs w:val="1"/>
          <w:sz w:val="28"/>
          <w:szCs w:val="28"/>
          <w:lang w:val="en-US"/>
        </w:rPr>
      </w:pPr>
    </w:p>
    <w:p>
      <w:pPr>
        <w:pStyle w:val="Body"/>
        <w:jc w:val="center"/>
        <w:rPr>
          <w:b w:val="1"/>
          <w:bCs w:val="1"/>
          <w:sz w:val="28"/>
          <w:szCs w:val="28"/>
        </w:rPr>
      </w:pPr>
    </w:p>
    <w:tbl>
      <w:tblPr>
        <w:tblW w:w="1317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10"/>
        <w:gridCol w:w="2659"/>
        <w:gridCol w:w="2277"/>
        <w:gridCol w:w="5519"/>
        <w:gridCol w:w="567"/>
        <w:gridCol w:w="825"/>
        <w:gridCol w:w="619"/>
      </w:tblGrid>
      <w:tr>
        <w:tblPrEx>
          <w:shd w:val="clear" w:color="auto" w:fill="ced7e7"/>
        </w:tblPrEx>
        <w:trPr>
          <w:trHeight w:val="643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Nr. CRT</w:t>
            </w:r>
          </w:p>
        </w:tc>
        <w:tc>
          <w:tcPr>
            <w:tcW w:type="dxa" w:w="26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Domeniul Tematic</w:t>
            </w:r>
          </w:p>
        </w:tc>
        <w:tc>
          <w:tcPr>
            <w:tcW w:type="dxa" w:w="22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Con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>ţ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>inutur</w:t>
            </w:r>
            <w:r>
              <w:rPr>
                <w:b w:val="1"/>
                <w:bCs w:val="1"/>
                <w:sz w:val="24"/>
                <w:szCs w:val="24"/>
                <w:shd w:val="clear" w:color="auto" w:fill="fde9d9"/>
                <w:rtl w:val="0"/>
              </w:rPr>
              <w:t>i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 xml:space="preserve"> asociate  </w:t>
            </w:r>
          </w:p>
        </w:tc>
        <w:tc>
          <w:tcPr>
            <w:tcW w:type="dxa" w:w="55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z w:val="24"/>
                <w:szCs w:val="24"/>
                <w:rtl w:val="0"/>
                <w:lang w:val="pt-PT"/>
              </w:rPr>
              <w:t>Competen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>ţ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e Specifice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Nr. ore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Sapt.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Obs</w:t>
            </w:r>
          </w:p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</w:t>
            </w:r>
          </w:p>
        </w:tc>
        <w:tc>
          <w:tcPr>
            <w:tcW w:type="dxa" w:w="1045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Prezentarea manualului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S1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</w:t>
            </w:r>
          </w:p>
        </w:tc>
        <w:tc>
          <w:tcPr>
            <w:tcW w:type="dxa" w:w="1045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Evaluare initiala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1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S2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600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3</w:t>
            </w:r>
          </w:p>
        </w:tc>
        <w:tc>
          <w:tcPr>
            <w:tcW w:type="dxa" w:w="26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24"/>
                <w:szCs w:val="24"/>
                <w:rtl w:val="0"/>
              </w:rPr>
              <w:t>Autocunoa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  <w:lang w:val="it-IT"/>
              </w:rPr>
              <w:t xml:space="preserve">tere 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</w:rPr>
              <w:t>i stil de via</w:t>
            </w:r>
            <w:r>
              <w:rPr>
                <w:sz w:val="24"/>
                <w:szCs w:val="24"/>
                <w:rtl w:val="0"/>
              </w:rPr>
              <w:t xml:space="preserve">ţă </w:t>
            </w:r>
            <w:r>
              <w:rPr>
                <w:sz w:val="24"/>
                <w:szCs w:val="24"/>
                <w:rtl w:val="0"/>
              </w:rPr>
              <w:t>s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</w:rPr>
              <w:t>n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  <w:lang w:val="pt-PT"/>
              </w:rPr>
              <w:t xml:space="preserve">tos 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</w:rPr>
              <w:t>i echilibrat</w:t>
            </w:r>
          </w:p>
        </w:tc>
        <w:tc>
          <w:tcPr>
            <w:tcW w:type="dxa" w:w="22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hd w:val="clear" w:color="auto" w:fill="ffffff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Unitatea 1. Cine sunt eu?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ia 1.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lnire cu noi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ine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2. Cum sunt eu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?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ia 3. Care sunt valorile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 credin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ele mele?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en-US"/>
              </w:rPr>
              <w:t>Lec</w:t>
            </w:r>
            <w:r>
              <w:rPr>
                <w:sz w:val="24"/>
                <w:szCs w:val="24"/>
                <w:rtl w:val="0"/>
                <w:lang w:val="en-US"/>
              </w:rPr>
              <w:t>ţ</w:t>
            </w:r>
            <w:r>
              <w:rPr>
                <w:sz w:val="24"/>
                <w:szCs w:val="24"/>
                <w:rtl w:val="0"/>
                <w:lang w:val="en-US"/>
              </w:rPr>
              <w:t>ia 4. Ce atitudine am fa</w:t>
            </w:r>
            <w:r>
              <w:rPr>
                <w:sz w:val="24"/>
                <w:szCs w:val="24"/>
                <w:rtl w:val="0"/>
                <w:lang w:val="en-US"/>
              </w:rPr>
              <w:t xml:space="preserve">ţă </w:t>
            </w:r>
            <w:r>
              <w:rPr>
                <w:sz w:val="24"/>
                <w:szCs w:val="24"/>
                <w:rtl w:val="0"/>
                <w:lang w:val="en-US"/>
              </w:rPr>
              <w:t>de mine</w:t>
            </w:r>
          </w:p>
        </w:tc>
        <w:tc>
          <w:tcPr>
            <w:tcW w:type="dxa" w:w="55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hd w:val="clear" w:color="auto" w:fill="ffffff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1.1 Identificarea resurselor personale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        oportunita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ilor de dezvoltare specifice 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de-DE"/>
              </w:rPr>
              <w:t>rstei</w:t>
            </w:r>
          </w:p>
          <w:p>
            <w:pPr>
              <w:pStyle w:val="List Paragraph"/>
              <w:shd w:val="clear" w:color="auto" w:fill="ffffff"/>
              <w:bidi w:val="0"/>
              <w:spacing w:after="0" w:line="240" w:lineRule="auto"/>
              <w:ind w:left="72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2.1  Recunoa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terea unei variet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i de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 tr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ite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n raport cu sine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cu ceilal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</w:t>
            </w:r>
          </w:p>
          <w:p>
            <w:pPr>
              <w:pStyle w:val="List Paragraph"/>
              <w:shd w:val="clear" w:color="auto" w:fill="ffffff"/>
              <w:bidi w:val="0"/>
              <w:spacing w:after="0" w:line="240" w:lineRule="auto"/>
              <w:ind w:left="72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2.2 Acordarea feedbackului pozitiv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n rela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ionarea cu ceilal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</w:t>
            </w:r>
          </w:p>
          <w:p>
            <w:pPr>
              <w:pStyle w:val="List Paragraph"/>
              <w:shd w:val="clear" w:color="auto" w:fill="ffffff"/>
              <w:bidi w:val="0"/>
              <w:spacing w:after="0" w:line="240" w:lineRule="auto"/>
              <w:ind w:left="72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3.2 Prezentarea progreselor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n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nva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are, utiliz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nd modalita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variate de comunicare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1.2 Analiza surselor de stres 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</w:rPr>
              <w:t>i a consecin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</w:rPr>
              <w:t>elor acestuia asupra s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</w:rPr>
              <w:t>n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</w:rPr>
              <w:t>t</w:t>
            </w:r>
            <w:r>
              <w:rPr>
                <w:sz w:val="24"/>
                <w:szCs w:val="24"/>
                <w:rtl w:val="0"/>
              </w:rPr>
              <w:t>ăţ</w:t>
            </w:r>
            <w:r>
              <w:rPr>
                <w:sz w:val="24"/>
                <w:szCs w:val="24"/>
                <w:rtl w:val="0"/>
              </w:rPr>
              <w:t>ii si a st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</w:rPr>
              <w:t>rii de bine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4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S3-S6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860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4</w:t>
            </w:r>
          </w:p>
        </w:tc>
        <w:tc>
          <w:tcPr>
            <w:tcW w:type="dxa" w:w="265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24"/>
                <w:szCs w:val="24"/>
                <w:rtl w:val="0"/>
              </w:rPr>
              <w:t>Dezvoltare emo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  <w:lang w:val="fr-FR"/>
              </w:rPr>
              <w:t>ional</w:t>
            </w:r>
            <w:r>
              <w:rPr>
                <w:sz w:val="24"/>
                <w:szCs w:val="24"/>
                <w:rtl w:val="0"/>
              </w:rPr>
              <w:t>ă ş</w:t>
            </w:r>
            <w:r>
              <w:rPr>
                <w:sz w:val="24"/>
                <w:szCs w:val="24"/>
                <w:rtl w:val="0"/>
                <w:lang w:val="fr-FR"/>
              </w:rPr>
              <w:t>i social</w:t>
            </w:r>
            <w:r>
              <w:rPr>
                <w:sz w:val="24"/>
                <w:szCs w:val="24"/>
                <w:rtl w:val="0"/>
              </w:rPr>
              <w:t>ă</w:t>
            </w:r>
          </w:p>
        </w:tc>
        <w:tc>
          <w:tcPr>
            <w:tcW w:type="dxa" w:w="22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Unitatea 2. Ce simtim?</w:t>
            </w:r>
          </w:p>
          <w:p>
            <w:pPr>
              <w:pStyle w:val="Body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ia 1.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lnire cu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iile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2.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recunoa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 xml:space="preserve">tem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elegem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iile!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3.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con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s-ES_tradnl"/>
              </w:rPr>
              <w:t>tientiz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m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iile noastre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4. Cum exprim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m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iile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?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Unitatea 3. Cum rela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pt-PT"/>
              </w:rPr>
              <w:t>ionam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ia 1.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nt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lnire cu ceilal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 2. Comunicarea Asertiv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3. Cooper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m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 ne ajut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m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4. Rezolv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m conflictele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 ne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mp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m         </w:t>
            </w:r>
          </w:p>
          <w:p>
            <w:pPr>
              <w:pStyle w:val="Body"/>
              <w:shd w:val="clear" w:color="auto" w:fill="ffffff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</w:p>
          <w:p>
            <w:pPr>
              <w:pStyle w:val="Body"/>
              <w:shd w:val="clear" w:color="auto" w:fill="ffffff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en-US"/>
              </w:rPr>
            </w:pPr>
          </w:p>
          <w:p>
            <w:pPr>
              <w:pStyle w:val="Body"/>
              <w:spacing w:after="0" w:line="240" w:lineRule="auto"/>
              <w:rPr>
                <w:b w:val="1"/>
                <w:bCs w:val="1"/>
                <w:sz w:val="24"/>
                <w:szCs w:val="24"/>
              </w:rPr>
            </w:pPr>
          </w:p>
          <w:p>
            <w:pPr>
              <w:pStyle w:val="Body"/>
              <w:spacing w:after="0" w:line="240" w:lineRule="auto"/>
            </w:pPr>
            <w:r>
              <w:rPr>
                <w:b w:val="1"/>
                <w:bCs w:val="1"/>
                <w:sz w:val="24"/>
                <w:szCs w:val="24"/>
              </w:rPr>
            </w:r>
          </w:p>
        </w:tc>
        <w:tc>
          <w:tcPr>
            <w:tcW w:type="dxa" w:w="55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hd w:val="clear" w:color="auto" w:fill="ffffff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2.1 Recunoa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terea unei variet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i de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 tr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ite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 raport cu sine si cu ceilal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2.2 Acordarea feedbackului pozitiv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n rela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ionarea cu ceilal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1.1 Identificarea resurselor personale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oportunit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ilor de dezvoltare specifice 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de-DE"/>
              </w:rPr>
              <w:t>rstei</w:t>
            </w:r>
          </w:p>
          <w:p>
            <w:pPr>
              <w:pStyle w:val="Body"/>
              <w:shd w:val="clear" w:color="auto" w:fill="ffffff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1.2 Analiza surselor de stres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consecin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elor acestuia asupra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ii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st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rii de bine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3.2 Prezentarea progreselor </w:t>
            </w:r>
            <w:r>
              <w:rPr>
                <w:sz w:val="24"/>
                <w:szCs w:val="24"/>
                <w:rtl w:val="0"/>
              </w:rPr>
              <w:t>î</w:t>
            </w:r>
            <w:r>
              <w:rPr>
                <w:sz w:val="24"/>
                <w:szCs w:val="24"/>
                <w:rtl w:val="0"/>
              </w:rPr>
              <w:t xml:space="preserve">n </w:t>
            </w:r>
            <w:r>
              <w:rPr>
                <w:sz w:val="24"/>
                <w:szCs w:val="24"/>
                <w:rtl w:val="0"/>
              </w:rPr>
              <w:t>î</w:t>
            </w:r>
            <w:r>
              <w:rPr>
                <w:sz w:val="24"/>
                <w:szCs w:val="24"/>
                <w:rtl w:val="0"/>
              </w:rPr>
              <w:t>nva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  <w:lang w:val="it-IT"/>
              </w:rPr>
              <w:t>are, utiliz</w:t>
            </w:r>
            <w:r>
              <w:rPr>
                <w:sz w:val="24"/>
                <w:szCs w:val="24"/>
                <w:rtl w:val="0"/>
              </w:rPr>
              <w:t>â</w:t>
            </w:r>
            <w:r>
              <w:rPr>
                <w:sz w:val="24"/>
                <w:szCs w:val="24"/>
                <w:rtl w:val="0"/>
                <w:lang w:val="it-IT"/>
              </w:rPr>
              <w:t>nd modalit</w:t>
            </w:r>
            <w:r>
              <w:rPr>
                <w:sz w:val="24"/>
                <w:szCs w:val="24"/>
                <w:rtl w:val="0"/>
              </w:rPr>
              <w:t>ăţ</w:t>
            </w:r>
            <w:r>
              <w:rPr>
                <w:sz w:val="24"/>
                <w:szCs w:val="24"/>
                <w:rtl w:val="0"/>
              </w:rPr>
              <w:t>i variate de comunicare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8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S7-S14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5</w:t>
            </w:r>
          </w:p>
        </w:tc>
        <w:tc>
          <w:tcPr>
            <w:tcW w:type="dxa" w:w="1045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RECAPITULARE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S15-S16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7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6</w:t>
            </w:r>
          </w:p>
        </w:tc>
        <w:tc>
          <w:tcPr>
            <w:tcW w:type="dxa" w:w="1045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EVALUARE SEMESTRIALA</w:t>
            </w:r>
          </w:p>
        </w:tc>
        <w:tc>
          <w:tcPr>
            <w:tcW w:type="dxa" w:w="56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2</w:t>
            </w:r>
          </w:p>
        </w:tc>
        <w:tc>
          <w:tcPr>
            <w:tcW w:type="dxa" w:w="8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</w:rPr>
              <w:t>S17-S18</w:t>
            </w:r>
          </w:p>
        </w:tc>
        <w:tc>
          <w:tcPr>
            <w:tcW w:type="dxa" w:w="61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jc w:val="center"/>
        <w:rPr>
          <w:rFonts w:ascii="Calibri" w:cs="Calibri" w:hAnsi="Calibri" w:eastAsia="Calibri"/>
          <w:b w:val="1"/>
          <w:bCs w:val="1"/>
        </w:rPr>
      </w:pPr>
    </w:p>
    <w:p>
      <w:pPr>
        <w:pStyle w:val="Body"/>
      </w:pPr>
    </w:p>
    <w:p>
      <w:pPr>
        <w:pStyle w:val="Body"/>
      </w:pPr>
    </w:p>
    <w:p>
      <w:pPr>
        <w:pStyle w:val="Body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en-US"/>
        </w:rPr>
        <w:t>Planificare calendaristic</w:t>
      </w:r>
      <w:r>
        <w:rPr>
          <w:b w:val="1"/>
          <w:bCs w:val="1"/>
          <w:sz w:val="28"/>
          <w:szCs w:val="28"/>
          <w:rtl w:val="0"/>
          <w:lang w:val="en-US"/>
        </w:rPr>
        <w:t xml:space="preserve">ă </w:t>
      </w:r>
      <w:r>
        <w:rPr>
          <w:b w:val="1"/>
          <w:bCs w:val="1"/>
          <w:sz w:val="28"/>
          <w:szCs w:val="28"/>
          <w:rtl w:val="0"/>
          <w:lang w:val="en-US"/>
        </w:rPr>
        <w:t>pe semestrul II</w:t>
      </w:r>
    </w:p>
    <w:tbl>
      <w:tblPr>
        <w:tblW w:w="1396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52"/>
        <w:gridCol w:w="2812"/>
        <w:gridCol w:w="3138"/>
        <w:gridCol w:w="5222"/>
        <w:gridCol w:w="550"/>
        <w:gridCol w:w="708"/>
        <w:gridCol w:w="778"/>
      </w:tblGrid>
      <w:tr>
        <w:tblPrEx>
          <w:shd w:val="clear" w:color="auto" w:fill="ced7e7"/>
        </w:tblPrEx>
        <w:trPr>
          <w:trHeight w:val="643" w:hRule="atLeast"/>
        </w:trPr>
        <w:tc>
          <w:tcPr>
            <w:tcW w:type="dxa" w:w="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Nr. CRT</w:t>
            </w:r>
          </w:p>
        </w:tc>
        <w:tc>
          <w:tcPr>
            <w:tcW w:type="dxa" w:w="28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Domeniul Tematic</w:t>
            </w:r>
          </w:p>
        </w:tc>
        <w:tc>
          <w:tcPr>
            <w:tcW w:type="dxa" w:w="31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</w:rPr>
              <w:t>Con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>ţ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>inutur</w:t>
            </w:r>
            <w:r>
              <w:rPr>
                <w:b w:val="1"/>
                <w:bCs w:val="1"/>
                <w:sz w:val="24"/>
                <w:szCs w:val="24"/>
                <w:shd w:val="clear" w:color="auto" w:fill="fde9d9"/>
                <w:rtl w:val="0"/>
              </w:rPr>
              <w:t>i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 xml:space="preserve"> asociate  </w:t>
            </w:r>
          </w:p>
        </w:tc>
        <w:tc>
          <w:tcPr>
            <w:tcW w:type="dxa" w:w="52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  <w:lang w:val="pt-PT"/>
              </w:rPr>
              <w:t>Competen</w:t>
            </w:r>
            <w:r>
              <w:rPr>
                <w:b w:val="1"/>
                <w:bCs w:val="1"/>
                <w:sz w:val="24"/>
                <w:szCs w:val="24"/>
                <w:rtl w:val="0"/>
              </w:rPr>
              <w:t>ţ</w:t>
            </w: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e Specifice</w:t>
            </w:r>
          </w:p>
        </w:tc>
        <w:tc>
          <w:tcPr>
            <w:tcW w:type="dxa" w:w="5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Nr. ore</w:t>
            </w:r>
          </w:p>
        </w:tc>
        <w:tc>
          <w:tcPr>
            <w:tcW w:type="dxa" w:w="7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  <w:lang w:val="en-US"/>
              </w:rPr>
              <w:t>Sapt</w:t>
            </w:r>
          </w:p>
        </w:tc>
        <w:tc>
          <w:tcPr>
            <w:tcW w:type="dxa" w:w="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Obs.</w:t>
            </w:r>
          </w:p>
        </w:tc>
      </w:tr>
      <w:tr>
        <w:tblPrEx>
          <w:shd w:val="clear" w:color="auto" w:fill="ced7e7"/>
        </w:tblPrEx>
        <w:trPr>
          <w:trHeight w:val="3600" w:hRule="atLeast"/>
        </w:trPr>
        <w:tc>
          <w:tcPr>
            <w:tcW w:type="dxa" w:w="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1</w:t>
            </w:r>
          </w:p>
        </w:tc>
        <w:tc>
          <w:tcPr>
            <w:tcW w:type="dxa" w:w="28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</w:rPr>
              <w:t>Autocunoa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  <w:lang w:val="it-IT"/>
              </w:rPr>
              <w:t xml:space="preserve">tere 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</w:rPr>
              <w:t>i stil de via</w:t>
            </w:r>
            <w:r>
              <w:rPr>
                <w:sz w:val="24"/>
                <w:szCs w:val="24"/>
                <w:rtl w:val="0"/>
              </w:rPr>
              <w:t xml:space="preserve">ţă </w:t>
            </w:r>
            <w:r>
              <w:rPr>
                <w:sz w:val="24"/>
                <w:szCs w:val="24"/>
                <w:rtl w:val="0"/>
              </w:rPr>
              <w:t>s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</w:rPr>
              <w:t>n</w:t>
            </w:r>
            <w:r>
              <w:rPr>
                <w:sz w:val="24"/>
                <w:szCs w:val="24"/>
                <w:rtl w:val="0"/>
              </w:rPr>
              <w:t>ă</w:t>
            </w:r>
            <w:r>
              <w:rPr>
                <w:sz w:val="24"/>
                <w:szCs w:val="24"/>
                <w:rtl w:val="0"/>
                <w:lang w:val="pt-PT"/>
              </w:rPr>
              <w:t xml:space="preserve">tos </w:t>
            </w:r>
            <w:r>
              <w:rPr>
                <w:sz w:val="24"/>
                <w:szCs w:val="24"/>
                <w:rtl w:val="0"/>
              </w:rPr>
              <w:t>ş</w:t>
            </w:r>
            <w:r>
              <w:rPr>
                <w:sz w:val="24"/>
                <w:szCs w:val="24"/>
                <w:rtl w:val="0"/>
              </w:rPr>
              <w:t>i echilibrat</w:t>
            </w:r>
          </w:p>
        </w:tc>
        <w:tc>
          <w:tcPr>
            <w:tcW w:type="dxa" w:w="31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Unitatea 4. O via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</w:rPr>
              <w:t xml:space="preserve">ţă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s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toas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</w:rPr>
              <w:t>!</w:t>
            </w:r>
          </w:p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ia 1. Schimbare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dezvoltare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2.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”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P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streaz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haina de nou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tatea de 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r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!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”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ia 3.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soar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de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apte ori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taie odat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!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”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ia 4.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“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Paza bun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trece primejdia rea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”</w:t>
            </w:r>
            <w:r>
              <w:rPr>
                <w:rFonts w:ascii="Times New Roman" w:cs="Times New Roman" w:hAnsi="Times New Roman" w:eastAsia="Times New Roman"/>
                <w:sz w:val="24"/>
                <w:szCs w:val="24"/>
              </w:rPr>
            </w:r>
          </w:p>
        </w:tc>
        <w:tc>
          <w:tcPr>
            <w:tcW w:type="dxa" w:w="52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1.2 Analiza surselor de stres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conseci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telor acestuia asupra 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tii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st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rii de bine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1.1 Identificarea resurselor personale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oportunit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ilor de dezvoltare specifice 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de-DE"/>
              </w:rPr>
              <w:t>rstei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2.1 Recunoa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terea unei variet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pt-PT"/>
              </w:rPr>
              <w:t>i de emo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ii tr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ite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n raport cu sine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cu ceilal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2.2 Acordarea feedbackului pozitiv </w:t>
            </w:r>
            <w:r>
              <w:rPr>
                <w:sz w:val="24"/>
                <w:szCs w:val="24"/>
                <w:rtl w:val="0"/>
              </w:rPr>
              <w:t>î</w:t>
            </w:r>
            <w:r>
              <w:rPr>
                <w:sz w:val="24"/>
                <w:szCs w:val="24"/>
                <w:rtl w:val="0"/>
                <w:lang w:val="en-US"/>
              </w:rPr>
              <w:t>n rela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</w:rPr>
              <w:t>ionarea cu ceilal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</w:rPr>
              <w:t>i</w:t>
            </w:r>
          </w:p>
        </w:tc>
        <w:tc>
          <w:tcPr>
            <w:tcW w:type="dxa" w:w="5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4</w:t>
            </w:r>
          </w:p>
        </w:tc>
        <w:tc>
          <w:tcPr>
            <w:tcW w:type="dxa" w:w="7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S1-S4</w:t>
            </w:r>
          </w:p>
        </w:tc>
        <w:tc>
          <w:tcPr>
            <w:tcW w:type="dxa" w:w="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0" w:hRule="atLeast"/>
        </w:trPr>
        <w:tc>
          <w:tcPr>
            <w:tcW w:type="dxa" w:w="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2</w:t>
            </w:r>
          </w:p>
        </w:tc>
        <w:tc>
          <w:tcPr>
            <w:tcW w:type="dxa" w:w="28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</w:rPr>
              <w:t xml:space="preserve">Managementul </w:t>
            </w:r>
            <w:r>
              <w:rPr>
                <w:sz w:val="24"/>
                <w:szCs w:val="24"/>
                <w:rtl w:val="0"/>
              </w:rPr>
              <w:t>Î</w:t>
            </w:r>
            <w:r>
              <w:rPr>
                <w:sz w:val="24"/>
                <w:szCs w:val="24"/>
                <w:rtl w:val="0"/>
              </w:rPr>
              <w:t>nv</w:t>
            </w:r>
            <w:r>
              <w:rPr>
                <w:sz w:val="24"/>
                <w:szCs w:val="24"/>
                <w:rtl w:val="0"/>
              </w:rPr>
              <w:t>ăţă</w:t>
            </w:r>
            <w:r>
              <w:rPr>
                <w:sz w:val="24"/>
                <w:szCs w:val="24"/>
                <w:rtl w:val="0"/>
              </w:rPr>
              <w:t>rii</w:t>
            </w:r>
          </w:p>
        </w:tc>
        <w:tc>
          <w:tcPr>
            <w:tcW w:type="dxa" w:w="31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Unitatea 5. De ce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en-US"/>
              </w:rPr>
              <w:t>ş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i cum inv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en-US"/>
              </w:rPr>
              <w:t>ăţ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ia 1. Ce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 de ce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 xml:space="preserve">ia 2. Cum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3. Ce m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ajut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ce m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î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mpiedic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s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>Lec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</w:rPr>
              <w:t xml:space="preserve">ia 4. Care este stilul meu de </w:t>
            </w:r>
            <w:r>
              <w:rPr>
                <w:sz w:val="24"/>
                <w:szCs w:val="24"/>
                <w:rtl w:val="0"/>
              </w:rPr>
              <w:t>î</w:t>
            </w:r>
            <w:r>
              <w:rPr>
                <w:sz w:val="24"/>
                <w:szCs w:val="24"/>
                <w:rtl w:val="0"/>
              </w:rPr>
              <w:t>nv</w:t>
            </w:r>
            <w:r>
              <w:rPr>
                <w:sz w:val="24"/>
                <w:szCs w:val="24"/>
                <w:rtl w:val="0"/>
              </w:rPr>
              <w:t>ăţ</w:t>
            </w:r>
            <w:r>
              <w:rPr>
                <w:sz w:val="24"/>
                <w:szCs w:val="24"/>
                <w:rtl w:val="0"/>
              </w:rPr>
              <w:t>are?</w:t>
            </w:r>
          </w:p>
        </w:tc>
        <w:tc>
          <w:tcPr>
            <w:tcW w:type="dxa" w:w="52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3.1 Identificarea factorilor personali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 de context care faciliteaza/blocheaza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area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3.2 Prezentarea progreselor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n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are, utiliz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nd modalit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variate de comunicare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4.1 Recunoa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terea oportunit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ilor pe care le ofer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educa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pentru alegerea carierei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1.1 Identificarea resurselor personale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oportunit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ilor de dezvoltare specifice 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de-DE"/>
              </w:rPr>
              <w:t>rstei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</w:rPr>
              <w:t xml:space="preserve">2.2 Acordarea feedbackului pozitiv </w:t>
            </w:r>
            <w:r>
              <w:rPr>
                <w:sz w:val="24"/>
                <w:szCs w:val="24"/>
                <w:rtl w:val="0"/>
              </w:rPr>
              <w:t>î</w:t>
            </w:r>
            <w:r>
              <w:rPr>
                <w:sz w:val="24"/>
                <w:szCs w:val="24"/>
                <w:rtl w:val="0"/>
                <w:lang w:val="en-US"/>
              </w:rPr>
              <w:t>n rela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</w:rPr>
              <w:t>ionarea cu ceilal</w:t>
            </w:r>
            <w:r>
              <w:rPr>
                <w:sz w:val="24"/>
                <w:szCs w:val="24"/>
                <w:rtl w:val="0"/>
              </w:rPr>
              <w:t>ţ</w:t>
            </w:r>
            <w:r>
              <w:rPr>
                <w:sz w:val="24"/>
                <w:szCs w:val="24"/>
                <w:rtl w:val="0"/>
              </w:rPr>
              <w:t>i</w:t>
            </w:r>
          </w:p>
        </w:tc>
        <w:tc>
          <w:tcPr>
            <w:tcW w:type="dxa" w:w="5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4</w:t>
            </w:r>
          </w:p>
        </w:tc>
        <w:tc>
          <w:tcPr>
            <w:tcW w:type="dxa" w:w="7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S5-S8</w:t>
            </w:r>
          </w:p>
        </w:tc>
        <w:tc>
          <w:tcPr>
            <w:tcW w:type="dxa" w:w="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000" w:hRule="atLeast"/>
        </w:trPr>
        <w:tc>
          <w:tcPr>
            <w:tcW w:type="dxa" w:w="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3</w:t>
            </w:r>
          </w:p>
        </w:tc>
        <w:tc>
          <w:tcPr>
            <w:tcW w:type="dxa" w:w="28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</w:rPr>
              <w:t>Managementul Carierei</w:t>
            </w:r>
          </w:p>
        </w:tc>
        <w:tc>
          <w:tcPr>
            <w:tcW w:type="dxa" w:w="313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Unitatea 6. Cine vreau s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en-US"/>
              </w:rPr>
              <w:t xml:space="preserve">ă 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en-US"/>
              </w:rPr>
              <w:t>devin?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1. Ce meserii cunosc?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2. Ce meserii m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atrag?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ia 3. Cum iau decizii?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Lec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ia 4. Cum ajung ce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mi doresc?</w:t>
            </w:r>
          </w:p>
        </w:tc>
        <w:tc>
          <w:tcPr>
            <w:tcW w:type="dxa" w:w="522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4.1 Recunoa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terea oportunit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ilor pe care le ofer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 xml:space="preserve">ă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</w:rPr>
              <w:t>educa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ia pentru alegerea carierei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>4.2 Identificarea unor ocupa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ii din domenii diferite de activitate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a beneficiilor acestora pentru persoan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pentru societate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3.1 Identificarea factorilor personali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ş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de context care faciliteaz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/blocheaz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 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area</w:t>
            </w:r>
          </w:p>
          <w:p>
            <w:pPr>
              <w:pStyle w:val="Body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3.2 Prezentarea progreselor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 xml:space="preserve">n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î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nv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are, utiliz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â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it-IT"/>
              </w:rPr>
              <w:t>nd modalit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</w:rPr>
              <w:t>ăţ</w:t>
            </w:r>
            <w:r>
              <w:rPr>
                <w:rFonts w:ascii="Times New Roman" w:hAnsi="Times New Roman"/>
                <w:sz w:val="24"/>
                <w:szCs w:val="24"/>
                <w:rtl w:val="0"/>
              </w:rPr>
              <w:t>i variate de comunicare</w:t>
            </w:r>
          </w:p>
        </w:tc>
        <w:tc>
          <w:tcPr>
            <w:tcW w:type="dxa" w:w="5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4</w:t>
            </w:r>
          </w:p>
        </w:tc>
        <w:tc>
          <w:tcPr>
            <w:tcW w:type="dxa" w:w="7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S9-S12</w:t>
            </w:r>
          </w:p>
        </w:tc>
        <w:tc>
          <w:tcPr>
            <w:tcW w:type="dxa" w:w="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4</w:t>
            </w:r>
          </w:p>
        </w:tc>
        <w:tc>
          <w:tcPr>
            <w:tcW w:type="dxa" w:w="1117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687"/>
              </w:tabs>
              <w:spacing w:after="0" w:line="240" w:lineRule="auto"/>
            </w:pPr>
            <w:r>
              <w:rPr>
                <w:sz w:val="24"/>
                <w:szCs w:val="24"/>
                <w:rtl w:val="0"/>
                <w:lang w:val="en-US"/>
              </w:rPr>
              <w:t>Recapitulare</w:t>
            </w:r>
          </w:p>
        </w:tc>
        <w:tc>
          <w:tcPr>
            <w:tcW w:type="dxa" w:w="5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2</w:t>
            </w:r>
          </w:p>
        </w:tc>
        <w:tc>
          <w:tcPr>
            <w:tcW w:type="dxa" w:w="7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S13-S14</w:t>
            </w:r>
          </w:p>
        </w:tc>
        <w:tc>
          <w:tcPr>
            <w:tcW w:type="dxa" w:w="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00" w:hRule="atLeast"/>
        </w:trPr>
        <w:tc>
          <w:tcPr>
            <w:tcW w:type="dxa" w:w="7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5</w:t>
            </w:r>
          </w:p>
        </w:tc>
        <w:tc>
          <w:tcPr>
            <w:tcW w:type="dxa" w:w="11172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</w:pPr>
            <w:r>
              <w:rPr>
                <w:sz w:val="24"/>
                <w:szCs w:val="24"/>
                <w:rtl w:val="0"/>
                <w:lang w:val="en-US"/>
              </w:rPr>
              <w:t>Evaluare final</w:t>
            </w:r>
            <w:r>
              <w:rPr>
                <w:sz w:val="24"/>
                <w:szCs w:val="24"/>
                <w:rtl w:val="0"/>
                <w:lang w:val="en-US"/>
              </w:rPr>
              <w:t>ă</w:t>
            </w:r>
            <w:r>
              <w:rPr>
                <w:sz w:val="24"/>
                <w:szCs w:val="24"/>
                <w:rtl w:val="0"/>
                <w:lang w:val="en-US"/>
              </w:rPr>
              <w:t xml:space="preserve">. Prezentarea Portofoliilor de </w:t>
            </w:r>
            <w:r>
              <w:rPr>
                <w:sz w:val="24"/>
                <w:szCs w:val="24"/>
                <w:rtl w:val="0"/>
                <w:lang w:val="en-US"/>
              </w:rPr>
              <w:t>î</w:t>
            </w:r>
            <w:r>
              <w:rPr>
                <w:sz w:val="24"/>
                <w:szCs w:val="24"/>
                <w:rtl w:val="0"/>
                <w:lang w:val="en-US"/>
              </w:rPr>
              <w:t>nva</w:t>
            </w:r>
            <w:r>
              <w:rPr>
                <w:sz w:val="24"/>
                <w:szCs w:val="24"/>
                <w:rtl w:val="0"/>
                <w:lang w:val="en-US"/>
              </w:rPr>
              <w:t>ţ</w:t>
            </w:r>
            <w:r>
              <w:rPr>
                <w:sz w:val="24"/>
                <w:szCs w:val="24"/>
                <w:rtl w:val="0"/>
                <w:lang w:val="en-US"/>
              </w:rPr>
              <w:t>are</w:t>
            </w:r>
          </w:p>
        </w:tc>
        <w:tc>
          <w:tcPr>
            <w:tcW w:type="dxa" w:w="5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2</w:t>
            </w:r>
          </w:p>
        </w:tc>
        <w:tc>
          <w:tcPr>
            <w:tcW w:type="dxa" w:w="7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en-US"/>
              </w:rPr>
              <w:t>S15-S16</w:t>
            </w:r>
          </w:p>
        </w:tc>
        <w:tc>
          <w:tcPr>
            <w:tcW w:type="dxa" w:w="77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widowControl w:val="0"/>
        <w:spacing w:line="240" w:lineRule="auto"/>
        <w:jc w:val="center"/>
        <w:rPr>
          <w:rFonts w:ascii="Calibri" w:cs="Calibri" w:hAnsi="Calibri" w:eastAsia="Calibri"/>
          <w:b w:val="1"/>
          <w:bCs w:val="1"/>
        </w:rPr>
      </w:pPr>
    </w:p>
    <w:p>
      <w:pPr>
        <w:pStyle w:val="Body"/>
        <w:jc w:val="center"/>
      </w:pPr>
      <w:r>
        <w:rPr>
          <w:lang w:val="en-US"/>
        </w:rPr>
      </w:r>
    </w:p>
    <w:sectPr>
      <w:headerReference w:type="default" r:id="rId4"/>
      <w:footerReference w:type="default" r:id="rId5"/>
      <w:pgSz w:w="16840" w:h="11900" w:orient="landscape"/>
      <w:pgMar w:top="1440" w:right="1440" w:bottom="1440" w:left="144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