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footer2.xml" ContentType="application/vnd.openxmlformats-officedocument.wordprocessingml.footer+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charts/chart39.xml" ContentType="application/vnd.openxmlformats-officedocument.drawingml.chart+xml"/>
  <Override PartName="/word/charts/chart40.xml" ContentType="application/vnd.openxmlformats-officedocument.drawingml.chart+xml"/>
  <Override PartName="/word/charts/chart41.xml" ContentType="application/vnd.openxmlformats-officedocument.drawingml.chart+xml"/>
  <Override PartName="/word/charts/chart42.xml" ContentType="application/vnd.openxmlformats-officedocument.drawingml.chart+xml"/>
  <Override PartName="/word/charts/chart43.xml" ContentType="application/vnd.openxmlformats-officedocument.drawingml.chart+xml"/>
  <Override PartName="/word/charts/chart4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5378" w:rsidRDefault="00095378" w:rsidP="000C6A67">
      <w:pPr>
        <w:spacing w:after="0" w:line="240" w:lineRule="auto"/>
        <w:jc w:val="center"/>
        <w:rPr>
          <w:rFonts w:ascii="Arial" w:eastAsiaTheme="majorEastAsia" w:hAnsi="Arial" w:cs="Arial"/>
          <w:b/>
          <w:iCs/>
          <w:sz w:val="56"/>
          <w:szCs w:val="56"/>
        </w:rPr>
      </w:pPr>
    </w:p>
    <w:p w:rsidR="00095378" w:rsidRDefault="00095378" w:rsidP="000C6A67">
      <w:pPr>
        <w:spacing w:after="0" w:line="240" w:lineRule="auto"/>
        <w:jc w:val="center"/>
        <w:rPr>
          <w:rFonts w:ascii="Arial" w:eastAsiaTheme="majorEastAsia" w:hAnsi="Arial" w:cs="Arial"/>
          <w:b/>
          <w:iCs/>
          <w:sz w:val="56"/>
          <w:szCs w:val="56"/>
        </w:rPr>
      </w:pPr>
    </w:p>
    <w:p w:rsidR="00095378" w:rsidRDefault="00095378" w:rsidP="000C6A67">
      <w:pPr>
        <w:spacing w:after="0" w:line="240" w:lineRule="auto"/>
        <w:jc w:val="center"/>
        <w:rPr>
          <w:rFonts w:ascii="Arial" w:eastAsiaTheme="majorEastAsia" w:hAnsi="Arial" w:cs="Arial"/>
          <w:b/>
          <w:iCs/>
          <w:sz w:val="56"/>
          <w:szCs w:val="56"/>
        </w:rPr>
      </w:pPr>
    </w:p>
    <w:p w:rsidR="00095378" w:rsidRDefault="00095378" w:rsidP="000C6A67">
      <w:pPr>
        <w:spacing w:after="0" w:line="240" w:lineRule="auto"/>
        <w:jc w:val="center"/>
        <w:rPr>
          <w:rFonts w:ascii="Arial" w:eastAsiaTheme="majorEastAsia" w:hAnsi="Arial" w:cs="Arial"/>
          <w:b/>
          <w:iCs/>
          <w:sz w:val="56"/>
          <w:szCs w:val="56"/>
        </w:rPr>
      </w:pPr>
    </w:p>
    <w:p w:rsidR="00095378" w:rsidRDefault="00095378" w:rsidP="000C6A67">
      <w:pPr>
        <w:spacing w:after="0" w:line="240" w:lineRule="auto"/>
        <w:jc w:val="center"/>
        <w:rPr>
          <w:rFonts w:ascii="Arial" w:eastAsiaTheme="majorEastAsia" w:hAnsi="Arial" w:cs="Arial"/>
          <w:b/>
          <w:iCs/>
          <w:sz w:val="56"/>
          <w:szCs w:val="56"/>
        </w:rPr>
      </w:pPr>
    </w:p>
    <w:p w:rsidR="00095378" w:rsidRPr="00535624" w:rsidRDefault="00095378" w:rsidP="000C6A67">
      <w:pPr>
        <w:spacing w:after="0" w:line="240" w:lineRule="auto"/>
        <w:jc w:val="center"/>
        <w:rPr>
          <w:rFonts w:ascii="Arial" w:eastAsiaTheme="majorEastAsia" w:hAnsi="Arial" w:cs="Arial"/>
          <w:b/>
          <w:iCs/>
          <w:sz w:val="56"/>
          <w:szCs w:val="56"/>
        </w:rPr>
      </w:pPr>
      <w:r w:rsidRPr="00535624">
        <w:rPr>
          <w:rFonts w:ascii="Arial" w:eastAsiaTheme="majorEastAsia" w:hAnsi="Arial" w:cs="Arial"/>
          <w:b/>
          <w:iCs/>
          <w:sz w:val="56"/>
          <w:szCs w:val="56"/>
        </w:rPr>
        <w:t xml:space="preserve">PLANUL REGIONAL DE ACȚIUNE </w:t>
      </w:r>
    </w:p>
    <w:p w:rsidR="00095378" w:rsidRPr="00535624" w:rsidRDefault="00095378" w:rsidP="000C6A67">
      <w:pPr>
        <w:spacing w:after="0" w:line="240" w:lineRule="auto"/>
        <w:jc w:val="center"/>
        <w:rPr>
          <w:rFonts w:ascii="Arial" w:eastAsiaTheme="majorEastAsia" w:hAnsi="Arial" w:cs="Arial"/>
          <w:b/>
          <w:iCs/>
          <w:sz w:val="56"/>
          <w:szCs w:val="56"/>
        </w:rPr>
      </w:pPr>
      <w:r>
        <w:rPr>
          <w:rFonts w:ascii="Arial" w:eastAsiaTheme="majorEastAsia" w:hAnsi="Arial" w:cs="Arial"/>
          <w:b/>
          <w:iCs/>
          <w:sz w:val="56"/>
          <w:szCs w:val="56"/>
        </w:rPr>
        <w:t>PENTRU ÎNVĂȚĂMÂNT (PR</w:t>
      </w:r>
      <w:r w:rsidRPr="00535624">
        <w:rPr>
          <w:rFonts w:ascii="Arial" w:eastAsiaTheme="majorEastAsia" w:hAnsi="Arial" w:cs="Arial"/>
          <w:b/>
          <w:iCs/>
          <w:sz w:val="56"/>
          <w:szCs w:val="56"/>
        </w:rPr>
        <w:t>AI)</w:t>
      </w:r>
    </w:p>
    <w:p w:rsidR="00095378" w:rsidRDefault="00095378" w:rsidP="000C6A67">
      <w:pPr>
        <w:spacing w:after="0" w:line="240" w:lineRule="auto"/>
        <w:jc w:val="center"/>
        <w:rPr>
          <w:rFonts w:ascii="Arial" w:eastAsiaTheme="majorEastAsia" w:hAnsi="Arial" w:cs="Arial"/>
          <w:b/>
          <w:iCs/>
          <w:sz w:val="40"/>
          <w:szCs w:val="40"/>
        </w:rPr>
      </w:pPr>
    </w:p>
    <w:p w:rsidR="00095378" w:rsidRPr="00535624" w:rsidRDefault="00095378" w:rsidP="000C6A67">
      <w:pPr>
        <w:spacing w:after="0" w:line="240" w:lineRule="auto"/>
        <w:jc w:val="center"/>
        <w:rPr>
          <w:rFonts w:ascii="Arial" w:eastAsiaTheme="majorEastAsia" w:hAnsi="Arial" w:cs="Arial"/>
          <w:b/>
          <w:iCs/>
          <w:sz w:val="56"/>
          <w:szCs w:val="56"/>
        </w:rPr>
      </w:pPr>
      <w:r w:rsidRPr="00535624">
        <w:rPr>
          <w:rFonts w:ascii="Arial" w:eastAsiaTheme="majorEastAsia" w:hAnsi="Arial" w:cs="Arial"/>
          <w:b/>
          <w:iCs/>
          <w:sz w:val="56"/>
          <w:szCs w:val="56"/>
        </w:rPr>
        <w:t>2016 - 2025</w:t>
      </w:r>
    </w:p>
    <w:p w:rsidR="00095378" w:rsidRPr="001B35ED" w:rsidRDefault="00095378" w:rsidP="000C6A67">
      <w:pPr>
        <w:spacing w:after="0" w:line="240" w:lineRule="auto"/>
        <w:jc w:val="center"/>
        <w:rPr>
          <w:rFonts w:ascii="Arial" w:eastAsiaTheme="majorEastAsia" w:hAnsi="Arial" w:cs="Arial"/>
          <w:b/>
          <w:iCs/>
          <w:sz w:val="40"/>
          <w:szCs w:val="40"/>
        </w:rPr>
      </w:pPr>
    </w:p>
    <w:p w:rsidR="00095378" w:rsidRPr="00535624" w:rsidRDefault="00095378" w:rsidP="000C6A67">
      <w:pPr>
        <w:spacing w:after="0" w:line="240" w:lineRule="auto"/>
        <w:jc w:val="center"/>
        <w:rPr>
          <w:rFonts w:ascii="Arial" w:eastAsiaTheme="majorEastAsia" w:hAnsi="Arial" w:cs="Arial"/>
          <w:b/>
          <w:iCs/>
          <w:sz w:val="56"/>
          <w:szCs w:val="56"/>
        </w:rPr>
      </w:pPr>
      <w:r>
        <w:rPr>
          <w:rFonts w:ascii="Arial" w:eastAsiaTheme="majorEastAsia" w:hAnsi="Arial" w:cs="Arial"/>
          <w:b/>
          <w:iCs/>
          <w:sz w:val="56"/>
          <w:szCs w:val="56"/>
        </w:rPr>
        <w:t>REGIUNEA DE DEZVOLTARE VEST</w:t>
      </w:r>
    </w:p>
    <w:p w:rsidR="00095378" w:rsidRDefault="00095378" w:rsidP="000C6A67">
      <w:pPr>
        <w:pStyle w:val="TOC1"/>
        <w:spacing w:line="240" w:lineRule="auto"/>
      </w:pPr>
    </w:p>
    <w:p w:rsidR="00E45322" w:rsidRDefault="00E45322" w:rsidP="000C6A67">
      <w:pPr>
        <w:pStyle w:val="TOC1"/>
        <w:spacing w:line="240" w:lineRule="auto"/>
      </w:pPr>
    </w:p>
    <w:p w:rsidR="00080628" w:rsidRDefault="00080628" w:rsidP="000C6A67">
      <w:pPr>
        <w:pStyle w:val="TOC1"/>
        <w:spacing w:line="240" w:lineRule="auto"/>
      </w:pPr>
    </w:p>
    <w:p w:rsidR="00080628" w:rsidRDefault="00080628" w:rsidP="000C6A67">
      <w:pPr>
        <w:pStyle w:val="TOC1"/>
        <w:spacing w:line="240" w:lineRule="auto"/>
      </w:pPr>
    </w:p>
    <w:p w:rsidR="00080628" w:rsidRDefault="00080628" w:rsidP="000C6A67">
      <w:pPr>
        <w:pStyle w:val="TOC1"/>
        <w:spacing w:line="240" w:lineRule="auto"/>
      </w:pPr>
    </w:p>
    <w:p w:rsidR="00080628" w:rsidRDefault="00080628" w:rsidP="000C6A67">
      <w:pPr>
        <w:pStyle w:val="TOC1"/>
        <w:spacing w:line="240" w:lineRule="auto"/>
      </w:pPr>
    </w:p>
    <w:p w:rsidR="00080628" w:rsidRDefault="00080628" w:rsidP="000C6A67">
      <w:pPr>
        <w:pStyle w:val="TOC1"/>
        <w:spacing w:line="240" w:lineRule="auto"/>
      </w:pPr>
    </w:p>
    <w:p w:rsidR="00080628" w:rsidRDefault="00080628" w:rsidP="000C6A67">
      <w:pPr>
        <w:pStyle w:val="TOC1"/>
        <w:spacing w:line="240" w:lineRule="auto"/>
      </w:pPr>
    </w:p>
    <w:p w:rsidR="00080628" w:rsidRDefault="00080628" w:rsidP="000C6A67">
      <w:pPr>
        <w:pStyle w:val="TOC1"/>
        <w:spacing w:line="240" w:lineRule="auto"/>
      </w:pPr>
    </w:p>
    <w:p w:rsidR="00080628" w:rsidRDefault="00080628" w:rsidP="000C6A67">
      <w:pPr>
        <w:pStyle w:val="TOC1"/>
        <w:spacing w:line="240" w:lineRule="auto"/>
      </w:pPr>
    </w:p>
    <w:p w:rsidR="00080628" w:rsidRDefault="00080628" w:rsidP="000C6A67">
      <w:pPr>
        <w:pStyle w:val="TOC1"/>
        <w:spacing w:line="240" w:lineRule="auto"/>
      </w:pPr>
    </w:p>
    <w:p w:rsidR="00135F55" w:rsidRDefault="00135F55" w:rsidP="00135F55">
      <w:pPr>
        <w:rPr>
          <w:lang w:eastAsia="ro-RO"/>
        </w:rPr>
      </w:pPr>
    </w:p>
    <w:p w:rsidR="00135F55" w:rsidRDefault="00135F55" w:rsidP="00135F55">
      <w:pPr>
        <w:rPr>
          <w:lang w:eastAsia="ro-RO"/>
        </w:rPr>
      </w:pPr>
    </w:p>
    <w:p w:rsidR="00135F55" w:rsidRDefault="00135F55" w:rsidP="00135F55">
      <w:pPr>
        <w:rPr>
          <w:lang w:eastAsia="ro-RO"/>
        </w:rPr>
      </w:pPr>
    </w:p>
    <w:p w:rsidR="00135F55" w:rsidRDefault="00135F55" w:rsidP="00135F55">
      <w:pPr>
        <w:rPr>
          <w:lang w:eastAsia="ro-RO"/>
        </w:rPr>
      </w:pPr>
    </w:p>
    <w:p w:rsidR="00135F55" w:rsidRDefault="00135F55" w:rsidP="00135F55">
      <w:pPr>
        <w:rPr>
          <w:lang w:eastAsia="ro-RO"/>
        </w:rPr>
      </w:pPr>
    </w:p>
    <w:p w:rsidR="00135F55" w:rsidRDefault="00135F55" w:rsidP="00135F55">
      <w:pPr>
        <w:rPr>
          <w:lang w:eastAsia="ro-RO"/>
        </w:rPr>
      </w:pPr>
    </w:p>
    <w:p w:rsidR="00135F55" w:rsidRDefault="00135F55" w:rsidP="00135F55">
      <w:pPr>
        <w:rPr>
          <w:lang w:eastAsia="ro-RO"/>
        </w:rPr>
      </w:pPr>
    </w:p>
    <w:p w:rsidR="00135F55" w:rsidRDefault="00135F55" w:rsidP="00135F55">
      <w:pPr>
        <w:rPr>
          <w:lang w:eastAsia="ro-RO"/>
        </w:rPr>
      </w:pPr>
    </w:p>
    <w:p w:rsidR="00135F55" w:rsidRPr="00135F55" w:rsidRDefault="00135F55" w:rsidP="00135F55">
      <w:pPr>
        <w:rPr>
          <w:lang w:eastAsia="ro-RO"/>
        </w:rPr>
      </w:pPr>
    </w:p>
    <w:p w:rsidR="00080628" w:rsidRPr="00C253F7" w:rsidRDefault="00080628" w:rsidP="000C6A67">
      <w:pPr>
        <w:pStyle w:val="TOC1"/>
        <w:spacing w:line="240" w:lineRule="auto"/>
        <w:rPr>
          <w:sz w:val="24"/>
          <w:szCs w:val="24"/>
        </w:rPr>
      </w:pPr>
    </w:p>
    <w:p w:rsidR="00080628" w:rsidRPr="00C253F7" w:rsidRDefault="006B23D0" w:rsidP="000C6A67">
      <w:pPr>
        <w:pStyle w:val="TOC1"/>
        <w:spacing w:line="240" w:lineRule="auto"/>
        <w:rPr>
          <w:sz w:val="24"/>
          <w:szCs w:val="24"/>
        </w:rPr>
      </w:pPr>
      <w:r w:rsidRPr="00C253F7">
        <w:rPr>
          <w:sz w:val="24"/>
          <w:szCs w:val="24"/>
        </w:rPr>
        <w:t>Componenţa Consor</w:t>
      </w:r>
      <w:r w:rsidR="003B5E49" w:rsidRPr="00C253F7">
        <w:rPr>
          <w:sz w:val="24"/>
          <w:szCs w:val="24"/>
        </w:rPr>
        <w:t>ţiului regional al Regiunii de Dezvoltare Vest</w:t>
      </w:r>
    </w:p>
    <w:p w:rsidR="006B23D0" w:rsidRDefault="006B23D0" w:rsidP="000C6A67">
      <w:pPr>
        <w:spacing w:after="0" w:line="240" w:lineRule="auto"/>
        <w:rPr>
          <w:lang w:eastAsia="ro-RO"/>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35"/>
        <w:gridCol w:w="2313"/>
        <w:gridCol w:w="1446"/>
        <w:gridCol w:w="2525"/>
        <w:gridCol w:w="2492"/>
      </w:tblGrid>
      <w:tr w:rsidR="00CD5572" w:rsidRPr="00297891" w:rsidTr="00CD5572">
        <w:trPr>
          <w:trHeight w:val="276"/>
          <w:tblHeader/>
        </w:trPr>
        <w:tc>
          <w:tcPr>
            <w:tcW w:w="0" w:type="auto"/>
            <w:vMerge w:val="restart"/>
            <w:shd w:val="clear" w:color="auto" w:fill="auto"/>
            <w:tcMar>
              <w:left w:w="28" w:type="dxa"/>
              <w:right w:w="28" w:type="dxa"/>
            </w:tcMar>
          </w:tcPr>
          <w:p w:rsidR="00CD5572" w:rsidRPr="00297891" w:rsidRDefault="00CD5572" w:rsidP="00CD5572">
            <w:pPr>
              <w:spacing w:after="0" w:line="240" w:lineRule="auto"/>
              <w:jc w:val="center"/>
              <w:rPr>
                <w:rFonts w:ascii="Arial" w:hAnsi="Arial" w:cs="Arial"/>
                <w:b/>
                <w:sz w:val="24"/>
                <w:szCs w:val="24"/>
              </w:rPr>
            </w:pPr>
            <w:r w:rsidRPr="00297891">
              <w:rPr>
                <w:rFonts w:ascii="Arial" w:hAnsi="Arial" w:cs="Arial"/>
                <w:b/>
                <w:sz w:val="24"/>
                <w:szCs w:val="24"/>
              </w:rPr>
              <w:t>Nr. crt.</w:t>
            </w:r>
          </w:p>
        </w:tc>
        <w:tc>
          <w:tcPr>
            <w:tcW w:w="0" w:type="auto"/>
            <w:vMerge w:val="restart"/>
            <w:shd w:val="clear" w:color="auto" w:fill="auto"/>
            <w:tcMar>
              <w:left w:w="28" w:type="dxa"/>
              <w:right w:w="28" w:type="dxa"/>
            </w:tcMar>
          </w:tcPr>
          <w:p w:rsidR="00CD5572" w:rsidRPr="00297891" w:rsidRDefault="00CD5572" w:rsidP="00CD5572">
            <w:pPr>
              <w:spacing w:after="0" w:line="240" w:lineRule="auto"/>
              <w:jc w:val="center"/>
              <w:rPr>
                <w:rFonts w:ascii="Arial" w:hAnsi="Arial" w:cs="Arial"/>
                <w:b/>
                <w:sz w:val="24"/>
                <w:szCs w:val="24"/>
              </w:rPr>
            </w:pPr>
            <w:r w:rsidRPr="00297891">
              <w:rPr>
                <w:rFonts w:ascii="Arial" w:hAnsi="Arial" w:cs="Arial"/>
                <w:b/>
                <w:sz w:val="24"/>
                <w:szCs w:val="24"/>
              </w:rPr>
              <w:t>Numele şi prenumele</w:t>
            </w:r>
          </w:p>
        </w:tc>
        <w:tc>
          <w:tcPr>
            <w:tcW w:w="0" w:type="auto"/>
            <w:vMerge w:val="restart"/>
            <w:shd w:val="clear" w:color="auto" w:fill="auto"/>
            <w:tcMar>
              <w:left w:w="28" w:type="dxa"/>
              <w:right w:w="28" w:type="dxa"/>
            </w:tcMar>
          </w:tcPr>
          <w:p w:rsidR="00CD5572" w:rsidRPr="00297891" w:rsidRDefault="00CD5572" w:rsidP="00CD5572">
            <w:pPr>
              <w:spacing w:after="0" w:line="240" w:lineRule="auto"/>
              <w:jc w:val="center"/>
              <w:rPr>
                <w:rFonts w:ascii="Arial" w:hAnsi="Arial" w:cs="Arial"/>
                <w:b/>
                <w:sz w:val="24"/>
                <w:szCs w:val="24"/>
              </w:rPr>
            </w:pPr>
            <w:r w:rsidRPr="00297891">
              <w:rPr>
                <w:rFonts w:ascii="Arial" w:hAnsi="Arial" w:cs="Arial"/>
                <w:b/>
                <w:sz w:val="24"/>
                <w:szCs w:val="24"/>
              </w:rPr>
              <w:t>Instituţia</w:t>
            </w:r>
          </w:p>
        </w:tc>
        <w:tc>
          <w:tcPr>
            <w:tcW w:w="0" w:type="auto"/>
            <w:vMerge w:val="restart"/>
            <w:shd w:val="clear" w:color="auto" w:fill="auto"/>
            <w:tcMar>
              <w:left w:w="28" w:type="dxa"/>
              <w:right w:w="28" w:type="dxa"/>
            </w:tcMar>
          </w:tcPr>
          <w:p w:rsidR="00CD5572" w:rsidRPr="00297891" w:rsidRDefault="00CD5572" w:rsidP="00CD5572">
            <w:pPr>
              <w:spacing w:after="0" w:line="240" w:lineRule="auto"/>
              <w:jc w:val="center"/>
              <w:rPr>
                <w:rFonts w:ascii="Arial" w:hAnsi="Arial" w:cs="Arial"/>
                <w:b/>
                <w:sz w:val="24"/>
                <w:szCs w:val="24"/>
              </w:rPr>
            </w:pPr>
            <w:r w:rsidRPr="00297891">
              <w:rPr>
                <w:rFonts w:ascii="Arial" w:hAnsi="Arial" w:cs="Arial"/>
                <w:b/>
                <w:sz w:val="24"/>
                <w:szCs w:val="24"/>
              </w:rPr>
              <w:t>Funcţia în cadrul instituţiei</w:t>
            </w:r>
          </w:p>
        </w:tc>
        <w:tc>
          <w:tcPr>
            <w:tcW w:w="0" w:type="auto"/>
            <w:vMerge w:val="restart"/>
            <w:shd w:val="clear" w:color="auto" w:fill="auto"/>
            <w:tcMar>
              <w:left w:w="28" w:type="dxa"/>
              <w:right w:w="28" w:type="dxa"/>
            </w:tcMar>
          </w:tcPr>
          <w:p w:rsidR="00CD5572" w:rsidRPr="00297891" w:rsidRDefault="00CD5572" w:rsidP="00CD5572">
            <w:pPr>
              <w:spacing w:after="0" w:line="240" w:lineRule="auto"/>
              <w:jc w:val="center"/>
              <w:rPr>
                <w:rFonts w:ascii="Arial" w:hAnsi="Arial" w:cs="Arial"/>
                <w:b/>
                <w:sz w:val="24"/>
                <w:szCs w:val="24"/>
              </w:rPr>
            </w:pPr>
            <w:r w:rsidRPr="00297891">
              <w:rPr>
                <w:rFonts w:ascii="Arial" w:hAnsi="Arial" w:cs="Arial"/>
                <w:b/>
                <w:sz w:val="24"/>
                <w:szCs w:val="24"/>
              </w:rPr>
              <w:t xml:space="preserve">Funcţia în cadrul Consorţiului </w:t>
            </w:r>
          </w:p>
          <w:p w:rsidR="00CD5572" w:rsidRPr="00297891" w:rsidRDefault="00CD5572" w:rsidP="00CD5572">
            <w:pPr>
              <w:spacing w:after="0" w:line="240" w:lineRule="auto"/>
              <w:jc w:val="center"/>
              <w:rPr>
                <w:rFonts w:ascii="Arial" w:hAnsi="Arial" w:cs="Arial"/>
                <w:b/>
                <w:sz w:val="16"/>
                <w:szCs w:val="16"/>
              </w:rPr>
            </w:pPr>
            <w:r w:rsidRPr="00297891">
              <w:rPr>
                <w:rFonts w:ascii="Arial" w:hAnsi="Arial" w:cs="Arial"/>
                <w:sz w:val="16"/>
                <w:szCs w:val="16"/>
              </w:rPr>
              <w:t>(membru titular/membru supleant)</w:t>
            </w:r>
          </w:p>
        </w:tc>
      </w:tr>
      <w:tr w:rsidR="00CD5572" w:rsidRPr="00297891" w:rsidTr="00CD5572">
        <w:trPr>
          <w:trHeight w:val="276"/>
          <w:tblHeader/>
        </w:trPr>
        <w:tc>
          <w:tcPr>
            <w:tcW w:w="0" w:type="auto"/>
            <w:vMerge/>
            <w:tcBorders>
              <w:bottom w:val="single" w:sz="12" w:space="0" w:color="auto"/>
            </w:tcBorders>
            <w:shd w:val="clear" w:color="auto" w:fill="auto"/>
          </w:tcPr>
          <w:p w:rsidR="00CD5572" w:rsidRPr="00297891" w:rsidRDefault="00CD5572" w:rsidP="00CD5572">
            <w:pPr>
              <w:spacing w:after="0" w:line="240" w:lineRule="auto"/>
              <w:jc w:val="center"/>
              <w:rPr>
                <w:rFonts w:ascii="Arial" w:hAnsi="Arial" w:cs="Arial"/>
                <w:b/>
                <w:sz w:val="24"/>
                <w:szCs w:val="24"/>
              </w:rPr>
            </w:pPr>
          </w:p>
        </w:tc>
        <w:tc>
          <w:tcPr>
            <w:tcW w:w="0" w:type="auto"/>
            <w:vMerge/>
            <w:tcBorders>
              <w:bottom w:val="single" w:sz="12" w:space="0" w:color="auto"/>
            </w:tcBorders>
            <w:shd w:val="clear" w:color="auto" w:fill="auto"/>
          </w:tcPr>
          <w:p w:rsidR="00CD5572" w:rsidRPr="00297891" w:rsidRDefault="00CD5572" w:rsidP="00CD5572">
            <w:pPr>
              <w:spacing w:after="0" w:line="240" w:lineRule="auto"/>
              <w:jc w:val="center"/>
              <w:rPr>
                <w:rFonts w:ascii="Arial" w:hAnsi="Arial" w:cs="Arial"/>
                <w:b/>
                <w:sz w:val="24"/>
                <w:szCs w:val="24"/>
              </w:rPr>
            </w:pPr>
          </w:p>
        </w:tc>
        <w:tc>
          <w:tcPr>
            <w:tcW w:w="0" w:type="auto"/>
            <w:vMerge/>
            <w:tcBorders>
              <w:bottom w:val="single" w:sz="12" w:space="0" w:color="auto"/>
            </w:tcBorders>
            <w:shd w:val="clear" w:color="auto" w:fill="auto"/>
          </w:tcPr>
          <w:p w:rsidR="00CD5572" w:rsidRPr="00297891" w:rsidRDefault="00CD5572" w:rsidP="00CD5572">
            <w:pPr>
              <w:spacing w:after="0" w:line="240" w:lineRule="auto"/>
              <w:jc w:val="center"/>
              <w:rPr>
                <w:rFonts w:ascii="Arial" w:hAnsi="Arial" w:cs="Arial"/>
                <w:b/>
                <w:sz w:val="24"/>
                <w:szCs w:val="24"/>
              </w:rPr>
            </w:pPr>
          </w:p>
        </w:tc>
        <w:tc>
          <w:tcPr>
            <w:tcW w:w="0" w:type="auto"/>
            <w:vMerge/>
            <w:tcBorders>
              <w:bottom w:val="single" w:sz="12" w:space="0" w:color="auto"/>
            </w:tcBorders>
            <w:shd w:val="clear" w:color="auto" w:fill="auto"/>
          </w:tcPr>
          <w:p w:rsidR="00CD5572" w:rsidRPr="00297891" w:rsidRDefault="00CD5572" w:rsidP="00CD5572">
            <w:pPr>
              <w:spacing w:after="0" w:line="240" w:lineRule="auto"/>
              <w:jc w:val="center"/>
              <w:rPr>
                <w:rFonts w:ascii="Arial" w:hAnsi="Arial" w:cs="Arial"/>
                <w:b/>
                <w:sz w:val="24"/>
                <w:szCs w:val="24"/>
              </w:rPr>
            </w:pPr>
          </w:p>
        </w:tc>
        <w:tc>
          <w:tcPr>
            <w:tcW w:w="0" w:type="auto"/>
            <w:vMerge/>
            <w:tcBorders>
              <w:bottom w:val="single" w:sz="12" w:space="0" w:color="auto"/>
            </w:tcBorders>
            <w:shd w:val="clear" w:color="auto" w:fill="auto"/>
          </w:tcPr>
          <w:p w:rsidR="00CD5572" w:rsidRPr="00297891" w:rsidRDefault="00CD5572" w:rsidP="00CD5572">
            <w:pPr>
              <w:spacing w:after="0" w:line="240" w:lineRule="auto"/>
              <w:jc w:val="center"/>
              <w:rPr>
                <w:rFonts w:ascii="Arial" w:hAnsi="Arial" w:cs="Arial"/>
                <w:b/>
                <w:sz w:val="24"/>
                <w:szCs w:val="24"/>
              </w:rPr>
            </w:pPr>
          </w:p>
        </w:tc>
      </w:tr>
      <w:tr w:rsidR="00CD5572" w:rsidRPr="00297891" w:rsidTr="00CD5572">
        <w:trPr>
          <w:trHeight w:hRule="exact" w:val="567"/>
        </w:trPr>
        <w:tc>
          <w:tcPr>
            <w:tcW w:w="0" w:type="auto"/>
            <w:tcBorders>
              <w:top w:val="single" w:sz="12" w:space="0" w:color="auto"/>
              <w:bottom w:val="single" w:sz="4" w:space="0" w:color="auto"/>
            </w:tcBorders>
            <w:shd w:val="clear" w:color="auto" w:fill="auto"/>
          </w:tcPr>
          <w:p w:rsidR="00CD5572" w:rsidRPr="00297891" w:rsidRDefault="00CD5572" w:rsidP="00445724">
            <w:pPr>
              <w:numPr>
                <w:ilvl w:val="0"/>
                <w:numId w:val="31"/>
              </w:numPr>
              <w:spacing w:after="0" w:line="240" w:lineRule="auto"/>
              <w:jc w:val="center"/>
              <w:rPr>
                <w:rFonts w:ascii="Arial" w:hAnsi="Arial" w:cs="Arial"/>
                <w:b/>
                <w:sz w:val="24"/>
                <w:szCs w:val="24"/>
              </w:rPr>
            </w:pPr>
          </w:p>
        </w:tc>
        <w:tc>
          <w:tcPr>
            <w:tcW w:w="0" w:type="auto"/>
            <w:tcBorders>
              <w:top w:val="single" w:sz="12"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Adrian MARICIUC</w:t>
            </w:r>
          </w:p>
        </w:tc>
        <w:tc>
          <w:tcPr>
            <w:tcW w:w="0" w:type="auto"/>
            <w:tcBorders>
              <w:top w:val="single" w:sz="12"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ADR VEST</w:t>
            </w:r>
          </w:p>
        </w:tc>
        <w:tc>
          <w:tcPr>
            <w:tcW w:w="0" w:type="auto"/>
            <w:tcBorders>
              <w:top w:val="single" w:sz="12"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 xml:space="preserve">Sef departament </w:t>
            </w:r>
          </w:p>
        </w:tc>
        <w:tc>
          <w:tcPr>
            <w:tcW w:w="0" w:type="auto"/>
            <w:tcBorders>
              <w:top w:val="single" w:sz="12"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sidRPr="00906F46">
              <w:rPr>
                <w:rFonts w:ascii="Arial" w:hAnsi="Arial" w:cs="Arial"/>
                <w:sz w:val="24"/>
                <w:szCs w:val="24"/>
              </w:rPr>
              <w:t>Membru</w:t>
            </w:r>
          </w:p>
        </w:tc>
      </w:tr>
      <w:tr w:rsidR="00CD5572" w:rsidRPr="00297891" w:rsidTr="00CD5572">
        <w:trPr>
          <w:trHeight w:hRule="exact" w:val="567"/>
        </w:trPr>
        <w:tc>
          <w:tcPr>
            <w:tcW w:w="0" w:type="auto"/>
            <w:tcBorders>
              <w:top w:val="single" w:sz="12" w:space="0" w:color="auto"/>
              <w:bottom w:val="single" w:sz="4" w:space="0" w:color="auto"/>
            </w:tcBorders>
            <w:shd w:val="clear" w:color="auto" w:fill="auto"/>
          </w:tcPr>
          <w:p w:rsidR="00CD5572" w:rsidRPr="00297891" w:rsidRDefault="00CD5572" w:rsidP="00445724">
            <w:pPr>
              <w:numPr>
                <w:ilvl w:val="0"/>
                <w:numId w:val="31"/>
              </w:numPr>
              <w:spacing w:after="0" w:line="240" w:lineRule="auto"/>
              <w:jc w:val="center"/>
              <w:rPr>
                <w:rFonts w:ascii="Arial" w:hAnsi="Arial" w:cs="Arial"/>
                <w:b/>
                <w:sz w:val="24"/>
                <w:szCs w:val="24"/>
              </w:rPr>
            </w:pPr>
          </w:p>
        </w:tc>
        <w:tc>
          <w:tcPr>
            <w:tcW w:w="0" w:type="auto"/>
            <w:tcBorders>
              <w:top w:val="single" w:sz="12" w:space="0" w:color="auto"/>
              <w:bottom w:val="single" w:sz="4" w:space="0" w:color="auto"/>
            </w:tcBorders>
            <w:shd w:val="clear" w:color="auto" w:fill="auto"/>
          </w:tcPr>
          <w:p w:rsidR="00CD5572" w:rsidRDefault="00CD5572" w:rsidP="00CD5572">
            <w:pPr>
              <w:spacing w:after="0" w:line="240" w:lineRule="auto"/>
              <w:jc w:val="center"/>
              <w:rPr>
                <w:rFonts w:ascii="Arial" w:hAnsi="Arial" w:cs="Arial"/>
                <w:sz w:val="24"/>
                <w:szCs w:val="24"/>
              </w:rPr>
            </w:pPr>
            <w:r>
              <w:rPr>
                <w:rFonts w:ascii="Arial" w:hAnsi="Arial" w:cs="Arial"/>
                <w:sz w:val="24"/>
                <w:szCs w:val="24"/>
              </w:rPr>
              <w:t>Vasile BORZA</w:t>
            </w:r>
          </w:p>
        </w:tc>
        <w:tc>
          <w:tcPr>
            <w:tcW w:w="0" w:type="auto"/>
            <w:tcBorders>
              <w:top w:val="single" w:sz="12" w:space="0" w:color="auto"/>
              <w:bottom w:val="single" w:sz="4" w:space="0" w:color="auto"/>
            </w:tcBorders>
            <w:shd w:val="clear" w:color="auto" w:fill="auto"/>
          </w:tcPr>
          <w:p w:rsidR="00CD5572" w:rsidRDefault="00CD5572" w:rsidP="00CD5572">
            <w:pPr>
              <w:spacing w:after="0" w:line="240" w:lineRule="auto"/>
              <w:jc w:val="center"/>
              <w:rPr>
                <w:rFonts w:ascii="Arial" w:hAnsi="Arial" w:cs="Arial"/>
                <w:sz w:val="24"/>
                <w:szCs w:val="24"/>
              </w:rPr>
            </w:pPr>
            <w:r>
              <w:rPr>
                <w:rFonts w:ascii="Arial" w:hAnsi="Arial" w:cs="Arial"/>
                <w:sz w:val="24"/>
                <w:szCs w:val="24"/>
              </w:rPr>
              <w:t>ISJ ARAD</w:t>
            </w:r>
          </w:p>
        </w:tc>
        <w:tc>
          <w:tcPr>
            <w:tcW w:w="0" w:type="auto"/>
            <w:tcBorders>
              <w:top w:val="single" w:sz="12" w:space="0" w:color="auto"/>
              <w:bottom w:val="single" w:sz="4" w:space="0" w:color="auto"/>
            </w:tcBorders>
            <w:shd w:val="clear" w:color="auto" w:fill="auto"/>
          </w:tcPr>
          <w:p w:rsidR="00CD5572" w:rsidRDefault="00CD5572" w:rsidP="00CD5572">
            <w:pPr>
              <w:spacing w:after="0" w:line="240" w:lineRule="auto"/>
              <w:jc w:val="center"/>
              <w:rPr>
                <w:rFonts w:ascii="Arial" w:hAnsi="Arial" w:cs="Arial"/>
                <w:sz w:val="24"/>
                <w:szCs w:val="24"/>
              </w:rPr>
            </w:pPr>
            <w:r>
              <w:rPr>
                <w:rFonts w:ascii="Arial" w:hAnsi="Arial" w:cs="Arial"/>
                <w:sz w:val="24"/>
                <w:szCs w:val="24"/>
              </w:rPr>
              <w:t xml:space="preserve">Inspector școlar </w:t>
            </w:r>
          </w:p>
        </w:tc>
        <w:tc>
          <w:tcPr>
            <w:tcW w:w="0" w:type="auto"/>
            <w:tcBorders>
              <w:top w:val="single" w:sz="12"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sidRPr="00906F46">
              <w:rPr>
                <w:rFonts w:ascii="Arial" w:hAnsi="Arial" w:cs="Arial"/>
                <w:sz w:val="24"/>
                <w:szCs w:val="24"/>
              </w:rPr>
              <w:t>Membru</w:t>
            </w:r>
          </w:p>
        </w:tc>
      </w:tr>
      <w:tr w:rsidR="00CD5572" w:rsidRPr="00297891" w:rsidTr="00CD5572">
        <w:trPr>
          <w:trHeight w:hRule="exact" w:val="547"/>
        </w:trPr>
        <w:tc>
          <w:tcPr>
            <w:tcW w:w="0" w:type="auto"/>
            <w:tcBorders>
              <w:top w:val="single" w:sz="4" w:space="0" w:color="auto"/>
              <w:bottom w:val="single" w:sz="4" w:space="0" w:color="auto"/>
            </w:tcBorders>
            <w:shd w:val="clear" w:color="auto" w:fill="auto"/>
          </w:tcPr>
          <w:p w:rsidR="00CD5572" w:rsidRPr="00297891" w:rsidRDefault="00CD5572"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CD5572" w:rsidRDefault="00CD5572" w:rsidP="00CD5572">
            <w:pPr>
              <w:spacing w:after="0" w:line="240" w:lineRule="auto"/>
              <w:jc w:val="center"/>
              <w:rPr>
                <w:rFonts w:ascii="Arial" w:hAnsi="Arial" w:cs="Arial"/>
                <w:sz w:val="24"/>
                <w:szCs w:val="24"/>
              </w:rPr>
            </w:pPr>
            <w:r>
              <w:rPr>
                <w:rFonts w:ascii="Arial" w:hAnsi="Arial" w:cs="Arial"/>
                <w:sz w:val="24"/>
                <w:szCs w:val="24"/>
              </w:rPr>
              <w:t>Levente HORVATH</w:t>
            </w:r>
          </w:p>
        </w:tc>
        <w:tc>
          <w:tcPr>
            <w:tcW w:w="0" w:type="auto"/>
            <w:tcBorders>
              <w:top w:val="single" w:sz="4" w:space="0" w:color="auto"/>
              <w:bottom w:val="single" w:sz="4" w:space="0" w:color="auto"/>
            </w:tcBorders>
            <w:shd w:val="clear" w:color="auto" w:fill="auto"/>
          </w:tcPr>
          <w:p w:rsidR="00CD5572" w:rsidRDefault="00CD5572" w:rsidP="00CD5572">
            <w:pPr>
              <w:spacing w:after="0" w:line="240" w:lineRule="auto"/>
              <w:jc w:val="center"/>
              <w:rPr>
                <w:rFonts w:ascii="Arial" w:hAnsi="Arial" w:cs="Arial"/>
                <w:sz w:val="24"/>
                <w:szCs w:val="24"/>
              </w:rPr>
            </w:pPr>
            <w:r>
              <w:rPr>
                <w:rFonts w:ascii="Arial" w:hAnsi="Arial" w:cs="Arial"/>
                <w:sz w:val="24"/>
                <w:szCs w:val="24"/>
              </w:rPr>
              <w:t>AJOFM ARAD</w:t>
            </w:r>
          </w:p>
        </w:tc>
        <w:tc>
          <w:tcPr>
            <w:tcW w:w="0" w:type="auto"/>
            <w:tcBorders>
              <w:top w:val="single" w:sz="4" w:space="0" w:color="auto"/>
              <w:bottom w:val="single" w:sz="4" w:space="0" w:color="auto"/>
            </w:tcBorders>
            <w:shd w:val="clear" w:color="auto" w:fill="auto"/>
          </w:tcPr>
          <w:p w:rsidR="00CD5572" w:rsidRDefault="00CD5572" w:rsidP="00CD5572">
            <w:pPr>
              <w:spacing w:after="0" w:line="240" w:lineRule="auto"/>
              <w:jc w:val="center"/>
              <w:rPr>
                <w:rFonts w:ascii="Arial" w:hAnsi="Arial" w:cs="Arial"/>
                <w:sz w:val="24"/>
                <w:szCs w:val="24"/>
              </w:rPr>
            </w:pPr>
            <w:r>
              <w:rPr>
                <w:rFonts w:ascii="Arial" w:hAnsi="Arial" w:cs="Arial"/>
                <w:sz w:val="24"/>
                <w:szCs w:val="24"/>
              </w:rPr>
              <w:t>Director executiv adjunct</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Membru</w:t>
            </w:r>
          </w:p>
        </w:tc>
      </w:tr>
      <w:tr w:rsidR="00CD5572" w:rsidRPr="00297891" w:rsidTr="00CD5572">
        <w:trPr>
          <w:trHeight w:hRule="exact" w:val="567"/>
        </w:trPr>
        <w:tc>
          <w:tcPr>
            <w:tcW w:w="0" w:type="auto"/>
            <w:tcBorders>
              <w:top w:val="single" w:sz="4" w:space="0" w:color="auto"/>
              <w:bottom w:val="single" w:sz="4" w:space="0" w:color="auto"/>
            </w:tcBorders>
            <w:shd w:val="clear" w:color="auto" w:fill="auto"/>
          </w:tcPr>
          <w:p w:rsidR="00CD5572" w:rsidRPr="00297891" w:rsidRDefault="00CD5572"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sidRPr="00906F46">
              <w:rPr>
                <w:rFonts w:ascii="Arial" w:hAnsi="Arial" w:cs="Arial"/>
                <w:sz w:val="24"/>
                <w:szCs w:val="24"/>
              </w:rPr>
              <w:t xml:space="preserve">Loredana PRIBAC </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sidRPr="00906F46">
              <w:rPr>
                <w:rFonts w:ascii="Arial" w:hAnsi="Arial" w:cs="Arial"/>
                <w:sz w:val="24"/>
                <w:szCs w:val="24"/>
              </w:rPr>
              <w:t>UVVG Arad</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sidRPr="00906F46">
              <w:rPr>
                <w:rFonts w:ascii="Arial" w:hAnsi="Arial" w:cs="Arial"/>
                <w:sz w:val="24"/>
                <w:szCs w:val="24"/>
              </w:rPr>
              <w:t>Cadru didactic</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sidRPr="00906F46">
              <w:rPr>
                <w:rFonts w:ascii="Arial" w:hAnsi="Arial" w:cs="Arial"/>
                <w:sz w:val="24"/>
                <w:szCs w:val="24"/>
              </w:rPr>
              <w:t>Membru</w:t>
            </w:r>
          </w:p>
        </w:tc>
      </w:tr>
      <w:tr w:rsidR="00CD5572" w:rsidRPr="00297891" w:rsidTr="00CD5572">
        <w:trPr>
          <w:trHeight w:hRule="exact" w:val="567"/>
        </w:trPr>
        <w:tc>
          <w:tcPr>
            <w:tcW w:w="0" w:type="auto"/>
            <w:tcBorders>
              <w:top w:val="single" w:sz="4" w:space="0" w:color="auto"/>
              <w:bottom w:val="single" w:sz="4" w:space="0" w:color="auto"/>
            </w:tcBorders>
            <w:shd w:val="clear" w:color="auto" w:fill="auto"/>
          </w:tcPr>
          <w:p w:rsidR="00CD5572" w:rsidRPr="00297891" w:rsidRDefault="00CD5572"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sidRPr="00906F46">
              <w:rPr>
                <w:rFonts w:ascii="Arial" w:hAnsi="Arial" w:cs="Arial"/>
                <w:sz w:val="24"/>
                <w:szCs w:val="24"/>
              </w:rPr>
              <w:t xml:space="preserve">Radu MATIUT </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sidRPr="00906F46">
              <w:rPr>
                <w:rFonts w:ascii="Arial" w:hAnsi="Arial" w:cs="Arial"/>
                <w:sz w:val="24"/>
                <w:szCs w:val="24"/>
              </w:rPr>
              <w:t xml:space="preserve">CCIA Arad </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sidRPr="00906F46">
              <w:rPr>
                <w:rFonts w:ascii="Arial" w:hAnsi="Arial" w:cs="Arial"/>
                <w:sz w:val="24"/>
                <w:szCs w:val="24"/>
              </w:rPr>
              <w:t>Consilier juridic</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sidRPr="00906F46">
              <w:rPr>
                <w:rFonts w:ascii="Arial" w:hAnsi="Arial" w:cs="Arial"/>
                <w:sz w:val="24"/>
                <w:szCs w:val="24"/>
              </w:rPr>
              <w:t>Membru supleant</w:t>
            </w:r>
          </w:p>
        </w:tc>
      </w:tr>
      <w:tr w:rsidR="00CD5572" w:rsidRPr="00297891" w:rsidTr="00CD5572">
        <w:trPr>
          <w:trHeight w:hRule="exact" w:val="567"/>
        </w:trPr>
        <w:tc>
          <w:tcPr>
            <w:tcW w:w="0" w:type="auto"/>
            <w:tcBorders>
              <w:top w:val="single" w:sz="4" w:space="0" w:color="auto"/>
              <w:bottom w:val="single" w:sz="4" w:space="0" w:color="auto"/>
            </w:tcBorders>
            <w:shd w:val="clear" w:color="auto" w:fill="auto"/>
          </w:tcPr>
          <w:p w:rsidR="00CD5572" w:rsidRPr="00297891" w:rsidRDefault="00CD5572"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sidRPr="00906F46">
              <w:rPr>
                <w:rFonts w:ascii="Arial" w:hAnsi="Arial" w:cs="Arial"/>
                <w:sz w:val="24"/>
                <w:szCs w:val="24"/>
              </w:rPr>
              <w:t>Carmen CRIȘAN</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sidRPr="00906F46">
              <w:rPr>
                <w:rFonts w:ascii="Arial" w:hAnsi="Arial" w:cs="Arial"/>
                <w:sz w:val="24"/>
                <w:szCs w:val="24"/>
              </w:rPr>
              <w:t>CCIA Arad</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sidRPr="00906F46">
              <w:rPr>
                <w:rFonts w:ascii="Arial" w:hAnsi="Arial" w:cs="Arial"/>
                <w:sz w:val="24"/>
                <w:szCs w:val="24"/>
              </w:rPr>
              <w:t>Manager formare profesională</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sidRPr="00906F46">
              <w:rPr>
                <w:rFonts w:ascii="Arial" w:hAnsi="Arial" w:cs="Arial"/>
                <w:sz w:val="24"/>
                <w:szCs w:val="24"/>
              </w:rPr>
              <w:t>Membru</w:t>
            </w:r>
          </w:p>
        </w:tc>
      </w:tr>
      <w:tr w:rsidR="00CD5572" w:rsidRPr="00297891" w:rsidTr="00CD5572">
        <w:trPr>
          <w:trHeight w:hRule="exact" w:val="567"/>
        </w:trPr>
        <w:tc>
          <w:tcPr>
            <w:tcW w:w="0" w:type="auto"/>
            <w:tcBorders>
              <w:top w:val="single" w:sz="4" w:space="0" w:color="auto"/>
              <w:bottom w:val="single" w:sz="4" w:space="0" w:color="auto"/>
            </w:tcBorders>
            <w:shd w:val="clear" w:color="auto" w:fill="auto"/>
          </w:tcPr>
          <w:p w:rsidR="00CD5572" w:rsidRPr="00297891" w:rsidRDefault="00CD5572"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Nicolae GROȘAN</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CLDPS AR</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 xml:space="preserve">Președinte </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Președinte</w:t>
            </w:r>
          </w:p>
        </w:tc>
      </w:tr>
      <w:tr w:rsidR="00CD5572" w:rsidRPr="00297891" w:rsidTr="00CD5572">
        <w:trPr>
          <w:trHeight w:hRule="exact" w:val="567"/>
        </w:trPr>
        <w:tc>
          <w:tcPr>
            <w:tcW w:w="0" w:type="auto"/>
            <w:tcBorders>
              <w:top w:val="single" w:sz="4" w:space="0" w:color="auto"/>
              <w:bottom w:val="single" w:sz="4" w:space="0" w:color="auto"/>
            </w:tcBorders>
            <w:shd w:val="clear" w:color="auto" w:fill="auto"/>
          </w:tcPr>
          <w:p w:rsidR="00CD5572" w:rsidRPr="00297891" w:rsidRDefault="00CD5572"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Doina MORTOIU</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 xml:space="preserve">UAV ARAD </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Prodecan</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sidRPr="00906F46">
              <w:rPr>
                <w:rFonts w:ascii="Arial" w:hAnsi="Arial" w:cs="Arial"/>
                <w:sz w:val="24"/>
                <w:szCs w:val="24"/>
              </w:rPr>
              <w:t>Membru</w:t>
            </w:r>
          </w:p>
        </w:tc>
      </w:tr>
      <w:tr w:rsidR="00CD5572" w:rsidRPr="00297891" w:rsidTr="00CD5572">
        <w:trPr>
          <w:trHeight w:hRule="exact" w:val="567"/>
        </w:trPr>
        <w:tc>
          <w:tcPr>
            <w:tcW w:w="0" w:type="auto"/>
            <w:tcBorders>
              <w:top w:val="single" w:sz="4" w:space="0" w:color="auto"/>
              <w:bottom w:val="single" w:sz="4" w:space="0" w:color="auto"/>
            </w:tcBorders>
            <w:shd w:val="clear" w:color="auto" w:fill="auto"/>
          </w:tcPr>
          <w:p w:rsidR="00CD5572" w:rsidRPr="00297891" w:rsidRDefault="00CD5572"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Dănuț IENEȘESCU</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 xml:space="preserve">CLDPS AR </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Prețedinte SDI Arad</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sidRPr="00906F46">
              <w:rPr>
                <w:rFonts w:ascii="Arial" w:hAnsi="Arial" w:cs="Arial"/>
                <w:sz w:val="24"/>
                <w:szCs w:val="24"/>
              </w:rPr>
              <w:t>Membru</w:t>
            </w:r>
          </w:p>
        </w:tc>
      </w:tr>
      <w:tr w:rsidR="00CD5572" w:rsidRPr="00297891" w:rsidTr="00CD5572">
        <w:trPr>
          <w:trHeight w:hRule="exact" w:val="567"/>
        </w:trPr>
        <w:tc>
          <w:tcPr>
            <w:tcW w:w="0" w:type="auto"/>
            <w:tcBorders>
              <w:top w:val="single" w:sz="4" w:space="0" w:color="auto"/>
              <w:bottom w:val="single" w:sz="4" w:space="0" w:color="auto"/>
            </w:tcBorders>
            <w:shd w:val="clear" w:color="auto" w:fill="auto"/>
          </w:tcPr>
          <w:p w:rsidR="00CD5572" w:rsidRPr="00297891" w:rsidRDefault="00CD5572"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Diana PAVEM</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 xml:space="preserve">CJ Arad </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Consilier</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sidRPr="00906F46">
              <w:rPr>
                <w:rFonts w:ascii="Arial" w:hAnsi="Arial" w:cs="Arial"/>
                <w:sz w:val="24"/>
                <w:szCs w:val="24"/>
              </w:rPr>
              <w:t>Membru</w:t>
            </w:r>
            <w:r>
              <w:rPr>
                <w:rFonts w:ascii="Arial" w:hAnsi="Arial" w:cs="Arial"/>
                <w:sz w:val="24"/>
                <w:szCs w:val="24"/>
              </w:rPr>
              <w:t xml:space="preserve"> supleant</w:t>
            </w:r>
          </w:p>
        </w:tc>
      </w:tr>
      <w:tr w:rsidR="00CD5572" w:rsidRPr="00297891" w:rsidTr="00CD5572">
        <w:trPr>
          <w:trHeight w:hRule="exact" w:val="567"/>
        </w:trPr>
        <w:tc>
          <w:tcPr>
            <w:tcW w:w="0" w:type="auto"/>
            <w:tcBorders>
              <w:top w:val="single" w:sz="4" w:space="0" w:color="auto"/>
              <w:bottom w:val="single" w:sz="4" w:space="0" w:color="auto"/>
            </w:tcBorders>
            <w:shd w:val="clear" w:color="auto" w:fill="auto"/>
          </w:tcPr>
          <w:p w:rsidR="00CD5572" w:rsidRPr="00297891" w:rsidRDefault="00CD5572"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Alina BUPTE</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 xml:space="preserve">CJ Arad </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Consilier</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sidRPr="00906F46">
              <w:rPr>
                <w:rFonts w:ascii="Arial" w:hAnsi="Arial" w:cs="Arial"/>
                <w:sz w:val="24"/>
                <w:szCs w:val="24"/>
              </w:rPr>
              <w:t xml:space="preserve">Membru </w:t>
            </w:r>
          </w:p>
        </w:tc>
      </w:tr>
      <w:tr w:rsidR="00CD5572" w:rsidRPr="00297891" w:rsidTr="00CD5572">
        <w:trPr>
          <w:trHeight w:hRule="exact" w:val="567"/>
        </w:trPr>
        <w:tc>
          <w:tcPr>
            <w:tcW w:w="0" w:type="auto"/>
            <w:tcBorders>
              <w:top w:val="single" w:sz="4" w:space="0" w:color="auto"/>
              <w:bottom w:val="single" w:sz="4" w:space="0" w:color="auto"/>
            </w:tcBorders>
            <w:shd w:val="clear" w:color="auto" w:fill="auto"/>
          </w:tcPr>
          <w:p w:rsidR="00CD5572" w:rsidRPr="00297891" w:rsidRDefault="00CD5572"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Andre</w:t>
            </w:r>
            <w:r w:rsidRPr="00906F46">
              <w:rPr>
                <w:rFonts w:ascii="Arial" w:hAnsi="Arial" w:cs="Arial"/>
                <w:sz w:val="24"/>
                <w:szCs w:val="24"/>
              </w:rPr>
              <w:t>i SZABO</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sidRPr="00906F46">
              <w:rPr>
                <w:rFonts w:ascii="Arial" w:hAnsi="Arial" w:cs="Arial"/>
                <w:sz w:val="24"/>
                <w:szCs w:val="24"/>
              </w:rPr>
              <w:t xml:space="preserve">CJ CS </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sidRPr="00906F46">
              <w:rPr>
                <w:rFonts w:ascii="Arial" w:hAnsi="Arial" w:cs="Arial"/>
                <w:sz w:val="24"/>
                <w:szCs w:val="24"/>
              </w:rPr>
              <w:t>Consilier juridic</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sidRPr="00906F46">
              <w:rPr>
                <w:rFonts w:ascii="Arial" w:hAnsi="Arial" w:cs="Arial"/>
                <w:sz w:val="24"/>
                <w:szCs w:val="24"/>
              </w:rPr>
              <w:t>Membru</w:t>
            </w:r>
          </w:p>
        </w:tc>
      </w:tr>
      <w:tr w:rsidR="00CD5572" w:rsidRPr="00297891" w:rsidTr="00CD5572">
        <w:trPr>
          <w:trHeight w:hRule="exact" w:val="567"/>
        </w:trPr>
        <w:tc>
          <w:tcPr>
            <w:tcW w:w="0" w:type="auto"/>
            <w:tcBorders>
              <w:top w:val="single" w:sz="4" w:space="0" w:color="auto"/>
              <w:bottom w:val="single" w:sz="4" w:space="0" w:color="auto"/>
            </w:tcBorders>
            <w:shd w:val="clear" w:color="auto" w:fill="auto"/>
          </w:tcPr>
          <w:p w:rsidR="00CD5572" w:rsidRPr="00297891" w:rsidRDefault="00CD5572"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Dalina RANCU</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ISJ CS</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Pr>
                <w:rFonts w:ascii="Arial" w:hAnsi="Arial" w:cs="Arial"/>
                <w:sz w:val="24"/>
                <w:szCs w:val="24"/>
              </w:rPr>
              <w:t xml:space="preserve">Inspector școlar </w:t>
            </w:r>
          </w:p>
        </w:tc>
        <w:tc>
          <w:tcPr>
            <w:tcW w:w="0" w:type="auto"/>
            <w:tcBorders>
              <w:top w:val="single" w:sz="4" w:space="0" w:color="auto"/>
              <w:bottom w:val="single" w:sz="4" w:space="0" w:color="auto"/>
            </w:tcBorders>
            <w:shd w:val="clear" w:color="auto" w:fill="auto"/>
          </w:tcPr>
          <w:p w:rsidR="00CD5572" w:rsidRPr="00906F46" w:rsidRDefault="00CD5572" w:rsidP="00CD5572">
            <w:pPr>
              <w:spacing w:after="0" w:line="240" w:lineRule="auto"/>
              <w:jc w:val="center"/>
              <w:rPr>
                <w:rFonts w:ascii="Arial" w:hAnsi="Arial" w:cs="Arial"/>
                <w:sz w:val="24"/>
                <w:szCs w:val="24"/>
              </w:rPr>
            </w:pPr>
            <w:r w:rsidRPr="00906F46">
              <w:rPr>
                <w:rFonts w:ascii="Arial" w:hAnsi="Arial" w:cs="Arial"/>
                <w:sz w:val="24"/>
                <w:szCs w:val="24"/>
              </w:rPr>
              <w:t xml:space="preserve">Membru </w:t>
            </w:r>
          </w:p>
        </w:tc>
      </w:tr>
      <w:tr w:rsidR="006013D1" w:rsidRPr="00297891" w:rsidTr="00CD5572">
        <w:trPr>
          <w:trHeight w:hRule="exact" w:val="567"/>
        </w:trPr>
        <w:tc>
          <w:tcPr>
            <w:tcW w:w="0" w:type="auto"/>
            <w:tcBorders>
              <w:top w:val="single" w:sz="4" w:space="0" w:color="auto"/>
              <w:bottom w:val="single" w:sz="4" w:space="0" w:color="auto"/>
            </w:tcBorders>
            <w:shd w:val="clear" w:color="auto" w:fill="auto"/>
          </w:tcPr>
          <w:p w:rsidR="006013D1" w:rsidRPr="00297891" w:rsidRDefault="006013D1"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6013D1" w:rsidRDefault="006013D1" w:rsidP="00CD5572">
            <w:pPr>
              <w:spacing w:after="0" w:line="240" w:lineRule="auto"/>
              <w:jc w:val="center"/>
              <w:rPr>
                <w:rFonts w:ascii="Arial" w:hAnsi="Arial" w:cs="Arial"/>
                <w:sz w:val="24"/>
                <w:szCs w:val="24"/>
              </w:rPr>
            </w:pPr>
            <w:r>
              <w:rPr>
                <w:rFonts w:ascii="Arial" w:hAnsi="Arial" w:cs="Arial"/>
                <w:sz w:val="24"/>
                <w:szCs w:val="24"/>
              </w:rPr>
              <w:t xml:space="preserve">Marian APOSTOL </w:t>
            </w:r>
          </w:p>
        </w:tc>
        <w:tc>
          <w:tcPr>
            <w:tcW w:w="0" w:type="auto"/>
            <w:tcBorders>
              <w:top w:val="single" w:sz="4" w:space="0" w:color="auto"/>
              <w:bottom w:val="single" w:sz="4" w:space="0" w:color="auto"/>
            </w:tcBorders>
            <w:shd w:val="clear" w:color="auto" w:fill="auto"/>
          </w:tcPr>
          <w:p w:rsidR="006013D1" w:rsidRDefault="006013D1" w:rsidP="00CD5572">
            <w:pPr>
              <w:spacing w:after="0" w:line="240" w:lineRule="auto"/>
              <w:jc w:val="center"/>
              <w:rPr>
                <w:rFonts w:ascii="Arial" w:hAnsi="Arial" w:cs="Arial"/>
                <w:sz w:val="24"/>
                <w:szCs w:val="24"/>
              </w:rPr>
            </w:pPr>
            <w:r>
              <w:rPr>
                <w:rFonts w:ascii="Arial" w:hAnsi="Arial" w:cs="Arial"/>
                <w:sz w:val="24"/>
                <w:szCs w:val="24"/>
              </w:rPr>
              <w:t>CLDPS CS</w:t>
            </w:r>
          </w:p>
        </w:tc>
        <w:tc>
          <w:tcPr>
            <w:tcW w:w="0" w:type="auto"/>
            <w:tcBorders>
              <w:top w:val="single" w:sz="4" w:space="0" w:color="auto"/>
              <w:bottom w:val="single" w:sz="4" w:space="0" w:color="auto"/>
            </w:tcBorders>
            <w:shd w:val="clear" w:color="auto" w:fill="auto"/>
          </w:tcPr>
          <w:p w:rsidR="006013D1" w:rsidRDefault="006013D1" w:rsidP="00CD5572">
            <w:pPr>
              <w:spacing w:after="0" w:line="240" w:lineRule="auto"/>
              <w:jc w:val="center"/>
              <w:rPr>
                <w:rFonts w:ascii="Arial" w:hAnsi="Arial" w:cs="Arial"/>
                <w:sz w:val="24"/>
                <w:szCs w:val="24"/>
              </w:rPr>
            </w:pPr>
            <w:r>
              <w:rPr>
                <w:rFonts w:ascii="Arial" w:hAnsi="Arial" w:cs="Arial"/>
                <w:sz w:val="24"/>
                <w:szCs w:val="24"/>
              </w:rPr>
              <w:t xml:space="preserve">Președinte CLDPS </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sidRPr="00906F46">
              <w:rPr>
                <w:rFonts w:ascii="Arial" w:hAnsi="Arial" w:cs="Arial"/>
                <w:sz w:val="24"/>
                <w:szCs w:val="24"/>
              </w:rPr>
              <w:t>Membru</w:t>
            </w:r>
          </w:p>
        </w:tc>
      </w:tr>
      <w:tr w:rsidR="006013D1" w:rsidRPr="00297891" w:rsidTr="00CD5572">
        <w:trPr>
          <w:trHeight w:hRule="exact" w:val="567"/>
        </w:trPr>
        <w:tc>
          <w:tcPr>
            <w:tcW w:w="0" w:type="auto"/>
            <w:tcBorders>
              <w:top w:val="single" w:sz="4" w:space="0" w:color="auto"/>
              <w:bottom w:val="single" w:sz="4" w:space="0" w:color="auto"/>
            </w:tcBorders>
            <w:shd w:val="clear" w:color="auto" w:fill="auto"/>
          </w:tcPr>
          <w:p w:rsidR="006013D1" w:rsidRPr="00297891" w:rsidRDefault="006013D1"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6013D1" w:rsidRDefault="006013D1" w:rsidP="00CD5572">
            <w:pPr>
              <w:spacing w:after="0" w:line="240" w:lineRule="auto"/>
              <w:jc w:val="center"/>
              <w:rPr>
                <w:rFonts w:ascii="Arial" w:hAnsi="Arial" w:cs="Arial"/>
                <w:sz w:val="24"/>
                <w:szCs w:val="24"/>
              </w:rPr>
            </w:pPr>
            <w:r>
              <w:rPr>
                <w:rFonts w:ascii="Arial" w:hAnsi="Arial" w:cs="Arial"/>
                <w:sz w:val="24"/>
                <w:szCs w:val="24"/>
              </w:rPr>
              <w:t>Nicolae VULPEȘ</w:t>
            </w:r>
          </w:p>
        </w:tc>
        <w:tc>
          <w:tcPr>
            <w:tcW w:w="0" w:type="auto"/>
            <w:tcBorders>
              <w:top w:val="single" w:sz="4" w:space="0" w:color="auto"/>
              <w:bottom w:val="single" w:sz="4" w:space="0" w:color="auto"/>
            </w:tcBorders>
            <w:shd w:val="clear" w:color="auto" w:fill="auto"/>
          </w:tcPr>
          <w:p w:rsidR="006013D1" w:rsidRDefault="006013D1" w:rsidP="006013D1">
            <w:pPr>
              <w:spacing w:after="0" w:line="240" w:lineRule="auto"/>
              <w:jc w:val="center"/>
              <w:rPr>
                <w:rFonts w:ascii="Arial" w:hAnsi="Arial" w:cs="Arial"/>
                <w:sz w:val="24"/>
                <w:szCs w:val="24"/>
              </w:rPr>
            </w:pPr>
            <w:r>
              <w:rPr>
                <w:rFonts w:ascii="Arial" w:hAnsi="Arial" w:cs="Arial"/>
                <w:sz w:val="24"/>
                <w:szCs w:val="24"/>
              </w:rPr>
              <w:t>CLDPS CS</w:t>
            </w:r>
          </w:p>
        </w:tc>
        <w:tc>
          <w:tcPr>
            <w:tcW w:w="0" w:type="auto"/>
            <w:tcBorders>
              <w:top w:val="single" w:sz="4" w:space="0" w:color="auto"/>
              <w:bottom w:val="single" w:sz="4" w:space="0" w:color="auto"/>
            </w:tcBorders>
            <w:shd w:val="clear" w:color="auto" w:fill="auto"/>
          </w:tcPr>
          <w:p w:rsidR="006013D1" w:rsidRDefault="006013D1" w:rsidP="006013D1">
            <w:pPr>
              <w:spacing w:after="0" w:line="240" w:lineRule="auto"/>
              <w:jc w:val="center"/>
              <w:rPr>
                <w:rFonts w:ascii="Arial" w:hAnsi="Arial" w:cs="Arial"/>
                <w:sz w:val="24"/>
                <w:szCs w:val="24"/>
              </w:rPr>
            </w:pPr>
            <w:r>
              <w:rPr>
                <w:rFonts w:ascii="Arial" w:hAnsi="Arial" w:cs="Arial"/>
                <w:sz w:val="24"/>
                <w:szCs w:val="24"/>
              </w:rPr>
              <w:t xml:space="preserve">Membru CLDPS </w:t>
            </w:r>
          </w:p>
        </w:tc>
        <w:tc>
          <w:tcPr>
            <w:tcW w:w="0" w:type="auto"/>
            <w:tcBorders>
              <w:top w:val="single" w:sz="4" w:space="0" w:color="auto"/>
              <w:bottom w:val="single" w:sz="4" w:space="0" w:color="auto"/>
            </w:tcBorders>
            <w:shd w:val="clear" w:color="auto" w:fill="auto"/>
          </w:tcPr>
          <w:p w:rsidR="006013D1" w:rsidRPr="00906F46" w:rsidRDefault="006013D1" w:rsidP="006013D1">
            <w:pPr>
              <w:spacing w:after="0" w:line="240" w:lineRule="auto"/>
              <w:jc w:val="center"/>
              <w:rPr>
                <w:rFonts w:ascii="Arial" w:hAnsi="Arial" w:cs="Arial"/>
                <w:sz w:val="24"/>
                <w:szCs w:val="24"/>
              </w:rPr>
            </w:pPr>
            <w:r w:rsidRPr="00906F46">
              <w:rPr>
                <w:rFonts w:ascii="Arial" w:hAnsi="Arial" w:cs="Arial"/>
                <w:sz w:val="24"/>
                <w:szCs w:val="24"/>
              </w:rPr>
              <w:t>Membru</w:t>
            </w:r>
          </w:p>
        </w:tc>
      </w:tr>
      <w:tr w:rsidR="006013D1" w:rsidRPr="00297891" w:rsidTr="00CD5572">
        <w:trPr>
          <w:trHeight w:hRule="exact" w:val="567"/>
        </w:trPr>
        <w:tc>
          <w:tcPr>
            <w:tcW w:w="0" w:type="auto"/>
            <w:tcBorders>
              <w:top w:val="single" w:sz="4" w:space="0" w:color="auto"/>
              <w:bottom w:val="single" w:sz="4" w:space="0" w:color="auto"/>
            </w:tcBorders>
            <w:shd w:val="clear" w:color="auto" w:fill="auto"/>
          </w:tcPr>
          <w:p w:rsidR="006013D1" w:rsidRPr="00297891" w:rsidRDefault="006013D1"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6013D1" w:rsidRDefault="006013D1" w:rsidP="00CD5572">
            <w:pPr>
              <w:spacing w:after="0" w:line="240" w:lineRule="auto"/>
              <w:jc w:val="center"/>
              <w:rPr>
                <w:rFonts w:ascii="Arial" w:hAnsi="Arial" w:cs="Arial"/>
                <w:sz w:val="24"/>
                <w:szCs w:val="24"/>
              </w:rPr>
            </w:pPr>
            <w:r>
              <w:rPr>
                <w:rFonts w:ascii="Arial" w:hAnsi="Arial" w:cs="Arial"/>
                <w:sz w:val="24"/>
                <w:szCs w:val="24"/>
              </w:rPr>
              <w:t xml:space="preserve">Bogdan PAUNESCU </w:t>
            </w:r>
          </w:p>
        </w:tc>
        <w:tc>
          <w:tcPr>
            <w:tcW w:w="0" w:type="auto"/>
            <w:tcBorders>
              <w:top w:val="single" w:sz="4" w:space="0" w:color="auto"/>
              <w:bottom w:val="single" w:sz="4" w:space="0" w:color="auto"/>
            </w:tcBorders>
            <w:shd w:val="clear" w:color="auto" w:fill="auto"/>
          </w:tcPr>
          <w:p w:rsidR="006013D1" w:rsidRDefault="006013D1" w:rsidP="006013D1">
            <w:pPr>
              <w:spacing w:after="0" w:line="240" w:lineRule="auto"/>
              <w:jc w:val="center"/>
              <w:rPr>
                <w:rFonts w:ascii="Arial" w:hAnsi="Arial" w:cs="Arial"/>
                <w:sz w:val="24"/>
                <w:szCs w:val="24"/>
              </w:rPr>
            </w:pPr>
            <w:r>
              <w:rPr>
                <w:rFonts w:ascii="Arial" w:hAnsi="Arial" w:cs="Arial"/>
                <w:sz w:val="24"/>
                <w:szCs w:val="24"/>
              </w:rPr>
              <w:t xml:space="preserve">CCI CS </w:t>
            </w:r>
          </w:p>
        </w:tc>
        <w:tc>
          <w:tcPr>
            <w:tcW w:w="0" w:type="auto"/>
            <w:tcBorders>
              <w:top w:val="single" w:sz="4" w:space="0" w:color="auto"/>
              <w:bottom w:val="single" w:sz="4" w:space="0" w:color="auto"/>
            </w:tcBorders>
            <w:shd w:val="clear" w:color="auto" w:fill="auto"/>
          </w:tcPr>
          <w:p w:rsidR="006013D1" w:rsidRDefault="006013D1" w:rsidP="006013D1">
            <w:pPr>
              <w:spacing w:after="0" w:line="240" w:lineRule="auto"/>
              <w:jc w:val="center"/>
              <w:rPr>
                <w:rFonts w:ascii="Arial" w:hAnsi="Arial" w:cs="Arial"/>
                <w:sz w:val="24"/>
                <w:szCs w:val="24"/>
              </w:rPr>
            </w:pPr>
            <w:r>
              <w:rPr>
                <w:rFonts w:ascii="Arial" w:hAnsi="Arial" w:cs="Arial"/>
                <w:sz w:val="24"/>
                <w:szCs w:val="24"/>
              </w:rPr>
              <w:t xml:space="preserve">Conislier </w:t>
            </w:r>
          </w:p>
        </w:tc>
        <w:tc>
          <w:tcPr>
            <w:tcW w:w="0" w:type="auto"/>
            <w:tcBorders>
              <w:top w:val="single" w:sz="4" w:space="0" w:color="auto"/>
              <w:bottom w:val="single" w:sz="4" w:space="0" w:color="auto"/>
            </w:tcBorders>
            <w:shd w:val="clear" w:color="auto" w:fill="auto"/>
          </w:tcPr>
          <w:p w:rsidR="006013D1" w:rsidRPr="00906F46" w:rsidRDefault="006013D1" w:rsidP="006013D1">
            <w:pPr>
              <w:spacing w:after="0" w:line="240" w:lineRule="auto"/>
              <w:jc w:val="center"/>
              <w:rPr>
                <w:rFonts w:ascii="Arial" w:hAnsi="Arial" w:cs="Arial"/>
                <w:sz w:val="24"/>
                <w:szCs w:val="24"/>
              </w:rPr>
            </w:pPr>
            <w:r>
              <w:rPr>
                <w:rFonts w:ascii="Arial" w:hAnsi="Arial" w:cs="Arial"/>
                <w:sz w:val="24"/>
                <w:szCs w:val="24"/>
              </w:rPr>
              <w:t>Membru</w:t>
            </w:r>
          </w:p>
        </w:tc>
      </w:tr>
      <w:tr w:rsidR="006013D1" w:rsidRPr="00297891" w:rsidTr="00CD5572">
        <w:trPr>
          <w:trHeight w:hRule="exact" w:val="567"/>
        </w:trPr>
        <w:tc>
          <w:tcPr>
            <w:tcW w:w="0" w:type="auto"/>
            <w:tcBorders>
              <w:top w:val="single" w:sz="4" w:space="0" w:color="auto"/>
              <w:bottom w:val="single" w:sz="4" w:space="0" w:color="auto"/>
            </w:tcBorders>
            <w:shd w:val="clear" w:color="auto" w:fill="auto"/>
          </w:tcPr>
          <w:p w:rsidR="006013D1" w:rsidRPr="00297891" w:rsidRDefault="006013D1"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sidRPr="00906F46">
              <w:rPr>
                <w:rFonts w:ascii="Arial" w:hAnsi="Arial" w:cs="Arial"/>
                <w:sz w:val="24"/>
                <w:szCs w:val="24"/>
              </w:rPr>
              <w:t>Marius CIRES</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sidRPr="00906F46">
              <w:rPr>
                <w:rFonts w:ascii="Arial" w:hAnsi="Arial" w:cs="Arial"/>
                <w:sz w:val="24"/>
                <w:szCs w:val="24"/>
              </w:rPr>
              <w:t xml:space="preserve">CLDPS HD </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sidRPr="00906F46">
              <w:rPr>
                <w:rFonts w:ascii="Arial" w:hAnsi="Arial" w:cs="Arial"/>
                <w:sz w:val="24"/>
                <w:szCs w:val="24"/>
              </w:rPr>
              <w:t xml:space="preserve">Președinte </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sidRPr="00906F46">
              <w:rPr>
                <w:rFonts w:ascii="Arial" w:hAnsi="Arial" w:cs="Arial"/>
                <w:sz w:val="24"/>
                <w:szCs w:val="24"/>
              </w:rPr>
              <w:t xml:space="preserve">Membru </w:t>
            </w:r>
          </w:p>
        </w:tc>
      </w:tr>
      <w:tr w:rsidR="006013D1" w:rsidRPr="00297891" w:rsidTr="00CD5572">
        <w:trPr>
          <w:trHeight w:hRule="exact" w:val="567"/>
        </w:trPr>
        <w:tc>
          <w:tcPr>
            <w:tcW w:w="0" w:type="auto"/>
            <w:tcBorders>
              <w:top w:val="single" w:sz="4" w:space="0" w:color="auto"/>
              <w:bottom w:val="single" w:sz="4" w:space="0" w:color="auto"/>
            </w:tcBorders>
            <w:shd w:val="clear" w:color="auto" w:fill="auto"/>
          </w:tcPr>
          <w:p w:rsidR="006013D1" w:rsidRPr="00297891" w:rsidRDefault="006013D1"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rPr>
                <w:rFonts w:ascii="Arial" w:hAnsi="Arial" w:cs="Arial"/>
                <w:sz w:val="24"/>
                <w:szCs w:val="24"/>
              </w:rPr>
            </w:pPr>
            <w:r w:rsidRPr="00906F46">
              <w:rPr>
                <w:rFonts w:ascii="Arial" w:hAnsi="Arial" w:cs="Arial"/>
                <w:sz w:val="24"/>
                <w:szCs w:val="24"/>
              </w:rPr>
              <w:t xml:space="preserve">Anca-Maria DUMITRA </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sidRPr="00906F46">
              <w:rPr>
                <w:rFonts w:ascii="Arial" w:hAnsi="Arial" w:cs="Arial"/>
                <w:sz w:val="24"/>
                <w:szCs w:val="24"/>
              </w:rPr>
              <w:t xml:space="preserve">CJ HD </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sidRPr="00906F46">
              <w:rPr>
                <w:rFonts w:ascii="Arial" w:hAnsi="Arial" w:cs="Arial"/>
                <w:sz w:val="24"/>
                <w:szCs w:val="24"/>
              </w:rPr>
              <w:t>Inspector superior</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sidRPr="00906F46">
              <w:rPr>
                <w:rFonts w:ascii="Arial" w:hAnsi="Arial" w:cs="Arial"/>
                <w:sz w:val="24"/>
                <w:szCs w:val="24"/>
              </w:rPr>
              <w:t>Membru</w:t>
            </w:r>
          </w:p>
        </w:tc>
      </w:tr>
      <w:tr w:rsidR="006013D1" w:rsidRPr="00297891" w:rsidTr="00CD5572">
        <w:trPr>
          <w:trHeight w:hRule="exact" w:val="567"/>
        </w:trPr>
        <w:tc>
          <w:tcPr>
            <w:tcW w:w="0" w:type="auto"/>
            <w:tcBorders>
              <w:top w:val="single" w:sz="4" w:space="0" w:color="auto"/>
              <w:bottom w:val="single" w:sz="4" w:space="0" w:color="auto"/>
            </w:tcBorders>
            <w:shd w:val="clear" w:color="auto" w:fill="auto"/>
          </w:tcPr>
          <w:p w:rsidR="006013D1" w:rsidRPr="00297891" w:rsidRDefault="006013D1"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rPr>
                <w:rFonts w:ascii="Arial" w:hAnsi="Arial" w:cs="Arial"/>
                <w:sz w:val="24"/>
                <w:szCs w:val="24"/>
              </w:rPr>
            </w:pPr>
            <w:r>
              <w:rPr>
                <w:rFonts w:ascii="Arial" w:hAnsi="Arial" w:cs="Arial"/>
                <w:sz w:val="24"/>
                <w:szCs w:val="24"/>
              </w:rPr>
              <w:t xml:space="preserve">Dana – Luiza CIOARĂ </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Pr>
                <w:rFonts w:ascii="Arial" w:hAnsi="Arial" w:cs="Arial"/>
                <w:sz w:val="24"/>
                <w:szCs w:val="24"/>
              </w:rPr>
              <w:t>ISJ HD</w:t>
            </w:r>
          </w:p>
        </w:tc>
        <w:tc>
          <w:tcPr>
            <w:tcW w:w="0" w:type="auto"/>
            <w:tcBorders>
              <w:top w:val="single" w:sz="4" w:space="0" w:color="auto"/>
              <w:bottom w:val="single" w:sz="4" w:space="0" w:color="auto"/>
            </w:tcBorders>
            <w:shd w:val="clear" w:color="auto" w:fill="auto"/>
          </w:tcPr>
          <w:p w:rsidR="006013D1" w:rsidRPr="00906F46" w:rsidRDefault="006013D1" w:rsidP="006013D1">
            <w:pPr>
              <w:spacing w:after="0" w:line="240" w:lineRule="auto"/>
              <w:jc w:val="center"/>
              <w:rPr>
                <w:rFonts w:ascii="Arial" w:hAnsi="Arial" w:cs="Arial"/>
                <w:sz w:val="24"/>
                <w:szCs w:val="24"/>
              </w:rPr>
            </w:pPr>
            <w:r>
              <w:rPr>
                <w:rFonts w:ascii="Arial" w:hAnsi="Arial" w:cs="Arial"/>
                <w:sz w:val="24"/>
                <w:szCs w:val="24"/>
              </w:rPr>
              <w:t xml:space="preserve">Inspector școlar </w:t>
            </w:r>
          </w:p>
        </w:tc>
        <w:tc>
          <w:tcPr>
            <w:tcW w:w="0" w:type="auto"/>
            <w:tcBorders>
              <w:top w:val="single" w:sz="4" w:space="0" w:color="auto"/>
              <w:bottom w:val="single" w:sz="4" w:space="0" w:color="auto"/>
            </w:tcBorders>
            <w:shd w:val="clear" w:color="auto" w:fill="auto"/>
          </w:tcPr>
          <w:p w:rsidR="006013D1" w:rsidRPr="00906F46" w:rsidRDefault="006013D1" w:rsidP="006013D1">
            <w:pPr>
              <w:spacing w:after="0" w:line="240" w:lineRule="auto"/>
              <w:jc w:val="center"/>
              <w:rPr>
                <w:rFonts w:ascii="Arial" w:hAnsi="Arial" w:cs="Arial"/>
                <w:sz w:val="24"/>
                <w:szCs w:val="24"/>
              </w:rPr>
            </w:pPr>
            <w:r w:rsidRPr="00906F46">
              <w:rPr>
                <w:rFonts w:ascii="Arial" w:hAnsi="Arial" w:cs="Arial"/>
                <w:sz w:val="24"/>
                <w:szCs w:val="24"/>
              </w:rPr>
              <w:t xml:space="preserve">Membru </w:t>
            </w:r>
          </w:p>
        </w:tc>
      </w:tr>
      <w:tr w:rsidR="006013D1" w:rsidRPr="00297891" w:rsidTr="00CD5572">
        <w:trPr>
          <w:trHeight w:hRule="exact" w:val="567"/>
        </w:trPr>
        <w:tc>
          <w:tcPr>
            <w:tcW w:w="0" w:type="auto"/>
            <w:tcBorders>
              <w:top w:val="single" w:sz="4" w:space="0" w:color="auto"/>
              <w:bottom w:val="single" w:sz="4" w:space="0" w:color="auto"/>
            </w:tcBorders>
            <w:shd w:val="clear" w:color="auto" w:fill="auto"/>
          </w:tcPr>
          <w:p w:rsidR="006013D1" w:rsidRPr="00297891" w:rsidRDefault="006013D1"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rPr>
                <w:rFonts w:ascii="Arial" w:hAnsi="Arial" w:cs="Arial"/>
                <w:sz w:val="24"/>
                <w:szCs w:val="24"/>
              </w:rPr>
            </w:pPr>
            <w:r>
              <w:rPr>
                <w:rFonts w:ascii="Arial" w:hAnsi="Arial" w:cs="Arial"/>
                <w:sz w:val="24"/>
                <w:szCs w:val="24"/>
              </w:rPr>
              <w:t>Mihaela MANOLEA</w:t>
            </w:r>
          </w:p>
        </w:tc>
        <w:tc>
          <w:tcPr>
            <w:tcW w:w="0" w:type="auto"/>
            <w:tcBorders>
              <w:top w:val="single" w:sz="4" w:space="0" w:color="auto"/>
              <w:bottom w:val="single" w:sz="4" w:space="0" w:color="auto"/>
            </w:tcBorders>
            <w:shd w:val="clear" w:color="auto" w:fill="auto"/>
          </w:tcPr>
          <w:p w:rsidR="006013D1" w:rsidRPr="00906F46" w:rsidRDefault="006013D1" w:rsidP="006013D1">
            <w:pPr>
              <w:spacing w:after="0" w:line="240" w:lineRule="auto"/>
              <w:jc w:val="center"/>
              <w:rPr>
                <w:rFonts w:ascii="Arial" w:hAnsi="Arial" w:cs="Arial"/>
                <w:sz w:val="24"/>
                <w:szCs w:val="24"/>
              </w:rPr>
            </w:pPr>
            <w:r>
              <w:rPr>
                <w:rFonts w:ascii="Arial" w:hAnsi="Arial" w:cs="Arial"/>
                <w:sz w:val="24"/>
                <w:szCs w:val="24"/>
              </w:rPr>
              <w:t>ISJ HD</w:t>
            </w:r>
          </w:p>
        </w:tc>
        <w:tc>
          <w:tcPr>
            <w:tcW w:w="0" w:type="auto"/>
            <w:tcBorders>
              <w:top w:val="single" w:sz="4" w:space="0" w:color="auto"/>
              <w:bottom w:val="single" w:sz="4" w:space="0" w:color="auto"/>
            </w:tcBorders>
            <w:shd w:val="clear" w:color="auto" w:fill="auto"/>
          </w:tcPr>
          <w:p w:rsidR="006013D1" w:rsidRPr="00906F46" w:rsidRDefault="006013D1" w:rsidP="006013D1">
            <w:pPr>
              <w:spacing w:after="0" w:line="240" w:lineRule="auto"/>
              <w:jc w:val="center"/>
              <w:rPr>
                <w:rFonts w:ascii="Arial" w:hAnsi="Arial" w:cs="Arial"/>
                <w:sz w:val="24"/>
                <w:szCs w:val="24"/>
              </w:rPr>
            </w:pPr>
            <w:r>
              <w:rPr>
                <w:rFonts w:ascii="Arial" w:hAnsi="Arial" w:cs="Arial"/>
                <w:sz w:val="24"/>
                <w:szCs w:val="24"/>
              </w:rPr>
              <w:t xml:space="preserve">Inspector școlar </w:t>
            </w:r>
          </w:p>
        </w:tc>
        <w:tc>
          <w:tcPr>
            <w:tcW w:w="0" w:type="auto"/>
            <w:tcBorders>
              <w:top w:val="single" w:sz="4" w:space="0" w:color="auto"/>
              <w:bottom w:val="single" w:sz="4" w:space="0" w:color="auto"/>
            </w:tcBorders>
            <w:shd w:val="clear" w:color="auto" w:fill="auto"/>
          </w:tcPr>
          <w:p w:rsidR="006013D1" w:rsidRPr="00906F46" w:rsidRDefault="006013D1" w:rsidP="006013D1">
            <w:pPr>
              <w:spacing w:after="0" w:line="240" w:lineRule="auto"/>
              <w:jc w:val="center"/>
              <w:rPr>
                <w:rFonts w:ascii="Arial" w:hAnsi="Arial" w:cs="Arial"/>
                <w:sz w:val="24"/>
                <w:szCs w:val="24"/>
              </w:rPr>
            </w:pPr>
            <w:r w:rsidRPr="00906F46">
              <w:rPr>
                <w:rFonts w:ascii="Arial" w:hAnsi="Arial" w:cs="Arial"/>
                <w:sz w:val="24"/>
                <w:szCs w:val="24"/>
              </w:rPr>
              <w:t xml:space="preserve">Membru </w:t>
            </w:r>
          </w:p>
        </w:tc>
      </w:tr>
      <w:tr w:rsidR="006013D1" w:rsidRPr="00297891" w:rsidTr="00CD5572">
        <w:trPr>
          <w:trHeight w:hRule="exact" w:val="567"/>
        </w:trPr>
        <w:tc>
          <w:tcPr>
            <w:tcW w:w="0" w:type="auto"/>
            <w:tcBorders>
              <w:top w:val="single" w:sz="4" w:space="0" w:color="auto"/>
              <w:bottom w:val="single" w:sz="4" w:space="0" w:color="auto"/>
            </w:tcBorders>
            <w:shd w:val="clear" w:color="auto" w:fill="auto"/>
          </w:tcPr>
          <w:p w:rsidR="006013D1" w:rsidRPr="00297891" w:rsidRDefault="006013D1"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Pr>
                <w:rFonts w:ascii="Arial" w:hAnsi="Arial" w:cs="Arial"/>
                <w:sz w:val="24"/>
                <w:szCs w:val="24"/>
              </w:rPr>
              <w:t xml:space="preserve">Alina Mihaela MIHEȚ </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Pr>
                <w:rFonts w:ascii="Arial" w:hAnsi="Arial" w:cs="Arial"/>
                <w:sz w:val="24"/>
                <w:szCs w:val="24"/>
              </w:rPr>
              <w:t>AJOFM HD</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Pr>
                <w:rFonts w:ascii="Arial" w:hAnsi="Arial" w:cs="Arial"/>
                <w:sz w:val="24"/>
                <w:szCs w:val="24"/>
              </w:rPr>
              <w:t xml:space="preserve">Director executiv adjunct </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sidRPr="00906F46">
              <w:rPr>
                <w:rFonts w:ascii="Arial" w:hAnsi="Arial" w:cs="Arial"/>
                <w:sz w:val="24"/>
                <w:szCs w:val="24"/>
              </w:rPr>
              <w:t>Membru</w:t>
            </w:r>
          </w:p>
        </w:tc>
      </w:tr>
      <w:tr w:rsidR="006013D1" w:rsidRPr="00297891" w:rsidTr="00CD5572">
        <w:trPr>
          <w:trHeight w:hRule="exact" w:val="567"/>
        </w:trPr>
        <w:tc>
          <w:tcPr>
            <w:tcW w:w="0" w:type="auto"/>
            <w:tcBorders>
              <w:top w:val="single" w:sz="4" w:space="0" w:color="auto"/>
              <w:bottom w:val="single" w:sz="4" w:space="0" w:color="auto"/>
            </w:tcBorders>
            <w:shd w:val="clear" w:color="auto" w:fill="auto"/>
          </w:tcPr>
          <w:p w:rsidR="006013D1" w:rsidRPr="00297891" w:rsidRDefault="006013D1"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6013D1" w:rsidRDefault="006013D1" w:rsidP="00CD5572">
            <w:pPr>
              <w:spacing w:after="0" w:line="240" w:lineRule="auto"/>
              <w:jc w:val="center"/>
              <w:rPr>
                <w:rFonts w:ascii="Arial" w:hAnsi="Arial" w:cs="Arial"/>
                <w:sz w:val="24"/>
                <w:szCs w:val="24"/>
              </w:rPr>
            </w:pPr>
            <w:r>
              <w:rPr>
                <w:rFonts w:ascii="Arial" w:hAnsi="Arial" w:cs="Arial"/>
                <w:sz w:val="24"/>
                <w:szCs w:val="24"/>
              </w:rPr>
              <w:t xml:space="preserve">Paul RUSU </w:t>
            </w:r>
          </w:p>
        </w:tc>
        <w:tc>
          <w:tcPr>
            <w:tcW w:w="0" w:type="auto"/>
            <w:tcBorders>
              <w:top w:val="single" w:sz="4" w:space="0" w:color="auto"/>
              <w:bottom w:val="single" w:sz="4" w:space="0" w:color="auto"/>
            </w:tcBorders>
            <w:shd w:val="clear" w:color="auto" w:fill="auto"/>
          </w:tcPr>
          <w:p w:rsidR="006013D1" w:rsidRDefault="006013D1" w:rsidP="00CD5572">
            <w:pPr>
              <w:spacing w:after="0" w:line="240" w:lineRule="auto"/>
              <w:jc w:val="center"/>
              <w:rPr>
                <w:rFonts w:ascii="Arial" w:hAnsi="Arial" w:cs="Arial"/>
                <w:sz w:val="24"/>
                <w:szCs w:val="24"/>
              </w:rPr>
            </w:pPr>
            <w:r>
              <w:rPr>
                <w:rFonts w:ascii="Arial" w:hAnsi="Arial" w:cs="Arial"/>
                <w:sz w:val="24"/>
                <w:szCs w:val="24"/>
              </w:rPr>
              <w:t xml:space="preserve">CLDPS HD </w:t>
            </w:r>
          </w:p>
        </w:tc>
        <w:tc>
          <w:tcPr>
            <w:tcW w:w="0" w:type="auto"/>
            <w:tcBorders>
              <w:top w:val="single" w:sz="4" w:space="0" w:color="auto"/>
              <w:bottom w:val="single" w:sz="4" w:space="0" w:color="auto"/>
            </w:tcBorders>
            <w:shd w:val="clear" w:color="auto" w:fill="auto"/>
          </w:tcPr>
          <w:p w:rsidR="006013D1" w:rsidRDefault="006013D1" w:rsidP="00CD5572">
            <w:pPr>
              <w:spacing w:after="0" w:line="240" w:lineRule="auto"/>
              <w:jc w:val="center"/>
              <w:rPr>
                <w:rFonts w:ascii="Arial" w:hAnsi="Arial" w:cs="Arial"/>
                <w:sz w:val="24"/>
                <w:szCs w:val="24"/>
              </w:rPr>
            </w:pPr>
            <w:r>
              <w:rPr>
                <w:rFonts w:ascii="Arial" w:hAnsi="Arial" w:cs="Arial"/>
                <w:sz w:val="24"/>
                <w:szCs w:val="24"/>
              </w:rPr>
              <w:t xml:space="preserve">SIP HD </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Pr>
                <w:rFonts w:ascii="Arial" w:hAnsi="Arial" w:cs="Arial"/>
                <w:sz w:val="24"/>
                <w:szCs w:val="24"/>
              </w:rPr>
              <w:t xml:space="preserve">Membru </w:t>
            </w:r>
          </w:p>
        </w:tc>
      </w:tr>
      <w:tr w:rsidR="006013D1" w:rsidRPr="00297891" w:rsidTr="00CD5572">
        <w:trPr>
          <w:trHeight w:hRule="exact" w:val="567"/>
        </w:trPr>
        <w:tc>
          <w:tcPr>
            <w:tcW w:w="0" w:type="auto"/>
            <w:tcBorders>
              <w:top w:val="single" w:sz="4" w:space="0" w:color="auto"/>
              <w:bottom w:val="single" w:sz="4" w:space="0" w:color="auto"/>
            </w:tcBorders>
            <w:shd w:val="clear" w:color="auto" w:fill="auto"/>
          </w:tcPr>
          <w:p w:rsidR="006013D1" w:rsidRPr="00297891" w:rsidRDefault="006013D1"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6013D1" w:rsidRDefault="006013D1" w:rsidP="00CD5572">
            <w:pPr>
              <w:spacing w:after="0" w:line="240" w:lineRule="auto"/>
              <w:jc w:val="center"/>
              <w:rPr>
                <w:rFonts w:ascii="Arial" w:hAnsi="Arial" w:cs="Arial"/>
                <w:sz w:val="24"/>
                <w:szCs w:val="24"/>
              </w:rPr>
            </w:pPr>
            <w:r>
              <w:rPr>
                <w:rFonts w:ascii="Arial" w:hAnsi="Arial" w:cs="Arial"/>
                <w:sz w:val="24"/>
                <w:szCs w:val="24"/>
              </w:rPr>
              <w:t xml:space="preserve">Crinela GAFTON </w:t>
            </w:r>
          </w:p>
        </w:tc>
        <w:tc>
          <w:tcPr>
            <w:tcW w:w="0" w:type="auto"/>
            <w:tcBorders>
              <w:top w:val="single" w:sz="4" w:space="0" w:color="auto"/>
              <w:bottom w:val="single" w:sz="4" w:space="0" w:color="auto"/>
            </w:tcBorders>
            <w:shd w:val="clear" w:color="auto" w:fill="auto"/>
          </w:tcPr>
          <w:p w:rsidR="006013D1" w:rsidRDefault="006013D1" w:rsidP="00CD5572">
            <w:pPr>
              <w:spacing w:after="0" w:line="240" w:lineRule="auto"/>
              <w:jc w:val="center"/>
              <w:rPr>
                <w:rFonts w:ascii="Arial" w:hAnsi="Arial" w:cs="Arial"/>
                <w:sz w:val="24"/>
                <w:szCs w:val="24"/>
              </w:rPr>
            </w:pPr>
            <w:r>
              <w:rPr>
                <w:rFonts w:ascii="Arial" w:hAnsi="Arial" w:cs="Arial"/>
                <w:sz w:val="24"/>
                <w:szCs w:val="24"/>
              </w:rPr>
              <w:t>CCI HD</w:t>
            </w:r>
          </w:p>
        </w:tc>
        <w:tc>
          <w:tcPr>
            <w:tcW w:w="0" w:type="auto"/>
            <w:tcBorders>
              <w:top w:val="single" w:sz="4" w:space="0" w:color="auto"/>
              <w:bottom w:val="single" w:sz="4" w:space="0" w:color="auto"/>
            </w:tcBorders>
            <w:shd w:val="clear" w:color="auto" w:fill="auto"/>
          </w:tcPr>
          <w:p w:rsidR="006013D1" w:rsidRDefault="006013D1" w:rsidP="00CD5572">
            <w:pPr>
              <w:spacing w:after="0" w:line="240" w:lineRule="auto"/>
              <w:jc w:val="center"/>
              <w:rPr>
                <w:rFonts w:ascii="Arial" w:hAnsi="Arial" w:cs="Arial"/>
                <w:sz w:val="24"/>
                <w:szCs w:val="24"/>
              </w:rPr>
            </w:pPr>
            <w:r>
              <w:rPr>
                <w:rFonts w:ascii="Arial" w:hAnsi="Arial" w:cs="Arial"/>
                <w:sz w:val="24"/>
                <w:szCs w:val="24"/>
              </w:rPr>
              <w:t xml:space="preserve">Director executiv </w:t>
            </w:r>
          </w:p>
        </w:tc>
        <w:tc>
          <w:tcPr>
            <w:tcW w:w="0" w:type="auto"/>
            <w:tcBorders>
              <w:top w:val="single" w:sz="4" w:space="0" w:color="auto"/>
              <w:bottom w:val="single" w:sz="4" w:space="0" w:color="auto"/>
            </w:tcBorders>
            <w:shd w:val="clear" w:color="auto" w:fill="auto"/>
          </w:tcPr>
          <w:p w:rsidR="006013D1" w:rsidRDefault="006013D1" w:rsidP="00CD5572">
            <w:pPr>
              <w:spacing w:after="0" w:line="240" w:lineRule="auto"/>
              <w:jc w:val="center"/>
              <w:rPr>
                <w:rFonts w:ascii="Arial" w:hAnsi="Arial" w:cs="Arial"/>
                <w:sz w:val="24"/>
                <w:szCs w:val="24"/>
              </w:rPr>
            </w:pPr>
            <w:r>
              <w:rPr>
                <w:rFonts w:ascii="Arial" w:hAnsi="Arial" w:cs="Arial"/>
                <w:sz w:val="24"/>
                <w:szCs w:val="24"/>
              </w:rPr>
              <w:t xml:space="preserve">Membru </w:t>
            </w:r>
          </w:p>
        </w:tc>
      </w:tr>
      <w:tr w:rsidR="006013D1" w:rsidRPr="00297891" w:rsidTr="00CD5572">
        <w:trPr>
          <w:trHeight w:hRule="exact" w:val="567"/>
        </w:trPr>
        <w:tc>
          <w:tcPr>
            <w:tcW w:w="0" w:type="auto"/>
            <w:tcBorders>
              <w:top w:val="single" w:sz="4" w:space="0" w:color="auto"/>
              <w:bottom w:val="single" w:sz="4" w:space="0" w:color="auto"/>
            </w:tcBorders>
            <w:shd w:val="clear" w:color="auto" w:fill="auto"/>
          </w:tcPr>
          <w:p w:rsidR="006013D1" w:rsidRPr="00297891" w:rsidRDefault="006013D1"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sidRPr="00906F46">
              <w:rPr>
                <w:rFonts w:ascii="Arial" w:hAnsi="Arial" w:cs="Arial"/>
                <w:sz w:val="24"/>
                <w:szCs w:val="24"/>
              </w:rPr>
              <w:t>Tania AVRAMOV</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sidRPr="00906F46">
              <w:rPr>
                <w:rFonts w:ascii="Arial" w:hAnsi="Arial" w:cs="Arial"/>
                <w:sz w:val="24"/>
                <w:szCs w:val="24"/>
              </w:rPr>
              <w:t xml:space="preserve">CCIA Timiș </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sidRPr="00906F46">
              <w:rPr>
                <w:rFonts w:ascii="Arial" w:hAnsi="Arial" w:cs="Arial"/>
                <w:sz w:val="24"/>
                <w:szCs w:val="24"/>
              </w:rPr>
              <w:t>Manager formare profesională</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sidRPr="00906F46">
              <w:rPr>
                <w:rFonts w:ascii="Arial" w:hAnsi="Arial" w:cs="Arial"/>
                <w:sz w:val="24"/>
                <w:szCs w:val="24"/>
              </w:rPr>
              <w:t>Membru</w:t>
            </w:r>
          </w:p>
        </w:tc>
      </w:tr>
      <w:tr w:rsidR="006013D1" w:rsidRPr="00297891" w:rsidTr="00CD5572">
        <w:trPr>
          <w:trHeight w:hRule="exact" w:val="567"/>
        </w:trPr>
        <w:tc>
          <w:tcPr>
            <w:tcW w:w="0" w:type="auto"/>
            <w:tcBorders>
              <w:top w:val="single" w:sz="4" w:space="0" w:color="auto"/>
              <w:bottom w:val="single" w:sz="4" w:space="0" w:color="auto"/>
            </w:tcBorders>
            <w:shd w:val="clear" w:color="auto" w:fill="auto"/>
          </w:tcPr>
          <w:p w:rsidR="006013D1" w:rsidRPr="00297891" w:rsidRDefault="006013D1"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Pr>
                <w:rFonts w:ascii="Arial" w:hAnsi="Arial" w:cs="Arial"/>
                <w:sz w:val="24"/>
                <w:szCs w:val="24"/>
              </w:rPr>
              <w:t>Florin Adrian UNGURAȘ</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Pr>
                <w:rFonts w:ascii="Arial" w:hAnsi="Arial" w:cs="Arial"/>
                <w:sz w:val="24"/>
                <w:szCs w:val="24"/>
              </w:rPr>
              <w:t xml:space="preserve">AJOFM TM </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Pr>
                <w:rFonts w:ascii="Arial" w:hAnsi="Arial" w:cs="Arial"/>
                <w:sz w:val="24"/>
                <w:szCs w:val="24"/>
              </w:rPr>
              <w:t xml:space="preserve">Consilier </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sidRPr="00906F46">
              <w:rPr>
                <w:rFonts w:ascii="Arial" w:hAnsi="Arial" w:cs="Arial"/>
                <w:sz w:val="24"/>
                <w:szCs w:val="24"/>
              </w:rPr>
              <w:t>Membru</w:t>
            </w:r>
          </w:p>
        </w:tc>
      </w:tr>
      <w:tr w:rsidR="006013D1" w:rsidRPr="00297891" w:rsidTr="00CD5572">
        <w:trPr>
          <w:trHeight w:hRule="exact" w:val="567"/>
        </w:trPr>
        <w:tc>
          <w:tcPr>
            <w:tcW w:w="0" w:type="auto"/>
            <w:tcBorders>
              <w:top w:val="single" w:sz="4" w:space="0" w:color="auto"/>
              <w:bottom w:val="single" w:sz="4" w:space="0" w:color="auto"/>
            </w:tcBorders>
            <w:shd w:val="clear" w:color="auto" w:fill="auto"/>
          </w:tcPr>
          <w:p w:rsidR="006013D1" w:rsidRPr="00297891" w:rsidRDefault="006013D1"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6013D1" w:rsidRDefault="006013D1" w:rsidP="00CD5572">
            <w:pPr>
              <w:spacing w:after="0" w:line="240" w:lineRule="auto"/>
              <w:jc w:val="center"/>
              <w:rPr>
                <w:rFonts w:ascii="Arial" w:hAnsi="Arial" w:cs="Arial"/>
                <w:sz w:val="24"/>
                <w:szCs w:val="24"/>
              </w:rPr>
            </w:pPr>
            <w:r>
              <w:rPr>
                <w:rFonts w:ascii="Arial" w:hAnsi="Arial" w:cs="Arial"/>
                <w:sz w:val="24"/>
                <w:szCs w:val="24"/>
              </w:rPr>
              <w:t xml:space="preserve">Aura DANIELESCU </w:t>
            </w:r>
          </w:p>
        </w:tc>
        <w:tc>
          <w:tcPr>
            <w:tcW w:w="0" w:type="auto"/>
            <w:tcBorders>
              <w:top w:val="single" w:sz="4" w:space="0" w:color="auto"/>
              <w:bottom w:val="single" w:sz="4" w:space="0" w:color="auto"/>
            </w:tcBorders>
            <w:shd w:val="clear" w:color="auto" w:fill="auto"/>
          </w:tcPr>
          <w:p w:rsidR="006013D1" w:rsidRPr="00906F46" w:rsidRDefault="006013D1" w:rsidP="006013D1">
            <w:pPr>
              <w:spacing w:after="0" w:line="240" w:lineRule="auto"/>
              <w:jc w:val="center"/>
              <w:rPr>
                <w:rFonts w:ascii="Arial" w:hAnsi="Arial" w:cs="Arial"/>
                <w:sz w:val="24"/>
                <w:szCs w:val="24"/>
              </w:rPr>
            </w:pPr>
            <w:r>
              <w:rPr>
                <w:rFonts w:ascii="Arial" w:hAnsi="Arial" w:cs="Arial"/>
                <w:sz w:val="24"/>
                <w:szCs w:val="24"/>
              </w:rPr>
              <w:t xml:space="preserve">ISJ TM </w:t>
            </w:r>
          </w:p>
        </w:tc>
        <w:tc>
          <w:tcPr>
            <w:tcW w:w="0" w:type="auto"/>
            <w:tcBorders>
              <w:top w:val="single" w:sz="4" w:space="0" w:color="auto"/>
              <w:bottom w:val="single" w:sz="4" w:space="0" w:color="auto"/>
            </w:tcBorders>
            <w:shd w:val="clear" w:color="auto" w:fill="auto"/>
          </w:tcPr>
          <w:p w:rsidR="006013D1" w:rsidRPr="00906F46" w:rsidRDefault="006013D1" w:rsidP="006013D1">
            <w:pPr>
              <w:spacing w:after="0" w:line="240" w:lineRule="auto"/>
              <w:jc w:val="center"/>
              <w:rPr>
                <w:rFonts w:ascii="Arial" w:hAnsi="Arial" w:cs="Arial"/>
                <w:sz w:val="24"/>
                <w:szCs w:val="24"/>
              </w:rPr>
            </w:pPr>
            <w:r>
              <w:rPr>
                <w:rFonts w:ascii="Arial" w:hAnsi="Arial" w:cs="Arial"/>
                <w:sz w:val="24"/>
                <w:szCs w:val="24"/>
              </w:rPr>
              <w:t xml:space="preserve">Inspector școlar general </w:t>
            </w:r>
          </w:p>
        </w:tc>
        <w:tc>
          <w:tcPr>
            <w:tcW w:w="0" w:type="auto"/>
            <w:tcBorders>
              <w:top w:val="single" w:sz="4" w:space="0" w:color="auto"/>
              <w:bottom w:val="single" w:sz="4" w:space="0" w:color="auto"/>
            </w:tcBorders>
            <w:shd w:val="clear" w:color="auto" w:fill="auto"/>
          </w:tcPr>
          <w:p w:rsidR="006013D1" w:rsidRPr="00906F46" w:rsidRDefault="006013D1" w:rsidP="006013D1">
            <w:pPr>
              <w:spacing w:after="0" w:line="240" w:lineRule="auto"/>
              <w:jc w:val="center"/>
              <w:rPr>
                <w:rFonts w:ascii="Arial" w:hAnsi="Arial" w:cs="Arial"/>
                <w:sz w:val="24"/>
                <w:szCs w:val="24"/>
              </w:rPr>
            </w:pPr>
            <w:r w:rsidRPr="00906F46">
              <w:rPr>
                <w:rFonts w:ascii="Arial" w:hAnsi="Arial" w:cs="Arial"/>
                <w:sz w:val="24"/>
                <w:szCs w:val="24"/>
              </w:rPr>
              <w:t>Membru</w:t>
            </w:r>
          </w:p>
        </w:tc>
      </w:tr>
      <w:tr w:rsidR="006013D1" w:rsidRPr="00297891" w:rsidTr="00CD5572">
        <w:trPr>
          <w:trHeight w:hRule="exact" w:val="567"/>
        </w:trPr>
        <w:tc>
          <w:tcPr>
            <w:tcW w:w="0" w:type="auto"/>
            <w:tcBorders>
              <w:top w:val="single" w:sz="4" w:space="0" w:color="auto"/>
              <w:bottom w:val="single" w:sz="4" w:space="0" w:color="auto"/>
            </w:tcBorders>
            <w:shd w:val="clear" w:color="auto" w:fill="auto"/>
          </w:tcPr>
          <w:p w:rsidR="006013D1" w:rsidRPr="00297891" w:rsidRDefault="006013D1"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Pr>
                <w:rFonts w:ascii="Arial" w:hAnsi="Arial" w:cs="Arial"/>
                <w:sz w:val="24"/>
                <w:szCs w:val="24"/>
              </w:rPr>
              <w:t>Marcel BRANCU</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Pr>
                <w:rFonts w:ascii="Arial" w:hAnsi="Arial" w:cs="Arial"/>
                <w:sz w:val="24"/>
                <w:szCs w:val="24"/>
              </w:rPr>
              <w:t xml:space="preserve">ISJ TM </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Pr>
                <w:rFonts w:ascii="Arial" w:hAnsi="Arial" w:cs="Arial"/>
                <w:sz w:val="24"/>
                <w:szCs w:val="24"/>
              </w:rPr>
              <w:t xml:space="preserve">Inspector școlar pt IPT </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sidRPr="00906F46">
              <w:rPr>
                <w:rFonts w:ascii="Arial" w:hAnsi="Arial" w:cs="Arial"/>
                <w:sz w:val="24"/>
                <w:szCs w:val="24"/>
              </w:rPr>
              <w:t>Membru</w:t>
            </w:r>
            <w:r>
              <w:rPr>
                <w:rFonts w:ascii="Arial" w:hAnsi="Arial" w:cs="Arial"/>
                <w:sz w:val="24"/>
                <w:szCs w:val="24"/>
              </w:rPr>
              <w:t xml:space="preserve"> supleant</w:t>
            </w:r>
          </w:p>
        </w:tc>
      </w:tr>
      <w:tr w:rsidR="006013D1" w:rsidRPr="00297891" w:rsidTr="00CD5572">
        <w:trPr>
          <w:trHeight w:hRule="exact" w:val="567"/>
        </w:trPr>
        <w:tc>
          <w:tcPr>
            <w:tcW w:w="0" w:type="auto"/>
            <w:tcBorders>
              <w:top w:val="single" w:sz="4" w:space="0" w:color="auto"/>
              <w:bottom w:val="single" w:sz="4" w:space="0" w:color="auto"/>
            </w:tcBorders>
            <w:shd w:val="clear" w:color="auto" w:fill="auto"/>
          </w:tcPr>
          <w:p w:rsidR="006013D1" w:rsidRPr="00297891" w:rsidRDefault="006013D1"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Pr>
                <w:rFonts w:ascii="Arial" w:hAnsi="Arial" w:cs="Arial"/>
                <w:sz w:val="24"/>
                <w:szCs w:val="24"/>
              </w:rPr>
              <w:t xml:space="preserve">Vlad PETCU </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Pr>
                <w:rFonts w:ascii="Arial" w:hAnsi="Arial" w:cs="Arial"/>
                <w:sz w:val="24"/>
                <w:szCs w:val="24"/>
              </w:rPr>
              <w:t>UVT</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Pr>
                <w:rFonts w:ascii="Arial" w:hAnsi="Arial" w:cs="Arial"/>
                <w:sz w:val="24"/>
                <w:szCs w:val="24"/>
              </w:rPr>
              <w:t>CCOC</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sidRPr="00906F46">
              <w:rPr>
                <w:rFonts w:ascii="Arial" w:hAnsi="Arial" w:cs="Arial"/>
                <w:sz w:val="24"/>
                <w:szCs w:val="24"/>
              </w:rPr>
              <w:t xml:space="preserve">Membru </w:t>
            </w:r>
            <w:r>
              <w:rPr>
                <w:rFonts w:ascii="Arial" w:hAnsi="Arial" w:cs="Arial"/>
                <w:sz w:val="24"/>
                <w:szCs w:val="24"/>
              </w:rPr>
              <w:t>supleant</w:t>
            </w:r>
          </w:p>
        </w:tc>
      </w:tr>
      <w:tr w:rsidR="006013D1" w:rsidRPr="00297891" w:rsidTr="00CD5572">
        <w:trPr>
          <w:trHeight w:hRule="exact" w:val="567"/>
        </w:trPr>
        <w:tc>
          <w:tcPr>
            <w:tcW w:w="0" w:type="auto"/>
            <w:tcBorders>
              <w:top w:val="single" w:sz="4" w:space="0" w:color="auto"/>
              <w:bottom w:val="single" w:sz="4" w:space="0" w:color="auto"/>
            </w:tcBorders>
            <w:shd w:val="clear" w:color="auto" w:fill="auto"/>
          </w:tcPr>
          <w:p w:rsidR="006013D1" w:rsidRPr="00297891" w:rsidRDefault="006013D1"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Pr>
                <w:rFonts w:ascii="Arial" w:hAnsi="Arial" w:cs="Arial"/>
                <w:sz w:val="24"/>
                <w:szCs w:val="24"/>
              </w:rPr>
              <w:t>Marin POPESCU</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Pr>
                <w:rFonts w:ascii="Arial" w:hAnsi="Arial" w:cs="Arial"/>
                <w:sz w:val="24"/>
                <w:szCs w:val="24"/>
              </w:rPr>
              <w:t>UVT</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Pr>
                <w:rFonts w:ascii="Arial" w:hAnsi="Arial" w:cs="Arial"/>
                <w:sz w:val="24"/>
                <w:szCs w:val="24"/>
              </w:rPr>
              <w:t xml:space="preserve">Director departament </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sidRPr="00906F46">
              <w:rPr>
                <w:rFonts w:ascii="Arial" w:hAnsi="Arial" w:cs="Arial"/>
                <w:sz w:val="24"/>
                <w:szCs w:val="24"/>
              </w:rPr>
              <w:t>Membru</w:t>
            </w:r>
          </w:p>
        </w:tc>
      </w:tr>
      <w:tr w:rsidR="006013D1" w:rsidRPr="00297891" w:rsidTr="00CD5572">
        <w:trPr>
          <w:trHeight w:hRule="exact" w:val="567"/>
        </w:trPr>
        <w:tc>
          <w:tcPr>
            <w:tcW w:w="0" w:type="auto"/>
            <w:tcBorders>
              <w:top w:val="single" w:sz="4" w:space="0" w:color="auto"/>
              <w:bottom w:val="single" w:sz="4" w:space="0" w:color="auto"/>
            </w:tcBorders>
            <w:shd w:val="clear" w:color="auto" w:fill="auto"/>
          </w:tcPr>
          <w:p w:rsidR="006013D1" w:rsidRPr="00297891" w:rsidRDefault="006013D1"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6013D1" w:rsidRDefault="006013D1" w:rsidP="00CD5572">
            <w:pPr>
              <w:spacing w:after="0" w:line="240" w:lineRule="auto"/>
              <w:jc w:val="center"/>
              <w:rPr>
                <w:rFonts w:ascii="Arial" w:hAnsi="Arial" w:cs="Arial"/>
                <w:sz w:val="24"/>
                <w:szCs w:val="24"/>
              </w:rPr>
            </w:pPr>
            <w:r>
              <w:rPr>
                <w:rFonts w:ascii="Arial" w:hAnsi="Arial" w:cs="Arial"/>
                <w:sz w:val="24"/>
                <w:szCs w:val="24"/>
              </w:rPr>
              <w:t xml:space="preserve">Radu DIMECA </w:t>
            </w:r>
          </w:p>
        </w:tc>
        <w:tc>
          <w:tcPr>
            <w:tcW w:w="0" w:type="auto"/>
            <w:tcBorders>
              <w:top w:val="single" w:sz="4" w:space="0" w:color="auto"/>
              <w:bottom w:val="single" w:sz="4" w:space="0" w:color="auto"/>
            </w:tcBorders>
            <w:shd w:val="clear" w:color="auto" w:fill="auto"/>
          </w:tcPr>
          <w:p w:rsidR="006013D1" w:rsidRDefault="006013D1" w:rsidP="00CD5572">
            <w:pPr>
              <w:spacing w:after="0" w:line="240" w:lineRule="auto"/>
              <w:jc w:val="center"/>
              <w:rPr>
                <w:rFonts w:ascii="Arial" w:hAnsi="Arial" w:cs="Arial"/>
                <w:sz w:val="24"/>
                <w:szCs w:val="24"/>
              </w:rPr>
            </w:pPr>
            <w:r>
              <w:rPr>
                <w:rFonts w:ascii="Arial" w:hAnsi="Arial" w:cs="Arial"/>
                <w:sz w:val="24"/>
                <w:szCs w:val="24"/>
              </w:rPr>
              <w:t xml:space="preserve">CLDPS TM </w:t>
            </w:r>
          </w:p>
        </w:tc>
        <w:tc>
          <w:tcPr>
            <w:tcW w:w="0" w:type="auto"/>
            <w:tcBorders>
              <w:top w:val="single" w:sz="4" w:space="0" w:color="auto"/>
              <w:bottom w:val="single" w:sz="4" w:space="0" w:color="auto"/>
            </w:tcBorders>
            <w:shd w:val="clear" w:color="auto" w:fill="auto"/>
          </w:tcPr>
          <w:p w:rsidR="006013D1" w:rsidRDefault="006013D1" w:rsidP="00CD5572">
            <w:pPr>
              <w:spacing w:after="0" w:line="240" w:lineRule="auto"/>
              <w:jc w:val="center"/>
              <w:rPr>
                <w:rFonts w:ascii="Arial" w:hAnsi="Arial" w:cs="Arial"/>
                <w:sz w:val="24"/>
                <w:szCs w:val="24"/>
              </w:rPr>
            </w:pPr>
            <w:r>
              <w:rPr>
                <w:rFonts w:ascii="Arial" w:hAnsi="Arial" w:cs="Arial"/>
                <w:sz w:val="24"/>
                <w:szCs w:val="24"/>
              </w:rPr>
              <w:t xml:space="preserve">Membru CLDPS </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Pr>
                <w:rFonts w:ascii="Arial" w:hAnsi="Arial" w:cs="Arial"/>
                <w:sz w:val="24"/>
                <w:szCs w:val="24"/>
              </w:rPr>
              <w:t xml:space="preserve">Membru </w:t>
            </w:r>
          </w:p>
        </w:tc>
      </w:tr>
      <w:tr w:rsidR="006013D1" w:rsidRPr="00297891" w:rsidTr="00CD5572">
        <w:trPr>
          <w:trHeight w:hRule="exact" w:val="567"/>
        </w:trPr>
        <w:tc>
          <w:tcPr>
            <w:tcW w:w="0" w:type="auto"/>
            <w:tcBorders>
              <w:top w:val="single" w:sz="4" w:space="0" w:color="auto"/>
              <w:bottom w:val="single" w:sz="4" w:space="0" w:color="auto"/>
            </w:tcBorders>
            <w:shd w:val="clear" w:color="auto" w:fill="auto"/>
          </w:tcPr>
          <w:p w:rsidR="006013D1" w:rsidRPr="00297891" w:rsidRDefault="006013D1"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6013D1" w:rsidRDefault="006013D1" w:rsidP="00CD5572">
            <w:pPr>
              <w:spacing w:after="0" w:line="240" w:lineRule="auto"/>
              <w:jc w:val="center"/>
              <w:rPr>
                <w:rFonts w:ascii="Arial" w:hAnsi="Arial" w:cs="Arial"/>
                <w:sz w:val="24"/>
                <w:szCs w:val="24"/>
              </w:rPr>
            </w:pPr>
            <w:r>
              <w:rPr>
                <w:rFonts w:ascii="Arial" w:hAnsi="Arial" w:cs="Arial"/>
                <w:sz w:val="24"/>
                <w:szCs w:val="24"/>
              </w:rPr>
              <w:t xml:space="preserve">Silvia BELU </w:t>
            </w:r>
          </w:p>
        </w:tc>
        <w:tc>
          <w:tcPr>
            <w:tcW w:w="0" w:type="auto"/>
            <w:tcBorders>
              <w:top w:val="single" w:sz="4" w:space="0" w:color="auto"/>
              <w:bottom w:val="single" w:sz="4" w:space="0" w:color="auto"/>
            </w:tcBorders>
            <w:shd w:val="clear" w:color="auto" w:fill="auto"/>
          </w:tcPr>
          <w:p w:rsidR="006013D1" w:rsidRDefault="006013D1" w:rsidP="006013D1">
            <w:pPr>
              <w:spacing w:after="0" w:line="240" w:lineRule="auto"/>
              <w:jc w:val="center"/>
              <w:rPr>
                <w:rFonts w:ascii="Arial" w:hAnsi="Arial" w:cs="Arial"/>
                <w:sz w:val="24"/>
                <w:szCs w:val="24"/>
              </w:rPr>
            </w:pPr>
            <w:r>
              <w:rPr>
                <w:rFonts w:ascii="Arial" w:hAnsi="Arial" w:cs="Arial"/>
                <w:sz w:val="24"/>
                <w:szCs w:val="24"/>
              </w:rPr>
              <w:t xml:space="preserve">CLDPS TM </w:t>
            </w:r>
          </w:p>
        </w:tc>
        <w:tc>
          <w:tcPr>
            <w:tcW w:w="0" w:type="auto"/>
            <w:tcBorders>
              <w:top w:val="single" w:sz="4" w:space="0" w:color="auto"/>
              <w:bottom w:val="single" w:sz="4" w:space="0" w:color="auto"/>
            </w:tcBorders>
            <w:shd w:val="clear" w:color="auto" w:fill="auto"/>
          </w:tcPr>
          <w:p w:rsidR="006013D1" w:rsidRDefault="006013D1" w:rsidP="006013D1">
            <w:pPr>
              <w:spacing w:after="0" w:line="240" w:lineRule="auto"/>
              <w:jc w:val="center"/>
              <w:rPr>
                <w:rFonts w:ascii="Arial" w:hAnsi="Arial" w:cs="Arial"/>
                <w:sz w:val="24"/>
                <w:szCs w:val="24"/>
              </w:rPr>
            </w:pPr>
            <w:r>
              <w:rPr>
                <w:rFonts w:ascii="Arial" w:hAnsi="Arial" w:cs="Arial"/>
                <w:sz w:val="24"/>
                <w:szCs w:val="24"/>
              </w:rPr>
              <w:t xml:space="preserve">Membru CLDPS </w:t>
            </w:r>
          </w:p>
        </w:tc>
        <w:tc>
          <w:tcPr>
            <w:tcW w:w="0" w:type="auto"/>
            <w:tcBorders>
              <w:top w:val="single" w:sz="4" w:space="0" w:color="auto"/>
              <w:bottom w:val="single" w:sz="4" w:space="0" w:color="auto"/>
            </w:tcBorders>
            <w:shd w:val="clear" w:color="auto" w:fill="auto"/>
          </w:tcPr>
          <w:p w:rsidR="006013D1" w:rsidRPr="00906F46" w:rsidRDefault="006013D1" w:rsidP="006013D1">
            <w:pPr>
              <w:spacing w:after="0" w:line="240" w:lineRule="auto"/>
              <w:jc w:val="center"/>
              <w:rPr>
                <w:rFonts w:ascii="Arial" w:hAnsi="Arial" w:cs="Arial"/>
                <w:sz w:val="24"/>
                <w:szCs w:val="24"/>
              </w:rPr>
            </w:pPr>
            <w:r>
              <w:rPr>
                <w:rFonts w:ascii="Arial" w:hAnsi="Arial" w:cs="Arial"/>
                <w:sz w:val="24"/>
                <w:szCs w:val="24"/>
              </w:rPr>
              <w:t xml:space="preserve">Membru </w:t>
            </w:r>
          </w:p>
        </w:tc>
      </w:tr>
      <w:tr w:rsidR="006013D1" w:rsidRPr="00297891" w:rsidTr="00CD5572">
        <w:trPr>
          <w:trHeight w:hRule="exact" w:val="567"/>
        </w:trPr>
        <w:tc>
          <w:tcPr>
            <w:tcW w:w="0" w:type="auto"/>
            <w:tcBorders>
              <w:top w:val="single" w:sz="4" w:space="0" w:color="auto"/>
              <w:bottom w:val="single" w:sz="4" w:space="0" w:color="auto"/>
            </w:tcBorders>
            <w:shd w:val="clear" w:color="auto" w:fill="auto"/>
          </w:tcPr>
          <w:p w:rsidR="006013D1" w:rsidRPr="00297891" w:rsidRDefault="006013D1"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6013D1" w:rsidRDefault="006013D1" w:rsidP="00CD5572">
            <w:pPr>
              <w:spacing w:after="0" w:line="240" w:lineRule="auto"/>
              <w:jc w:val="center"/>
              <w:rPr>
                <w:rFonts w:ascii="Arial" w:hAnsi="Arial" w:cs="Arial"/>
                <w:sz w:val="24"/>
                <w:szCs w:val="24"/>
              </w:rPr>
            </w:pPr>
            <w:r>
              <w:rPr>
                <w:rFonts w:ascii="Arial" w:hAnsi="Arial" w:cs="Arial"/>
                <w:sz w:val="24"/>
                <w:szCs w:val="24"/>
              </w:rPr>
              <w:t xml:space="preserve">Liviu CĂDARIU </w:t>
            </w:r>
          </w:p>
        </w:tc>
        <w:tc>
          <w:tcPr>
            <w:tcW w:w="0" w:type="auto"/>
            <w:tcBorders>
              <w:top w:val="single" w:sz="4" w:space="0" w:color="auto"/>
              <w:bottom w:val="single" w:sz="4" w:space="0" w:color="auto"/>
            </w:tcBorders>
            <w:shd w:val="clear" w:color="auto" w:fill="auto"/>
          </w:tcPr>
          <w:p w:rsidR="006013D1" w:rsidRDefault="006013D1" w:rsidP="006013D1">
            <w:pPr>
              <w:spacing w:after="0" w:line="240" w:lineRule="auto"/>
              <w:jc w:val="center"/>
              <w:rPr>
                <w:rFonts w:ascii="Arial" w:hAnsi="Arial" w:cs="Arial"/>
                <w:sz w:val="24"/>
                <w:szCs w:val="24"/>
              </w:rPr>
            </w:pPr>
            <w:r>
              <w:rPr>
                <w:rFonts w:ascii="Arial" w:hAnsi="Arial" w:cs="Arial"/>
                <w:sz w:val="24"/>
                <w:szCs w:val="24"/>
              </w:rPr>
              <w:t xml:space="preserve">UPT </w:t>
            </w:r>
          </w:p>
        </w:tc>
        <w:tc>
          <w:tcPr>
            <w:tcW w:w="0" w:type="auto"/>
            <w:tcBorders>
              <w:top w:val="single" w:sz="4" w:space="0" w:color="auto"/>
              <w:bottom w:val="single" w:sz="4" w:space="0" w:color="auto"/>
            </w:tcBorders>
            <w:shd w:val="clear" w:color="auto" w:fill="auto"/>
          </w:tcPr>
          <w:p w:rsidR="006013D1" w:rsidRDefault="006013D1" w:rsidP="006013D1">
            <w:pPr>
              <w:spacing w:after="0" w:line="240" w:lineRule="auto"/>
              <w:jc w:val="center"/>
              <w:rPr>
                <w:rFonts w:ascii="Arial" w:hAnsi="Arial" w:cs="Arial"/>
                <w:sz w:val="24"/>
                <w:szCs w:val="24"/>
              </w:rPr>
            </w:pPr>
            <w:r>
              <w:rPr>
                <w:rFonts w:ascii="Arial" w:hAnsi="Arial" w:cs="Arial"/>
                <w:sz w:val="24"/>
                <w:szCs w:val="24"/>
              </w:rPr>
              <w:t>Prorector</w:t>
            </w:r>
          </w:p>
        </w:tc>
        <w:tc>
          <w:tcPr>
            <w:tcW w:w="0" w:type="auto"/>
            <w:tcBorders>
              <w:top w:val="single" w:sz="4" w:space="0" w:color="auto"/>
              <w:bottom w:val="single" w:sz="4" w:space="0" w:color="auto"/>
            </w:tcBorders>
            <w:shd w:val="clear" w:color="auto" w:fill="auto"/>
          </w:tcPr>
          <w:p w:rsidR="006013D1" w:rsidRDefault="006013D1" w:rsidP="006013D1">
            <w:pPr>
              <w:spacing w:after="0" w:line="240" w:lineRule="auto"/>
              <w:jc w:val="center"/>
              <w:rPr>
                <w:rFonts w:ascii="Arial" w:hAnsi="Arial" w:cs="Arial"/>
                <w:sz w:val="24"/>
                <w:szCs w:val="24"/>
              </w:rPr>
            </w:pPr>
            <w:r>
              <w:rPr>
                <w:rFonts w:ascii="Arial" w:hAnsi="Arial" w:cs="Arial"/>
                <w:sz w:val="24"/>
                <w:szCs w:val="24"/>
              </w:rPr>
              <w:t xml:space="preserve">Membru </w:t>
            </w:r>
          </w:p>
        </w:tc>
      </w:tr>
      <w:tr w:rsidR="006013D1" w:rsidRPr="00297891" w:rsidTr="00CD5572">
        <w:trPr>
          <w:trHeight w:hRule="exact" w:val="567"/>
        </w:trPr>
        <w:tc>
          <w:tcPr>
            <w:tcW w:w="0" w:type="auto"/>
            <w:tcBorders>
              <w:top w:val="single" w:sz="4" w:space="0" w:color="auto"/>
              <w:bottom w:val="single" w:sz="4" w:space="0" w:color="auto"/>
            </w:tcBorders>
            <w:shd w:val="clear" w:color="auto" w:fill="auto"/>
          </w:tcPr>
          <w:p w:rsidR="006013D1" w:rsidRPr="00297891" w:rsidRDefault="006013D1" w:rsidP="00445724">
            <w:pPr>
              <w:numPr>
                <w:ilvl w:val="0"/>
                <w:numId w:val="31"/>
              </w:numPr>
              <w:spacing w:after="0" w:line="240" w:lineRule="auto"/>
              <w:jc w:val="center"/>
              <w:rPr>
                <w:rFonts w:ascii="Arial" w:hAnsi="Arial" w:cs="Arial"/>
                <w:b/>
                <w:sz w:val="24"/>
                <w:szCs w:val="24"/>
              </w:rPr>
            </w:pP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Pr>
                <w:rFonts w:ascii="Arial" w:hAnsi="Arial" w:cs="Arial"/>
                <w:sz w:val="24"/>
                <w:szCs w:val="24"/>
              </w:rPr>
              <w:t>Ildiko PATAKI</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Pr>
                <w:rFonts w:ascii="Arial" w:hAnsi="Arial" w:cs="Arial"/>
                <w:sz w:val="24"/>
                <w:szCs w:val="24"/>
              </w:rPr>
              <w:t>CNDIPT</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Pr>
                <w:rFonts w:ascii="Arial" w:hAnsi="Arial" w:cs="Arial"/>
                <w:sz w:val="24"/>
                <w:szCs w:val="24"/>
              </w:rPr>
              <w:t xml:space="preserve">Coordonator regional </w:t>
            </w:r>
          </w:p>
        </w:tc>
        <w:tc>
          <w:tcPr>
            <w:tcW w:w="0" w:type="auto"/>
            <w:tcBorders>
              <w:top w:val="single" w:sz="4" w:space="0" w:color="auto"/>
              <w:bottom w:val="single" w:sz="4" w:space="0" w:color="auto"/>
            </w:tcBorders>
            <w:shd w:val="clear" w:color="auto" w:fill="auto"/>
          </w:tcPr>
          <w:p w:rsidR="006013D1" w:rsidRPr="00906F46" w:rsidRDefault="006013D1" w:rsidP="00CD5572">
            <w:pPr>
              <w:spacing w:after="0" w:line="240" w:lineRule="auto"/>
              <w:jc w:val="center"/>
              <w:rPr>
                <w:rFonts w:ascii="Arial" w:hAnsi="Arial" w:cs="Arial"/>
                <w:sz w:val="24"/>
                <w:szCs w:val="24"/>
              </w:rPr>
            </w:pPr>
            <w:r>
              <w:rPr>
                <w:rFonts w:ascii="Arial" w:hAnsi="Arial" w:cs="Arial"/>
                <w:sz w:val="24"/>
                <w:szCs w:val="24"/>
              </w:rPr>
              <w:t>Secretar</w:t>
            </w:r>
          </w:p>
        </w:tc>
      </w:tr>
    </w:tbl>
    <w:p w:rsidR="006B23D0" w:rsidRDefault="006B23D0" w:rsidP="000C6A67">
      <w:pPr>
        <w:spacing w:after="0" w:line="240" w:lineRule="auto"/>
        <w:rPr>
          <w:lang w:eastAsia="ro-RO"/>
        </w:rPr>
      </w:pPr>
    </w:p>
    <w:p w:rsidR="006B23D0" w:rsidRDefault="006B23D0" w:rsidP="000C6A67">
      <w:pPr>
        <w:spacing w:after="0" w:line="240" w:lineRule="auto"/>
        <w:rPr>
          <w:lang w:eastAsia="ro-RO"/>
        </w:rPr>
      </w:pPr>
    </w:p>
    <w:p w:rsidR="006B23D0" w:rsidRDefault="006B23D0" w:rsidP="000C6A67">
      <w:pPr>
        <w:spacing w:after="0" w:line="240" w:lineRule="auto"/>
        <w:rPr>
          <w:lang w:eastAsia="ro-RO"/>
        </w:rPr>
      </w:pPr>
    </w:p>
    <w:p w:rsidR="006B23D0" w:rsidRDefault="006B23D0" w:rsidP="000C6A67">
      <w:pPr>
        <w:spacing w:after="0" w:line="240" w:lineRule="auto"/>
        <w:rPr>
          <w:lang w:eastAsia="ro-RO"/>
        </w:rPr>
      </w:pPr>
    </w:p>
    <w:p w:rsidR="006B23D0" w:rsidRDefault="006B23D0" w:rsidP="000C6A67">
      <w:pPr>
        <w:spacing w:after="0" w:line="240" w:lineRule="auto"/>
        <w:rPr>
          <w:lang w:eastAsia="ro-RO"/>
        </w:rPr>
      </w:pPr>
    </w:p>
    <w:p w:rsidR="006B23D0" w:rsidRDefault="006B23D0" w:rsidP="000C6A67">
      <w:pPr>
        <w:spacing w:after="0" w:line="240" w:lineRule="auto"/>
        <w:rPr>
          <w:lang w:eastAsia="ro-RO"/>
        </w:rPr>
      </w:pPr>
    </w:p>
    <w:p w:rsidR="006B23D0" w:rsidRDefault="006B23D0" w:rsidP="000C6A67">
      <w:pPr>
        <w:spacing w:after="0" w:line="240" w:lineRule="auto"/>
        <w:rPr>
          <w:lang w:eastAsia="ro-RO"/>
        </w:rPr>
      </w:pPr>
    </w:p>
    <w:p w:rsidR="006B23D0" w:rsidRDefault="006B23D0" w:rsidP="000C6A67">
      <w:pPr>
        <w:spacing w:after="0" w:line="240" w:lineRule="auto"/>
        <w:rPr>
          <w:lang w:eastAsia="ro-RO"/>
        </w:rPr>
      </w:pPr>
    </w:p>
    <w:p w:rsidR="006B23D0" w:rsidRDefault="006B23D0" w:rsidP="000C6A67">
      <w:pPr>
        <w:spacing w:after="0" w:line="240" w:lineRule="auto"/>
        <w:rPr>
          <w:lang w:eastAsia="ro-RO"/>
        </w:rPr>
      </w:pPr>
    </w:p>
    <w:p w:rsidR="006B23D0" w:rsidRDefault="006B23D0" w:rsidP="000C6A67">
      <w:pPr>
        <w:spacing w:after="0" w:line="240" w:lineRule="auto"/>
        <w:rPr>
          <w:lang w:eastAsia="ro-RO"/>
        </w:rPr>
      </w:pPr>
    </w:p>
    <w:p w:rsidR="006B23D0" w:rsidRDefault="006B23D0" w:rsidP="000C6A67">
      <w:pPr>
        <w:spacing w:after="0" w:line="240" w:lineRule="auto"/>
        <w:rPr>
          <w:lang w:eastAsia="ro-RO"/>
        </w:rPr>
      </w:pPr>
    </w:p>
    <w:p w:rsidR="006B23D0" w:rsidRDefault="006B23D0" w:rsidP="000C6A67">
      <w:pPr>
        <w:spacing w:after="0" w:line="240" w:lineRule="auto"/>
        <w:rPr>
          <w:lang w:eastAsia="ro-RO"/>
        </w:rPr>
      </w:pPr>
    </w:p>
    <w:p w:rsidR="006B23D0" w:rsidRDefault="006B23D0" w:rsidP="000C6A67">
      <w:pPr>
        <w:spacing w:after="0" w:line="240" w:lineRule="auto"/>
        <w:rPr>
          <w:lang w:eastAsia="ro-RO"/>
        </w:rPr>
      </w:pPr>
    </w:p>
    <w:p w:rsidR="006B23D0" w:rsidRDefault="006B23D0" w:rsidP="000C6A67">
      <w:pPr>
        <w:spacing w:after="0" w:line="240" w:lineRule="auto"/>
        <w:rPr>
          <w:lang w:eastAsia="ro-RO"/>
        </w:rPr>
      </w:pPr>
    </w:p>
    <w:p w:rsidR="006B23D0" w:rsidRDefault="006B23D0" w:rsidP="000C6A67">
      <w:pPr>
        <w:spacing w:after="0" w:line="240" w:lineRule="auto"/>
        <w:rPr>
          <w:lang w:eastAsia="ro-RO"/>
        </w:rPr>
      </w:pPr>
    </w:p>
    <w:p w:rsidR="006B23D0" w:rsidRDefault="006B23D0" w:rsidP="000C6A67">
      <w:pPr>
        <w:spacing w:after="0" w:line="240" w:lineRule="auto"/>
        <w:rPr>
          <w:lang w:eastAsia="ro-RO"/>
        </w:rPr>
      </w:pPr>
    </w:p>
    <w:p w:rsidR="006B23D0" w:rsidRDefault="006B23D0" w:rsidP="000C6A67">
      <w:pPr>
        <w:spacing w:after="0" w:line="240" w:lineRule="auto"/>
        <w:rPr>
          <w:lang w:eastAsia="ro-RO"/>
        </w:rPr>
      </w:pPr>
    </w:p>
    <w:p w:rsidR="006B23D0" w:rsidRDefault="006B23D0" w:rsidP="000C6A67">
      <w:pPr>
        <w:spacing w:after="0" w:line="240" w:lineRule="auto"/>
        <w:rPr>
          <w:lang w:eastAsia="ro-RO"/>
        </w:rPr>
      </w:pPr>
    </w:p>
    <w:p w:rsidR="006B23D0" w:rsidRDefault="006B23D0" w:rsidP="000C6A67">
      <w:pPr>
        <w:spacing w:after="0" w:line="240" w:lineRule="auto"/>
        <w:rPr>
          <w:lang w:eastAsia="ro-RO"/>
        </w:rPr>
      </w:pPr>
    </w:p>
    <w:p w:rsidR="006B23D0" w:rsidRPr="006B23D0" w:rsidRDefault="006B23D0" w:rsidP="000C6A67">
      <w:pPr>
        <w:pStyle w:val="Header"/>
        <w:rPr>
          <w:rFonts w:ascii="Arial" w:hAnsi="Arial" w:cs="Arial"/>
          <w:sz w:val="24"/>
          <w:szCs w:val="24"/>
        </w:rPr>
      </w:pPr>
      <w:r w:rsidRPr="006B23D0">
        <w:rPr>
          <w:rFonts w:ascii="Arial" w:hAnsi="Arial" w:cs="Arial"/>
          <w:sz w:val="24"/>
          <w:szCs w:val="24"/>
          <w:lang w:eastAsia="ro-RO"/>
        </w:rPr>
        <w:t xml:space="preserve">Experţii care au elaborat </w:t>
      </w:r>
      <w:r w:rsidRPr="006B23D0">
        <w:rPr>
          <w:rFonts w:ascii="Arial" w:hAnsi="Arial" w:cs="Arial"/>
          <w:sz w:val="24"/>
          <w:szCs w:val="24"/>
        </w:rPr>
        <w:t>PRAI al Regiunii de Dezvoltare</w:t>
      </w:r>
      <w:r w:rsidR="003B5E49">
        <w:rPr>
          <w:rFonts w:ascii="Arial" w:hAnsi="Arial" w:cs="Arial"/>
          <w:sz w:val="24"/>
          <w:szCs w:val="24"/>
        </w:rPr>
        <w:t xml:space="preserve"> Vest, </w:t>
      </w:r>
      <w:r w:rsidRPr="006B23D0">
        <w:rPr>
          <w:rFonts w:ascii="Arial" w:hAnsi="Arial" w:cs="Arial"/>
          <w:sz w:val="24"/>
          <w:szCs w:val="24"/>
        </w:rPr>
        <w:t>2016-2025:</w:t>
      </w:r>
    </w:p>
    <w:p w:rsidR="006B23D0" w:rsidRPr="00B43F1A" w:rsidRDefault="006B23D0" w:rsidP="000C6A67">
      <w:pPr>
        <w:pStyle w:val="Header"/>
        <w:rPr>
          <w:rFonts w:ascii="Arial" w:hAnsi="Arial" w:cs="Arial"/>
          <w:sz w:val="24"/>
          <w:szCs w:val="24"/>
        </w:rPr>
      </w:pPr>
    </w:p>
    <w:p w:rsidR="00703734" w:rsidRDefault="002D2B05" w:rsidP="000C6A67">
      <w:pPr>
        <w:spacing w:after="0" w:line="240" w:lineRule="auto"/>
        <w:rPr>
          <w:rFonts w:ascii="Arial" w:hAnsi="Arial" w:cs="Arial"/>
          <w:sz w:val="24"/>
          <w:szCs w:val="24"/>
          <w:lang w:eastAsia="ro-RO"/>
        </w:rPr>
      </w:pPr>
      <w:r w:rsidRPr="00B43F1A">
        <w:rPr>
          <w:rFonts w:ascii="Arial" w:hAnsi="Arial" w:cs="Arial"/>
          <w:sz w:val="24"/>
          <w:szCs w:val="24"/>
          <w:lang w:eastAsia="ro-RO"/>
        </w:rPr>
        <w:t xml:space="preserve">Camelia Maniu &amp; </w:t>
      </w:r>
      <w:r w:rsidR="0096602D" w:rsidRPr="00B43F1A">
        <w:rPr>
          <w:rFonts w:ascii="Arial" w:hAnsi="Arial" w:cs="Arial"/>
          <w:sz w:val="24"/>
          <w:szCs w:val="24"/>
          <w:lang w:eastAsia="ro-RO"/>
        </w:rPr>
        <w:t xml:space="preserve"> Ildik</w:t>
      </w:r>
      <w:r w:rsidR="0096602D" w:rsidRPr="00B43F1A">
        <w:rPr>
          <w:rFonts w:ascii="Arial" w:hAnsi="Arial" w:cs="Arial"/>
          <w:sz w:val="24"/>
          <w:szCs w:val="24"/>
          <w:lang w:val="hu-HU" w:eastAsia="ro-RO"/>
        </w:rPr>
        <w:t>ó</w:t>
      </w:r>
      <w:r w:rsidR="0096602D" w:rsidRPr="00B43F1A">
        <w:rPr>
          <w:rFonts w:ascii="Arial" w:hAnsi="Arial" w:cs="Arial"/>
          <w:sz w:val="24"/>
          <w:szCs w:val="24"/>
          <w:lang w:eastAsia="ro-RO"/>
        </w:rPr>
        <w:t xml:space="preserve"> Pataki  C</w:t>
      </w:r>
      <w:r w:rsidRPr="00B43F1A">
        <w:rPr>
          <w:rFonts w:ascii="Arial" w:hAnsi="Arial" w:cs="Arial"/>
          <w:sz w:val="24"/>
          <w:szCs w:val="24"/>
          <w:lang w:eastAsia="ro-RO"/>
        </w:rPr>
        <w:t xml:space="preserve">apitolele IPT și </w:t>
      </w:r>
    </w:p>
    <w:p w:rsidR="006B23D0" w:rsidRPr="00B43F1A" w:rsidRDefault="002D2B05" w:rsidP="000C6A67">
      <w:pPr>
        <w:spacing w:after="0" w:line="240" w:lineRule="auto"/>
        <w:rPr>
          <w:rFonts w:ascii="Arial" w:hAnsi="Arial" w:cs="Arial"/>
          <w:sz w:val="24"/>
          <w:szCs w:val="24"/>
          <w:lang w:eastAsia="ro-RO"/>
        </w:rPr>
      </w:pPr>
      <w:r w:rsidRPr="00B43F1A">
        <w:rPr>
          <w:rFonts w:ascii="Arial" w:hAnsi="Arial" w:cs="Arial"/>
          <w:sz w:val="24"/>
          <w:szCs w:val="24"/>
          <w:lang w:eastAsia="ro-RO"/>
        </w:rPr>
        <w:t xml:space="preserve">Marin Popescu &amp; Doina Mortoiu </w:t>
      </w:r>
      <w:r w:rsidR="002B4537" w:rsidRPr="00B43F1A">
        <w:rPr>
          <w:rFonts w:ascii="Arial" w:hAnsi="Arial" w:cs="Arial"/>
          <w:sz w:val="24"/>
          <w:szCs w:val="24"/>
          <w:lang w:eastAsia="ro-RO"/>
        </w:rPr>
        <w:t>Capitolu</w:t>
      </w:r>
      <w:r w:rsidR="0096602D" w:rsidRPr="00B43F1A">
        <w:rPr>
          <w:rFonts w:ascii="Arial" w:hAnsi="Arial" w:cs="Arial"/>
          <w:sz w:val="24"/>
          <w:szCs w:val="24"/>
          <w:lang w:eastAsia="ro-RO"/>
        </w:rPr>
        <w:t xml:space="preserve">l IS </w:t>
      </w:r>
    </w:p>
    <w:p w:rsidR="00080628" w:rsidRPr="00B43F1A" w:rsidRDefault="003B5E49" w:rsidP="000C6A67">
      <w:pPr>
        <w:pStyle w:val="TOC1"/>
        <w:spacing w:line="240" w:lineRule="auto"/>
        <w:rPr>
          <w:sz w:val="24"/>
          <w:szCs w:val="24"/>
        </w:rPr>
      </w:pPr>
      <w:r w:rsidRPr="00B43F1A">
        <w:rPr>
          <w:sz w:val="24"/>
          <w:szCs w:val="24"/>
        </w:rPr>
        <w:t xml:space="preserve"> </w:t>
      </w:r>
    </w:p>
    <w:p w:rsidR="00135F55" w:rsidRDefault="00135F55" w:rsidP="000C6A67">
      <w:pPr>
        <w:pStyle w:val="TOC1"/>
        <w:spacing w:line="240" w:lineRule="auto"/>
      </w:pPr>
    </w:p>
    <w:p w:rsidR="00135F55" w:rsidRDefault="00135F55" w:rsidP="000C6A67">
      <w:pPr>
        <w:pStyle w:val="TOC1"/>
        <w:spacing w:line="240" w:lineRule="auto"/>
      </w:pPr>
    </w:p>
    <w:p w:rsidR="00135F55" w:rsidRDefault="00135F55" w:rsidP="000C6A67">
      <w:pPr>
        <w:pStyle w:val="TOC1"/>
        <w:spacing w:line="240" w:lineRule="auto"/>
      </w:pPr>
    </w:p>
    <w:p w:rsidR="00135F55" w:rsidRDefault="00135F55" w:rsidP="000C6A67">
      <w:pPr>
        <w:pStyle w:val="TOC1"/>
        <w:spacing w:line="240" w:lineRule="auto"/>
      </w:pPr>
    </w:p>
    <w:p w:rsidR="00F2266B" w:rsidRDefault="00F2266B" w:rsidP="000C6A67">
      <w:pPr>
        <w:pStyle w:val="TOC1"/>
        <w:spacing w:line="240" w:lineRule="auto"/>
      </w:pPr>
      <w:r w:rsidRPr="00BD0510">
        <w:t xml:space="preserve">Cuprins </w:t>
      </w:r>
    </w:p>
    <w:p w:rsidR="006B23D0" w:rsidRPr="00E728E3" w:rsidRDefault="006B23D0" w:rsidP="000C6A67">
      <w:pPr>
        <w:spacing w:after="0" w:line="240" w:lineRule="auto"/>
        <w:rPr>
          <w:rFonts w:ascii="Arial" w:hAnsi="Arial" w:cs="Arial"/>
          <w:lang w:eastAsia="ro-RO"/>
        </w:rPr>
      </w:pPr>
    </w:p>
    <w:p w:rsidR="00C253F7" w:rsidRDefault="001A7DD5">
      <w:pPr>
        <w:pStyle w:val="TOC1"/>
        <w:rPr>
          <w:rFonts w:asciiTheme="minorHAnsi" w:eastAsiaTheme="minorEastAsia" w:hAnsiTheme="minorHAnsi" w:cstheme="minorBidi"/>
          <w:b w:val="0"/>
        </w:rPr>
      </w:pPr>
      <w:r w:rsidRPr="00526832">
        <w:fldChar w:fldCharType="begin"/>
      </w:r>
      <w:r w:rsidR="00F2266B" w:rsidRPr="00526832">
        <w:instrText xml:space="preserve"> TOC \o "1-3" \h \z \u </w:instrText>
      </w:r>
      <w:r w:rsidRPr="00526832">
        <w:fldChar w:fldCharType="separate"/>
      </w:r>
      <w:hyperlink w:anchor="_Toc488066002" w:history="1">
        <w:r w:rsidR="00C253F7" w:rsidRPr="00D111E9">
          <w:rPr>
            <w:rStyle w:val="Hyperlink"/>
          </w:rPr>
          <w:t>Cuvânt înainte</w:t>
        </w:r>
        <w:r w:rsidR="00C253F7">
          <w:rPr>
            <w:webHidden/>
          </w:rPr>
          <w:tab/>
        </w:r>
        <w:r>
          <w:rPr>
            <w:webHidden/>
          </w:rPr>
          <w:fldChar w:fldCharType="begin"/>
        </w:r>
        <w:r w:rsidR="00C253F7">
          <w:rPr>
            <w:webHidden/>
          </w:rPr>
          <w:instrText xml:space="preserve"> PAGEREF _Toc488066002 \h </w:instrText>
        </w:r>
        <w:r>
          <w:rPr>
            <w:webHidden/>
          </w:rPr>
        </w:r>
        <w:r>
          <w:rPr>
            <w:webHidden/>
          </w:rPr>
          <w:fldChar w:fldCharType="separate"/>
        </w:r>
        <w:r w:rsidR="00C253F7">
          <w:rPr>
            <w:webHidden/>
          </w:rPr>
          <w:t>7</w:t>
        </w:r>
        <w:r>
          <w:rPr>
            <w:webHidden/>
          </w:rPr>
          <w:fldChar w:fldCharType="end"/>
        </w:r>
      </w:hyperlink>
    </w:p>
    <w:p w:rsidR="00C253F7" w:rsidRDefault="00DC3D41">
      <w:pPr>
        <w:pStyle w:val="TOC1"/>
        <w:rPr>
          <w:rFonts w:asciiTheme="minorHAnsi" w:eastAsiaTheme="minorEastAsia" w:hAnsiTheme="minorHAnsi" w:cstheme="minorBidi"/>
          <w:b w:val="0"/>
        </w:rPr>
      </w:pPr>
      <w:hyperlink w:anchor="_Toc488066003" w:history="1">
        <w:r w:rsidR="00C253F7" w:rsidRPr="00D111E9">
          <w:rPr>
            <w:rStyle w:val="Hyperlink"/>
          </w:rPr>
          <w:t>Președintele Consorțiului Regional Vest, Nicolae GROȘAN</w:t>
        </w:r>
        <w:r w:rsidR="00C253F7">
          <w:rPr>
            <w:webHidden/>
          </w:rPr>
          <w:tab/>
        </w:r>
        <w:r w:rsidR="001A7DD5">
          <w:rPr>
            <w:webHidden/>
          </w:rPr>
          <w:fldChar w:fldCharType="begin"/>
        </w:r>
        <w:r w:rsidR="00C253F7">
          <w:rPr>
            <w:webHidden/>
          </w:rPr>
          <w:instrText xml:space="preserve"> PAGEREF _Toc488066003 \h </w:instrText>
        </w:r>
        <w:r w:rsidR="001A7DD5">
          <w:rPr>
            <w:webHidden/>
          </w:rPr>
        </w:r>
        <w:r w:rsidR="001A7DD5">
          <w:rPr>
            <w:webHidden/>
          </w:rPr>
          <w:fldChar w:fldCharType="separate"/>
        </w:r>
        <w:r w:rsidR="00C253F7">
          <w:rPr>
            <w:webHidden/>
          </w:rPr>
          <w:t>7</w:t>
        </w:r>
        <w:r w:rsidR="001A7DD5">
          <w:rPr>
            <w:webHidden/>
          </w:rPr>
          <w:fldChar w:fldCharType="end"/>
        </w:r>
      </w:hyperlink>
    </w:p>
    <w:p w:rsidR="00C253F7" w:rsidRDefault="00DC3D41">
      <w:pPr>
        <w:pStyle w:val="TOC1"/>
        <w:rPr>
          <w:rFonts w:asciiTheme="minorHAnsi" w:eastAsiaTheme="minorEastAsia" w:hAnsiTheme="minorHAnsi" w:cstheme="minorBidi"/>
          <w:b w:val="0"/>
        </w:rPr>
      </w:pPr>
      <w:hyperlink w:anchor="_Toc488066004" w:history="1">
        <w:r w:rsidR="00C253F7" w:rsidRPr="00D111E9">
          <w:rPr>
            <w:rStyle w:val="Hyperlink"/>
          </w:rPr>
          <w:t>1. Rezumat</w:t>
        </w:r>
        <w:r w:rsidR="00C253F7">
          <w:rPr>
            <w:webHidden/>
          </w:rPr>
          <w:tab/>
        </w:r>
        <w:r w:rsidR="001A7DD5">
          <w:rPr>
            <w:webHidden/>
          </w:rPr>
          <w:fldChar w:fldCharType="begin"/>
        </w:r>
        <w:r w:rsidR="00C253F7">
          <w:rPr>
            <w:webHidden/>
          </w:rPr>
          <w:instrText xml:space="preserve"> PAGEREF _Toc488066004 \h </w:instrText>
        </w:r>
        <w:r w:rsidR="001A7DD5">
          <w:rPr>
            <w:webHidden/>
          </w:rPr>
        </w:r>
        <w:r w:rsidR="001A7DD5">
          <w:rPr>
            <w:webHidden/>
          </w:rPr>
          <w:fldChar w:fldCharType="separate"/>
        </w:r>
        <w:r w:rsidR="00C253F7">
          <w:rPr>
            <w:webHidden/>
          </w:rPr>
          <w:t>8</w:t>
        </w:r>
        <w:r w:rsidR="001A7DD5">
          <w:rPr>
            <w:webHidden/>
          </w:rPr>
          <w:fldChar w:fldCharType="end"/>
        </w:r>
      </w:hyperlink>
    </w:p>
    <w:p w:rsidR="00C253F7" w:rsidRDefault="00DC3D41">
      <w:pPr>
        <w:pStyle w:val="TOC1"/>
        <w:rPr>
          <w:rFonts w:asciiTheme="minorHAnsi" w:eastAsiaTheme="minorEastAsia" w:hAnsiTheme="minorHAnsi" w:cstheme="minorBidi"/>
          <w:b w:val="0"/>
        </w:rPr>
      </w:pPr>
      <w:hyperlink w:anchor="_Toc488066005" w:history="1">
        <w:r w:rsidR="00C253F7" w:rsidRPr="00D111E9">
          <w:rPr>
            <w:rStyle w:val="Hyperlink"/>
          </w:rPr>
          <w:t>2. Contextul european, naţional şi regional</w:t>
        </w:r>
        <w:r w:rsidR="00C253F7">
          <w:rPr>
            <w:webHidden/>
          </w:rPr>
          <w:tab/>
        </w:r>
        <w:r w:rsidR="001A7DD5">
          <w:rPr>
            <w:webHidden/>
          </w:rPr>
          <w:fldChar w:fldCharType="begin"/>
        </w:r>
        <w:r w:rsidR="00C253F7">
          <w:rPr>
            <w:webHidden/>
          </w:rPr>
          <w:instrText xml:space="preserve"> PAGEREF _Toc488066005 \h </w:instrText>
        </w:r>
        <w:r w:rsidR="001A7DD5">
          <w:rPr>
            <w:webHidden/>
          </w:rPr>
        </w:r>
        <w:r w:rsidR="001A7DD5">
          <w:rPr>
            <w:webHidden/>
          </w:rPr>
          <w:fldChar w:fldCharType="separate"/>
        </w:r>
        <w:r w:rsidR="00C253F7">
          <w:rPr>
            <w:webHidden/>
          </w:rPr>
          <w:t>10</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06" w:history="1">
        <w:r w:rsidR="00C253F7" w:rsidRPr="00D111E9">
          <w:rPr>
            <w:rStyle w:val="Hyperlink"/>
          </w:rPr>
          <w:t>2.1. Contextul european</w:t>
        </w:r>
        <w:r w:rsidR="00C253F7">
          <w:rPr>
            <w:webHidden/>
          </w:rPr>
          <w:tab/>
        </w:r>
        <w:r w:rsidR="001A7DD5">
          <w:rPr>
            <w:webHidden/>
          </w:rPr>
          <w:fldChar w:fldCharType="begin"/>
        </w:r>
        <w:r w:rsidR="00C253F7">
          <w:rPr>
            <w:webHidden/>
          </w:rPr>
          <w:instrText xml:space="preserve"> PAGEREF _Toc488066006 \h </w:instrText>
        </w:r>
        <w:r w:rsidR="001A7DD5">
          <w:rPr>
            <w:webHidden/>
          </w:rPr>
        </w:r>
        <w:r w:rsidR="001A7DD5">
          <w:rPr>
            <w:webHidden/>
          </w:rPr>
          <w:fldChar w:fldCharType="separate"/>
        </w:r>
        <w:r w:rsidR="00C253F7">
          <w:rPr>
            <w:webHidden/>
          </w:rPr>
          <w:t>10</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07" w:history="1">
        <w:r w:rsidR="00C253F7" w:rsidRPr="00D111E9">
          <w:rPr>
            <w:rStyle w:val="Hyperlink"/>
          </w:rPr>
          <w:t>2.2. Contextul naţional</w:t>
        </w:r>
        <w:r w:rsidR="00C253F7">
          <w:rPr>
            <w:webHidden/>
          </w:rPr>
          <w:tab/>
        </w:r>
        <w:r w:rsidR="001A7DD5">
          <w:rPr>
            <w:webHidden/>
          </w:rPr>
          <w:fldChar w:fldCharType="begin"/>
        </w:r>
        <w:r w:rsidR="00C253F7">
          <w:rPr>
            <w:webHidden/>
          </w:rPr>
          <w:instrText xml:space="preserve"> PAGEREF _Toc488066007 \h </w:instrText>
        </w:r>
        <w:r w:rsidR="001A7DD5">
          <w:rPr>
            <w:webHidden/>
          </w:rPr>
        </w:r>
        <w:r w:rsidR="001A7DD5">
          <w:rPr>
            <w:webHidden/>
          </w:rPr>
          <w:fldChar w:fldCharType="separate"/>
        </w:r>
        <w:r w:rsidR="00C253F7">
          <w:rPr>
            <w:webHidden/>
          </w:rPr>
          <w:t>13</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08" w:history="1">
        <w:r w:rsidR="00C253F7" w:rsidRPr="00D111E9">
          <w:rPr>
            <w:rStyle w:val="Hyperlink"/>
          </w:rPr>
          <w:t>2.3. Contextul regional</w:t>
        </w:r>
        <w:r w:rsidR="00C253F7">
          <w:rPr>
            <w:webHidden/>
          </w:rPr>
          <w:tab/>
        </w:r>
        <w:r w:rsidR="001A7DD5">
          <w:rPr>
            <w:webHidden/>
          </w:rPr>
          <w:fldChar w:fldCharType="begin"/>
        </w:r>
        <w:r w:rsidR="00C253F7">
          <w:rPr>
            <w:webHidden/>
          </w:rPr>
          <w:instrText xml:space="preserve"> PAGEREF _Toc488066008 \h </w:instrText>
        </w:r>
        <w:r w:rsidR="001A7DD5">
          <w:rPr>
            <w:webHidden/>
          </w:rPr>
        </w:r>
        <w:r w:rsidR="001A7DD5">
          <w:rPr>
            <w:webHidden/>
          </w:rPr>
          <w:fldChar w:fldCharType="separate"/>
        </w:r>
        <w:r w:rsidR="00C253F7">
          <w:rPr>
            <w:webHidden/>
          </w:rPr>
          <w:t>16</w:t>
        </w:r>
        <w:r w:rsidR="001A7DD5">
          <w:rPr>
            <w:webHidden/>
          </w:rPr>
          <w:fldChar w:fldCharType="end"/>
        </w:r>
      </w:hyperlink>
    </w:p>
    <w:p w:rsidR="00C253F7" w:rsidRDefault="00DC3D41">
      <w:pPr>
        <w:pStyle w:val="TOC1"/>
        <w:rPr>
          <w:rFonts w:asciiTheme="minorHAnsi" w:eastAsiaTheme="minorEastAsia" w:hAnsiTheme="minorHAnsi" w:cstheme="minorBidi"/>
          <w:b w:val="0"/>
        </w:rPr>
      </w:pPr>
      <w:hyperlink w:anchor="_Toc488066009" w:history="1">
        <w:r w:rsidR="00C253F7" w:rsidRPr="00D111E9">
          <w:rPr>
            <w:rStyle w:val="Hyperlink"/>
          </w:rPr>
          <w:t>3. Aspecte demografice</w:t>
        </w:r>
        <w:r w:rsidR="00C253F7">
          <w:rPr>
            <w:webHidden/>
          </w:rPr>
          <w:tab/>
        </w:r>
        <w:r w:rsidR="001A7DD5">
          <w:rPr>
            <w:webHidden/>
          </w:rPr>
          <w:fldChar w:fldCharType="begin"/>
        </w:r>
        <w:r w:rsidR="00C253F7">
          <w:rPr>
            <w:webHidden/>
          </w:rPr>
          <w:instrText xml:space="preserve"> PAGEREF _Toc488066009 \h </w:instrText>
        </w:r>
        <w:r w:rsidR="001A7DD5">
          <w:rPr>
            <w:webHidden/>
          </w:rPr>
        </w:r>
        <w:r w:rsidR="001A7DD5">
          <w:rPr>
            <w:webHidden/>
          </w:rPr>
          <w:fldChar w:fldCharType="separate"/>
        </w:r>
        <w:r w:rsidR="00C253F7">
          <w:rPr>
            <w:webHidden/>
          </w:rPr>
          <w:t>23</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10" w:history="1">
        <w:r w:rsidR="00C253F7" w:rsidRPr="00D111E9">
          <w:rPr>
            <w:rStyle w:val="Hyperlink"/>
          </w:rPr>
          <w:t>3.1. Evoluţii şi situaţia actuală</w:t>
        </w:r>
        <w:r w:rsidR="00C253F7">
          <w:rPr>
            <w:webHidden/>
          </w:rPr>
          <w:tab/>
        </w:r>
        <w:r w:rsidR="001A7DD5">
          <w:rPr>
            <w:webHidden/>
          </w:rPr>
          <w:fldChar w:fldCharType="begin"/>
        </w:r>
        <w:r w:rsidR="00C253F7">
          <w:rPr>
            <w:webHidden/>
          </w:rPr>
          <w:instrText xml:space="preserve"> PAGEREF _Toc488066010 \h </w:instrText>
        </w:r>
        <w:r w:rsidR="001A7DD5">
          <w:rPr>
            <w:webHidden/>
          </w:rPr>
        </w:r>
        <w:r w:rsidR="001A7DD5">
          <w:rPr>
            <w:webHidden/>
          </w:rPr>
          <w:fldChar w:fldCharType="separate"/>
        </w:r>
        <w:r w:rsidR="00C253F7">
          <w:rPr>
            <w:webHidden/>
          </w:rPr>
          <w:t>23</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11" w:history="1">
        <w:r w:rsidR="00C253F7" w:rsidRPr="00D111E9">
          <w:rPr>
            <w:rStyle w:val="Hyperlink"/>
            <w:i/>
          </w:rPr>
          <w:t>3.1.1. Statistica recensământului populaţiei 2011</w:t>
        </w:r>
        <w:r w:rsidR="00C253F7">
          <w:rPr>
            <w:webHidden/>
          </w:rPr>
          <w:tab/>
        </w:r>
        <w:r w:rsidR="001A7DD5">
          <w:rPr>
            <w:webHidden/>
          </w:rPr>
          <w:fldChar w:fldCharType="begin"/>
        </w:r>
        <w:r w:rsidR="00C253F7">
          <w:rPr>
            <w:webHidden/>
          </w:rPr>
          <w:instrText xml:space="preserve"> PAGEREF _Toc488066011 \h </w:instrText>
        </w:r>
        <w:r w:rsidR="001A7DD5">
          <w:rPr>
            <w:webHidden/>
          </w:rPr>
        </w:r>
        <w:r w:rsidR="001A7DD5">
          <w:rPr>
            <w:webHidden/>
          </w:rPr>
          <w:fldChar w:fldCharType="separate"/>
        </w:r>
        <w:r w:rsidR="00C253F7">
          <w:rPr>
            <w:webHidden/>
          </w:rPr>
          <w:t>23</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12" w:history="1">
        <w:r w:rsidR="00C253F7" w:rsidRPr="00D111E9">
          <w:rPr>
            <w:rStyle w:val="Hyperlink"/>
            <w:i/>
          </w:rPr>
          <w:t>3.1.2. Structura pe grupe de vârstă</w:t>
        </w:r>
        <w:r w:rsidR="00C253F7">
          <w:rPr>
            <w:webHidden/>
          </w:rPr>
          <w:tab/>
        </w:r>
        <w:r w:rsidR="001A7DD5">
          <w:rPr>
            <w:webHidden/>
          </w:rPr>
          <w:fldChar w:fldCharType="begin"/>
        </w:r>
        <w:r w:rsidR="00C253F7">
          <w:rPr>
            <w:webHidden/>
          </w:rPr>
          <w:instrText xml:space="preserve"> PAGEREF _Toc488066012 \h </w:instrText>
        </w:r>
        <w:r w:rsidR="001A7DD5">
          <w:rPr>
            <w:webHidden/>
          </w:rPr>
        </w:r>
        <w:r w:rsidR="001A7DD5">
          <w:rPr>
            <w:webHidden/>
          </w:rPr>
          <w:fldChar w:fldCharType="separate"/>
        </w:r>
        <w:r w:rsidR="00C253F7">
          <w:rPr>
            <w:webHidden/>
          </w:rPr>
          <w:t>24</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13" w:history="1">
        <w:r w:rsidR="00C253F7" w:rsidRPr="00D111E9">
          <w:rPr>
            <w:rStyle w:val="Hyperlink"/>
            <w:i/>
          </w:rPr>
          <w:t>3.1.3. Distribuţia pe medii rezidenţiale (urban/rural)</w:t>
        </w:r>
        <w:r w:rsidR="00C253F7">
          <w:rPr>
            <w:webHidden/>
          </w:rPr>
          <w:tab/>
        </w:r>
        <w:r w:rsidR="001A7DD5">
          <w:rPr>
            <w:webHidden/>
          </w:rPr>
          <w:fldChar w:fldCharType="begin"/>
        </w:r>
        <w:r w:rsidR="00C253F7">
          <w:rPr>
            <w:webHidden/>
          </w:rPr>
          <w:instrText xml:space="preserve"> PAGEREF _Toc488066013 \h </w:instrText>
        </w:r>
        <w:r w:rsidR="001A7DD5">
          <w:rPr>
            <w:webHidden/>
          </w:rPr>
        </w:r>
        <w:r w:rsidR="001A7DD5">
          <w:rPr>
            <w:webHidden/>
          </w:rPr>
          <w:fldChar w:fldCharType="separate"/>
        </w:r>
        <w:r w:rsidR="00C253F7">
          <w:rPr>
            <w:webHidden/>
          </w:rPr>
          <w:t>25</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14" w:history="1">
        <w:r w:rsidR="00C253F7" w:rsidRPr="00D111E9">
          <w:rPr>
            <w:rStyle w:val="Hyperlink"/>
            <w:i/>
          </w:rPr>
          <w:t>3.1.4. Distribuţia pe sexe</w:t>
        </w:r>
        <w:r w:rsidR="00C253F7">
          <w:rPr>
            <w:webHidden/>
          </w:rPr>
          <w:tab/>
        </w:r>
        <w:r w:rsidR="001A7DD5">
          <w:rPr>
            <w:webHidden/>
          </w:rPr>
          <w:fldChar w:fldCharType="begin"/>
        </w:r>
        <w:r w:rsidR="00C253F7">
          <w:rPr>
            <w:webHidden/>
          </w:rPr>
          <w:instrText xml:space="preserve"> PAGEREF _Toc488066014 \h </w:instrText>
        </w:r>
        <w:r w:rsidR="001A7DD5">
          <w:rPr>
            <w:webHidden/>
          </w:rPr>
        </w:r>
        <w:r w:rsidR="001A7DD5">
          <w:rPr>
            <w:webHidden/>
          </w:rPr>
          <w:fldChar w:fldCharType="separate"/>
        </w:r>
        <w:r w:rsidR="00C253F7">
          <w:rPr>
            <w:webHidden/>
          </w:rPr>
          <w:t>25</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15" w:history="1">
        <w:r w:rsidR="00C253F7" w:rsidRPr="00D111E9">
          <w:rPr>
            <w:rStyle w:val="Hyperlink"/>
            <w:i/>
          </w:rPr>
          <w:t>3.1.5. Structura etnică</w:t>
        </w:r>
        <w:r w:rsidR="00C253F7">
          <w:rPr>
            <w:webHidden/>
          </w:rPr>
          <w:tab/>
        </w:r>
        <w:r w:rsidR="001A7DD5">
          <w:rPr>
            <w:webHidden/>
          </w:rPr>
          <w:fldChar w:fldCharType="begin"/>
        </w:r>
        <w:r w:rsidR="00C253F7">
          <w:rPr>
            <w:webHidden/>
          </w:rPr>
          <w:instrText xml:space="preserve"> PAGEREF _Toc488066015 \h </w:instrText>
        </w:r>
        <w:r w:rsidR="001A7DD5">
          <w:rPr>
            <w:webHidden/>
          </w:rPr>
        </w:r>
        <w:r w:rsidR="001A7DD5">
          <w:rPr>
            <w:webHidden/>
          </w:rPr>
          <w:fldChar w:fldCharType="separate"/>
        </w:r>
        <w:r w:rsidR="00C253F7">
          <w:rPr>
            <w:webHidden/>
          </w:rPr>
          <w:t>25</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16" w:history="1">
        <w:r w:rsidR="00C253F7" w:rsidRPr="00D111E9">
          <w:rPr>
            <w:rStyle w:val="Hyperlink"/>
            <w:i/>
          </w:rPr>
          <w:t>3.1.6. Mişcarea migratorie</w:t>
        </w:r>
        <w:r w:rsidR="00C253F7">
          <w:rPr>
            <w:webHidden/>
          </w:rPr>
          <w:tab/>
        </w:r>
        <w:r w:rsidR="001A7DD5">
          <w:rPr>
            <w:webHidden/>
          </w:rPr>
          <w:fldChar w:fldCharType="begin"/>
        </w:r>
        <w:r w:rsidR="00C253F7">
          <w:rPr>
            <w:webHidden/>
          </w:rPr>
          <w:instrText xml:space="preserve"> PAGEREF _Toc488066016 \h </w:instrText>
        </w:r>
        <w:r w:rsidR="001A7DD5">
          <w:rPr>
            <w:webHidden/>
          </w:rPr>
        </w:r>
        <w:r w:rsidR="001A7DD5">
          <w:rPr>
            <w:webHidden/>
          </w:rPr>
          <w:fldChar w:fldCharType="separate"/>
        </w:r>
        <w:r w:rsidR="00C253F7">
          <w:rPr>
            <w:webHidden/>
          </w:rPr>
          <w:t>26</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17" w:history="1">
        <w:r w:rsidR="00C253F7" w:rsidRPr="00D111E9">
          <w:rPr>
            <w:rStyle w:val="Hyperlink"/>
            <w:i/>
          </w:rPr>
          <w:t>3.1.7. Nivelul de trai</w:t>
        </w:r>
        <w:r w:rsidR="00C253F7">
          <w:rPr>
            <w:webHidden/>
          </w:rPr>
          <w:tab/>
        </w:r>
        <w:r w:rsidR="001A7DD5">
          <w:rPr>
            <w:webHidden/>
          </w:rPr>
          <w:fldChar w:fldCharType="begin"/>
        </w:r>
        <w:r w:rsidR="00C253F7">
          <w:rPr>
            <w:webHidden/>
          </w:rPr>
          <w:instrText xml:space="preserve"> PAGEREF _Toc488066017 \h </w:instrText>
        </w:r>
        <w:r w:rsidR="001A7DD5">
          <w:rPr>
            <w:webHidden/>
          </w:rPr>
        </w:r>
        <w:r w:rsidR="001A7DD5">
          <w:rPr>
            <w:webHidden/>
          </w:rPr>
          <w:fldChar w:fldCharType="separate"/>
        </w:r>
        <w:r w:rsidR="00C253F7">
          <w:rPr>
            <w:webHidden/>
          </w:rPr>
          <w:t>26</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18" w:history="1">
        <w:r w:rsidR="00C253F7" w:rsidRPr="00D111E9">
          <w:rPr>
            <w:rStyle w:val="Hyperlink"/>
          </w:rPr>
          <w:t>3.2.Proiecţii demografice la orizontul anului 2030 și 2060</w:t>
        </w:r>
        <w:r w:rsidR="00C253F7">
          <w:rPr>
            <w:webHidden/>
          </w:rPr>
          <w:tab/>
        </w:r>
        <w:r w:rsidR="001A7DD5">
          <w:rPr>
            <w:webHidden/>
          </w:rPr>
          <w:fldChar w:fldCharType="begin"/>
        </w:r>
        <w:r w:rsidR="00C253F7">
          <w:rPr>
            <w:webHidden/>
          </w:rPr>
          <w:instrText xml:space="preserve"> PAGEREF _Toc488066018 \h </w:instrText>
        </w:r>
        <w:r w:rsidR="001A7DD5">
          <w:rPr>
            <w:webHidden/>
          </w:rPr>
        </w:r>
        <w:r w:rsidR="001A7DD5">
          <w:rPr>
            <w:webHidden/>
          </w:rPr>
          <w:fldChar w:fldCharType="separate"/>
        </w:r>
        <w:r w:rsidR="00C253F7">
          <w:rPr>
            <w:webHidden/>
          </w:rPr>
          <w:t>26</w:t>
        </w:r>
        <w:r w:rsidR="001A7DD5">
          <w:rPr>
            <w:webHidden/>
          </w:rPr>
          <w:fldChar w:fldCharType="end"/>
        </w:r>
      </w:hyperlink>
    </w:p>
    <w:p w:rsidR="00C253F7" w:rsidRDefault="00DC3D41">
      <w:pPr>
        <w:pStyle w:val="TOC1"/>
        <w:rPr>
          <w:rFonts w:asciiTheme="minorHAnsi" w:eastAsiaTheme="minorEastAsia" w:hAnsiTheme="minorHAnsi" w:cstheme="minorBidi"/>
          <w:b w:val="0"/>
        </w:rPr>
      </w:pPr>
      <w:hyperlink w:anchor="_Toc488066019" w:history="1">
        <w:r w:rsidR="00C253F7" w:rsidRPr="00D111E9">
          <w:rPr>
            <w:rStyle w:val="Hyperlink"/>
            <w:i/>
          </w:rPr>
          <w:t>3.2.1.Evoluţia populaţiei de vârstă preşcolară şi şcolară</w:t>
        </w:r>
        <w:r w:rsidR="00C253F7">
          <w:rPr>
            <w:webHidden/>
          </w:rPr>
          <w:tab/>
        </w:r>
        <w:r w:rsidR="001A7DD5">
          <w:rPr>
            <w:webHidden/>
          </w:rPr>
          <w:fldChar w:fldCharType="begin"/>
        </w:r>
        <w:r w:rsidR="00C253F7">
          <w:rPr>
            <w:webHidden/>
          </w:rPr>
          <w:instrText xml:space="preserve"> PAGEREF _Toc488066019 \h </w:instrText>
        </w:r>
        <w:r w:rsidR="001A7DD5">
          <w:rPr>
            <w:webHidden/>
          </w:rPr>
        </w:r>
        <w:r w:rsidR="001A7DD5">
          <w:rPr>
            <w:webHidden/>
          </w:rPr>
          <w:fldChar w:fldCharType="separate"/>
        </w:r>
        <w:r w:rsidR="00C253F7">
          <w:rPr>
            <w:webHidden/>
          </w:rPr>
          <w:t>26</w:t>
        </w:r>
        <w:r w:rsidR="001A7DD5">
          <w:rPr>
            <w:webHidden/>
          </w:rPr>
          <w:fldChar w:fldCharType="end"/>
        </w:r>
      </w:hyperlink>
    </w:p>
    <w:p w:rsidR="00C253F7" w:rsidRDefault="00DC3D41">
      <w:pPr>
        <w:pStyle w:val="TOC1"/>
        <w:rPr>
          <w:rFonts w:asciiTheme="minorHAnsi" w:eastAsiaTheme="minorEastAsia" w:hAnsiTheme="minorHAnsi" w:cstheme="minorBidi"/>
          <w:b w:val="0"/>
        </w:rPr>
      </w:pPr>
      <w:hyperlink w:anchor="_Toc488066020" w:history="1">
        <w:r w:rsidR="00C253F7" w:rsidRPr="00D111E9">
          <w:rPr>
            <w:rStyle w:val="Hyperlink"/>
            <w:i/>
          </w:rPr>
          <w:t>3.2.2. Populaţia României pe grupe mari de vârstă, în anii 2011, 2020, 2030 şi 2060</w:t>
        </w:r>
        <w:r w:rsidR="00C253F7">
          <w:rPr>
            <w:webHidden/>
          </w:rPr>
          <w:tab/>
        </w:r>
        <w:r w:rsidR="001A7DD5">
          <w:rPr>
            <w:webHidden/>
          </w:rPr>
          <w:fldChar w:fldCharType="begin"/>
        </w:r>
        <w:r w:rsidR="00C253F7">
          <w:rPr>
            <w:webHidden/>
          </w:rPr>
          <w:instrText xml:space="preserve"> PAGEREF _Toc488066020 \h </w:instrText>
        </w:r>
        <w:r w:rsidR="001A7DD5">
          <w:rPr>
            <w:webHidden/>
          </w:rPr>
        </w:r>
        <w:r w:rsidR="001A7DD5">
          <w:rPr>
            <w:webHidden/>
          </w:rPr>
          <w:fldChar w:fldCharType="separate"/>
        </w:r>
        <w:r w:rsidR="00C253F7">
          <w:rPr>
            <w:webHidden/>
          </w:rPr>
          <w:t>26</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21" w:history="1">
        <w:r w:rsidR="00C253F7" w:rsidRPr="00D111E9">
          <w:rPr>
            <w:rStyle w:val="Hyperlink"/>
          </w:rPr>
          <w:t>3.3. Principalele concluzii din analiza demografică. Implicaţii pentru IPT</w:t>
        </w:r>
        <w:r w:rsidR="00C253F7">
          <w:rPr>
            <w:webHidden/>
          </w:rPr>
          <w:tab/>
        </w:r>
        <w:r w:rsidR="001A7DD5">
          <w:rPr>
            <w:webHidden/>
          </w:rPr>
          <w:fldChar w:fldCharType="begin"/>
        </w:r>
        <w:r w:rsidR="00C253F7">
          <w:rPr>
            <w:webHidden/>
          </w:rPr>
          <w:instrText xml:space="preserve"> PAGEREF _Toc488066021 \h </w:instrText>
        </w:r>
        <w:r w:rsidR="001A7DD5">
          <w:rPr>
            <w:webHidden/>
          </w:rPr>
        </w:r>
        <w:r w:rsidR="001A7DD5">
          <w:rPr>
            <w:webHidden/>
          </w:rPr>
          <w:fldChar w:fldCharType="separate"/>
        </w:r>
        <w:r w:rsidR="00C253F7">
          <w:rPr>
            <w:webHidden/>
          </w:rPr>
          <w:t>27</w:t>
        </w:r>
        <w:r w:rsidR="001A7DD5">
          <w:rPr>
            <w:webHidden/>
          </w:rPr>
          <w:fldChar w:fldCharType="end"/>
        </w:r>
      </w:hyperlink>
    </w:p>
    <w:p w:rsidR="00C253F7" w:rsidRDefault="00DC3D41">
      <w:pPr>
        <w:pStyle w:val="TOC1"/>
        <w:rPr>
          <w:rFonts w:asciiTheme="minorHAnsi" w:eastAsiaTheme="minorEastAsia" w:hAnsiTheme="minorHAnsi" w:cstheme="minorBidi"/>
          <w:b w:val="0"/>
        </w:rPr>
      </w:pPr>
      <w:hyperlink w:anchor="_Toc488066022" w:history="1">
        <w:r w:rsidR="00C253F7" w:rsidRPr="00D111E9">
          <w:rPr>
            <w:rStyle w:val="Hyperlink"/>
          </w:rPr>
          <w:t>4. Profilul economic regional</w:t>
        </w:r>
        <w:r w:rsidR="00C253F7">
          <w:rPr>
            <w:webHidden/>
          </w:rPr>
          <w:tab/>
        </w:r>
        <w:r w:rsidR="001A7DD5">
          <w:rPr>
            <w:webHidden/>
          </w:rPr>
          <w:fldChar w:fldCharType="begin"/>
        </w:r>
        <w:r w:rsidR="00C253F7">
          <w:rPr>
            <w:webHidden/>
          </w:rPr>
          <w:instrText xml:space="preserve"> PAGEREF _Toc488066022 \h </w:instrText>
        </w:r>
        <w:r w:rsidR="001A7DD5">
          <w:rPr>
            <w:webHidden/>
          </w:rPr>
        </w:r>
        <w:r w:rsidR="001A7DD5">
          <w:rPr>
            <w:webHidden/>
          </w:rPr>
          <w:fldChar w:fldCharType="separate"/>
        </w:r>
        <w:r w:rsidR="00C253F7">
          <w:rPr>
            <w:webHidden/>
          </w:rPr>
          <w:t>28</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23" w:history="1">
        <w:r w:rsidR="00C253F7" w:rsidRPr="00D111E9">
          <w:rPr>
            <w:rStyle w:val="Hyperlink"/>
          </w:rPr>
          <w:t>4.1. Evoluţii şi situaţia actuală. Principalii indicatori economici</w:t>
        </w:r>
        <w:r w:rsidR="00C253F7">
          <w:rPr>
            <w:webHidden/>
          </w:rPr>
          <w:tab/>
        </w:r>
        <w:r w:rsidR="001A7DD5">
          <w:rPr>
            <w:webHidden/>
          </w:rPr>
          <w:fldChar w:fldCharType="begin"/>
        </w:r>
        <w:r w:rsidR="00C253F7">
          <w:rPr>
            <w:webHidden/>
          </w:rPr>
          <w:instrText xml:space="preserve"> PAGEREF _Toc488066023 \h </w:instrText>
        </w:r>
        <w:r w:rsidR="001A7DD5">
          <w:rPr>
            <w:webHidden/>
          </w:rPr>
        </w:r>
        <w:r w:rsidR="001A7DD5">
          <w:rPr>
            <w:webHidden/>
          </w:rPr>
          <w:fldChar w:fldCharType="separate"/>
        </w:r>
        <w:r w:rsidR="00C253F7">
          <w:rPr>
            <w:webHidden/>
          </w:rPr>
          <w:t>28</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24" w:history="1">
        <w:r w:rsidR="00C253F7" w:rsidRPr="00D111E9">
          <w:rPr>
            <w:rStyle w:val="Hyperlink"/>
            <w:i/>
          </w:rPr>
          <w:t>4.1.1. Evoluţia produsul intern brut (PIB) şi a valorii adăugate brute (VAB)</w:t>
        </w:r>
        <w:r w:rsidR="00C253F7">
          <w:rPr>
            <w:webHidden/>
          </w:rPr>
          <w:tab/>
        </w:r>
        <w:r w:rsidR="001A7DD5">
          <w:rPr>
            <w:webHidden/>
          </w:rPr>
          <w:fldChar w:fldCharType="begin"/>
        </w:r>
        <w:r w:rsidR="00C253F7">
          <w:rPr>
            <w:webHidden/>
          </w:rPr>
          <w:instrText xml:space="preserve"> PAGEREF _Toc488066024 \h </w:instrText>
        </w:r>
        <w:r w:rsidR="001A7DD5">
          <w:rPr>
            <w:webHidden/>
          </w:rPr>
        </w:r>
        <w:r w:rsidR="001A7DD5">
          <w:rPr>
            <w:webHidden/>
          </w:rPr>
          <w:fldChar w:fldCharType="separate"/>
        </w:r>
        <w:r w:rsidR="00C253F7">
          <w:rPr>
            <w:webHidden/>
          </w:rPr>
          <w:t>28</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25" w:history="1">
        <w:r w:rsidR="00C253F7" w:rsidRPr="00D111E9">
          <w:rPr>
            <w:rStyle w:val="Hyperlink"/>
            <w:i/>
            <w:lang w:eastAsia="ro-RO"/>
          </w:rPr>
          <w:t>4.1.3. Dinamica generală a firmelor din regiune – investiţii</w:t>
        </w:r>
        <w:r w:rsidR="00C253F7">
          <w:rPr>
            <w:webHidden/>
          </w:rPr>
          <w:tab/>
        </w:r>
        <w:r w:rsidR="001A7DD5">
          <w:rPr>
            <w:webHidden/>
          </w:rPr>
          <w:fldChar w:fldCharType="begin"/>
        </w:r>
        <w:r w:rsidR="00C253F7">
          <w:rPr>
            <w:webHidden/>
          </w:rPr>
          <w:instrText xml:space="preserve"> PAGEREF _Toc488066025 \h </w:instrText>
        </w:r>
        <w:r w:rsidR="001A7DD5">
          <w:rPr>
            <w:webHidden/>
          </w:rPr>
        </w:r>
        <w:r w:rsidR="001A7DD5">
          <w:rPr>
            <w:webHidden/>
          </w:rPr>
          <w:fldChar w:fldCharType="separate"/>
        </w:r>
        <w:r w:rsidR="00C253F7">
          <w:rPr>
            <w:webHidden/>
          </w:rPr>
          <w:t>31</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26" w:history="1">
        <w:r w:rsidR="00C253F7" w:rsidRPr="00D111E9">
          <w:rPr>
            <w:rStyle w:val="Hyperlink"/>
            <w:i/>
            <w:lang w:eastAsia="ro-RO"/>
          </w:rPr>
          <w:t>4.1.4. Demografia întreprinderilor -</w:t>
        </w:r>
        <w:r w:rsidR="00C253F7" w:rsidRPr="00D111E9">
          <w:rPr>
            <w:rStyle w:val="Hyperlink"/>
            <w:i/>
          </w:rPr>
          <w:t xml:space="preserve"> </w:t>
        </w:r>
        <w:r w:rsidR="00C253F7" w:rsidRPr="00D111E9">
          <w:rPr>
            <w:rStyle w:val="Hyperlink"/>
            <w:i/>
            <w:lang w:eastAsia="ro-RO"/>
          </w:rPr>
          <w:t>întreprinderilor active nou create</w:t>
        </w:r>
        <w:r w:rsidR="00C253F7">
          <w:rPr>
            <w:webHidden/>
          </w:rPr>
          <w:tab/>
        </w:r>
        <w:r w:rsidR="001A7DD5">
          <w:rPr>
            <w:webHidden/>
          </w:rPr>
          <w:fldChar w:fldCharType="begin"/>
        </w:r>
        <w:r w:rsidR="00C253F7">
          <w:rPr>
            <w:webHidden/>
          </w:rPr>
          <w:instrText xml:space="preserve"> PAGEREF _Toc488066026 \h </w:instrText>
        </w:r>
        <w:r w:rsidR="001A7DD5">
          <w:rPr>
            <w:webHidden/>
          </w:rPr>
        </w:r>
        <w:r w:rsidR="001A7DD5">
          <w:rPr>
            <w:webHidden/>
          </w:rPr>
          <w:fldChar w:fldCharType="separate"/>
        </w:r>
        <w:r w:rsidR="00C253F7">
          <w:rPr>
            <w:webHidden/>
          </w:rPr>
          <w:t>31</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27" w:history="1">
        <w:r w:rsidR="00C253F7" w:rsidRPr="00D111E9">
          <w:rPr>
            <w:rStyle w:val="Hyperlink"/>
          </w:rPr>
          <w:t xml:space="preserve">4.2. Proiecţia principalilor indicatori economici </w:t>
        </w:r>
        <w:r w:rsidR="00C253F7">
          <w:rPr>
            <w:webHidden/>
          </w:rPr>
          <w:tab/>
        </w:r>
        <w:r w:rsidR="001A7DD5">
          <w:rPr>
            <w:webHidden/>
          </w:rPr>
          <w:fldChar w:fldCharType="begin"/>
        </w:r>
        <w:r w:rsidR="00C253F7">
          <w:rPr>
            <w:webHidden/>
          </w:rPr>
          <w:instrText xml:space="preserve"> PAGEREF _Toc488066027 \h </w:instrText>
        </w:r>
        <w:r w:rsidR="001A7DD5">
          <w:rPr>
            <w:webHidden/>
          </w:rPr>
        </w:r>
        <w:r w:rsidR="001A7DD5">
          <w:rPr>
            <w:webHidden/>
          </w:rPr>
          <w:fldChar w:fldCharType="separate"/>
        </w:r>
        <w:r w:rsidR="00C253F7">
          <w:rPr>
            <w:webHidden/>
          </w:rPr>
          <w:t>33</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28" w:history="1">
        <w:r w:rsidR="00C253F7" w:rsidRPr="00D111E9">
          <w:rPr>
            <w:rStyle w:val="Hyperlink"/>
          </w:rPr>
          <w:t>4.3. Alte informaţii şi informaţii parţiale</w:t>
        </w:r>
        <w:r w:rsidR="00C253F7">
          <w:rPr>
            <w:webHidden/>
          </w:rPr>
          <w:tab/>
        </w:r>
        <w:r w:rsidR="001A7DD5">
          <w:rPr>
            <w:webHidden/>
          </w:rPr>
          <w:fldChar w:fldCharType="begin"/>
        </w:r>
        <w:r w:rsidR="00C253F7">
          <w:rPr>
            <w:webHidden/>
          </w:rPr>
          <w:instrText xml:space="preserve"> PAGEREF _Toc488066028 \h </w:instrText>
        </w:r>
        <w:r w:rsidR="001A7DD5">
          <w:rPr>
            <w:webHidden/>
          </w:rPr>
        </w:r>
        <w:r w:rsidR="001A7DD5">
          <w:rPr>
            <w:webHidden/>
          </w:rPr>
          <w:fldChar w:fldCharType="separate"/>
        </w:r>
        <w:r w:rsidR="00C253F7">
          <w:rPr>
            <w:webHidden/>
          </w:rPr>
          <w:t>36</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29" w:history="1">
        <w:r w:rsidR="00C253F7" w:rsidRPr="00D111E9">
          <w:rPr>
            <w:rStyle w:val="Hyperlink"/>
          </w:rPr>
          <w:t>4.3.1. Cercetarea – dezvoltare</w:t>
        </w:r>
        <w:r w:rsidR="00C253F7">
          <w:rPr>
            <w:webHidden/>
          </w:rPr>
          <w:tab/>
        </w:r>
        <w:r w:rsidR="001A7DD5">
          <w:rPr>
            <w:webHidden/>
          </w:rPr>
          <w:fldChar w:fldCharType="begin"/>
        </w:r>
        <w:r w:rsidR="00C253F7">
          <w:rPr>
            <w:webHidden/>
          </w:rPr>
          <w:instrText xml:space="preserve"> PAGEREF _Toc488066029 \h </w:instrText>
        </w:r>
        <w:r w:rsidR="001A7DD5">
          <w:rPr>
            <w:webHidden/>
          </w:rPr>
        </w:r>
        <w:r w:rsidR="001A7DD5">
          <w:rPr>
            <w:webHidden/>
          </w:rPr>
          <w:fldChar w:fldCharType="separate"/>
        </w:r>
        <w:r w:rsidR="00C253F7">
          <w:rPr>
            <w:webHidden/>
          </w:rPr>
          <w:t>36</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30" w:history="1">
        <w:r w:rsidR="00C253F7" w:rsidRPr="00D111E9">
          <w:rPr>
            <w:rStyle w:val="Hyperlink"/>
          </w:rPr>
          <w:t>4.3.2. Industria</w:t>
        </w:r>
        <w:r w:rsidR="00C253F7">
          <w:rPr>
            <w:webHidden/>
          </w:rPr>
          <w:tab/>
        </w:r>
        <w:r w:rsidR="001A7DD5">
          <w:rPr>
            <w:webHidden/>
          </w:rPr>
          <w:fldChar w:fldCharType="begin"/>
        </w:r>
        <w:r w:rsidR="00C253F7">
          <w:rPr>
            <w:webHidden/>
          </w:rPr>
          <w:instrText xml:space="preserve"> PAGEREF _Toc488066030 \h </w:instrText>
        </w:r>
        <w:r w:rsidR="001A7DD5">
          <w:rPr>
            <w:webHidden/>
          </w:rPr>
        </w:r>
        <w:r w:rsidR="001A7DD5">
          <w:rPr>
            <w:webHidden/>
          </w:rPr>
          <w:fldChar w:fldCharType="separate"/>
        </w:r>
        <w:r w:rsidR="00C253F7">
          <w:rPr>
            <w:webHidden/>
          </w:rPr>
          <w:t>36</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31" w:history="1">
        <w:r w:rsidR="00C253F7" w:rsidRPr="00D111E9">
          <w:rPr>
            <w:rStyle w:val="Hyperlink"/>
          </w:rPr>
          <w:t>4.3.3. Infrastructura de transport, tehnică, edilitară, de comunicaţii şi de mediu</w:t>
        </w:r>
        <w:r w:rsidR="00C253F7">
          <w:rPr>
            <w:webHidden/>
          </w:rPr>
          <w:tab/>
        </w:r>
        <w:r w:rsidR="001A7DD5">
          <w:rPr>
            <w:webHidden/>
          </w:rPr>
          <w:fldChar w:fldCharType="begin"/>
        </w:r>
        <w:r w:rsidR="00C253F7">
          <w:rPr>
            <w:webHidden/>
          </w:rPr>
          <w:instrText xml:space="preserve"> PAGEREF _Toc488066031 \h </w:instrText>
        </w:r>
        <w:r w:rsidR="001A7DD5">
          <w:rPr>
            <w:webHidden/>
          </w:rPr>
        </w:r>
        <w:r w:rsidR="001A7DD5">
          <w:rPr>
            <w:webHidden/>
          </w:rPr>
          <w:fldChar w:fldCharType="separate"/>
        </w:r>
        <w:r w:rsidR="00C253F7">
          <w:rPr>
            <w:webHidden/>
          </w:rPr>
          <w:t>36</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32" w:history="1">
        <w:r w:rsidR="00C253F7" w:rsidRPr="00D111E9">
          <w:rPr>
            <w:rStyle w:val="Hyperlink"/>
          </w:rPr>
          <w:t>3.3.4. Agricultura</w:t>
        </w:r>
        <w:r w:rsidR="00C253F7">
          <w:rPr>
            <w:webHidden/>
          </w:rPr>
          <w:tab/>
        </w:r>
        <w:r w:rsidR="001A7DD5">
          <w:rPr>
            <w:webHidden/>
          </w:rPr>
          <w:fldChar w:fldCharType="begin"/>
        </w:r>
        <w:r w:rsidR="00C253F7">
          <w:rPr>
            <w:webHidden/>
          </w:rPr>
          <w:instrText xml:space="preserve"> PAGEREF _Toc488066032 \h </w:instrText>
        </w:r>
        <w:r w:rsidR="001A7DD5">
          <w:rPr>
            <w:webHidden/>
          </w:rPr>
        </w:r>
        <w:r w:rsidR="001A7DD5">
          <w:rPr>
            <w:webHidden/>
          </w:rPr>
          <w:fldChar w:fldCharType="separate"/>
        </w:r>
        <w:r w:rsidR="00C253F7">
          <w:rPr>
            <w:webHidden/>
          </w:rPr>
          <w:t>36</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33" w:history="1">
        <w:r w:rsidR="00C253F7" w:rsidRPr="00D111E9">
          <w:rPr>
            <w:rStyle w:val="Hyperlink"/>
          </w:rPr>
          <w:t>4.3.5.Turismul</w:t>
        </w:r>
        <w:r w:rsidR="00C253F7">
          <w:rPr>
            <w:webHidden/>
          </w:rPr>
          <w:tab/>
        </w:r>
        <w:r w:rsidR="001A7DD5">
          <w:rPr>
            <w:webHidden/>
          </w:rPr>
          <w:fldChar w:fldCharType="begin"/>
        </w:r>
        <w:r w:rsidR="00C253F7">
          <w:rPr>
            <w:webHidden/>
          </w:rPr>
          <w:instrText xml:space="preserve"> PAGEREF _Toc488066033 \h </w:instrText>
        </w:r>
        <w:r w:rsidR="001A7DD5">
          <w:rPr>
            <w:webHidden/>
          </w:rPr>
        </w:r>
        <w:r w:rsidR="001A7DD5">
          <w:rPr>
            <w:webHidden/>
          </w:rPr>
          <w:fldChar w:fldCharType="separate"/>
        </w:r>
        <w:r w:rsidR="00C253F7">
          <w:rPr>
            <w:webHidden/>
          </w:rPr>
          <w:t>36</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34" w:history="1">
        <w:r w:rsidR="00C253F7" w:rsidRPr="00D111E9">
          <w:rPr>
            <w:rStyle w:val="Hyperlink"/>
            <w:i/>
          </w:rPr>
          <w:t>4.3.6. Dezvoltarea durabilă</w:t>
        </w:r>
        <w:r w:rsidR="00C253F7">
          <w:rPr>
            <w:webHidden/>
          </w:rPr>
          <w:tab/>
        </w:r>
        <w:r w:rsidR="001A7DD5">
          <w:rPr>
            <w:webHidden/>
          </w:rPr>
          <w:fldChar w:fldCharType="begin"/>
        </w:r>
        <w:r w:rsidR="00C253F7">
          <w:rPr>
            <w:webHidden/>
          </w:rPr>
          <w:instrText xml:space="preserve"> PAGEREF _Toc488066034 \h </w:instrText>
        </w:r>
        <w:r w:rsidR="001A7DD5">
          <w:rPr>
            <w:webHidden/>
          </w:rPr>
        </w:r>
        <w:r w:rsidR="001A7DD5">
          <w:rPr>
            <w:webHidden/>
          </w:rPr>
          <w:fldChar w:fldCharType="separate"/>
        </w:r>
        <w:r w:rsidR="00C253F7">
          <w:rPr>
            <w:webHidden/>
          </w:rPr>
          <w:t>36</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35" w:history="1">
        <w:r w:rsidR="00C253F7" w:rsidRPr="00D111E9">
          <w:rPr>
            <w:rStyle w:val="Hyperlink"/>
            <w:i/>
            <w:lang w:eastAsia="ro-RO"/>
          </w:rPr>
          <w:t>4.3.7. Zona montană şi dezvoltarea durabilă–aspecte specifice ruralului montan</w:t>
        </w:r>
        <w:r w:rsidR="00C253F7">
          <w:rPr>
            <w:webHidden/>
          </w:rPr>
          <w:tab/>
        </w:r>
        <w:r w:rsidR="001A7DD5">
          <w:rPr>
            <w:webHidden/>
          </w:rPr>
          <w:fldChar w:fldCharType="begin"/>
        </w:r>
        <w:r w:rsidR="00C253F7">
          <w:rPr>
            <w:webHidden/>
          </w:rPr>
          <w:instrText xml:space="preserve"> PAGEREF _Toc488066035 \h </w:instrText>
        </w:r>
        <w:r w:rsidR="001A7DD5">
          <w:rPr>
            <w:webHidden/>
          </w:rPr>
        </w:r>
        <w:r w:rsidR="001A7DD5">
          <w:rPr>
            <w:webHidden/>
          </w:rPr>
          <w:fldChar w:fldCharType="separate"/>
        </w:r>
        <w:r w:rsidR="00C253F7">
          <w:rPr>
            <w:webHidden/>
          </w:rPr>
          <w:t>38</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36" w:history="1">
        <w:r w:rsidR="00C253F7" w:rsidRPr="00D111E9">
          <w:rPr>
            <w:rStyle w:val="Hyperlink"/>
          </w:rPr>
          <w:t>4.4. Principalele concluzii din analiza mediului economic. Implicaţii pentru ÎPT</w:t>
        </w:r>
        <w:r w:rsidR="00C253F7">
          <w:rPr>
            <w:webHidden/>
          </w:rPr>
          <w:tab/>
        </w:r>
        <w:r w:rsidR="001A7DD5">
          <w:rPr>
            <w:webHidden/>
          </w:rPr>
          <w:fldChar w:fldCharType="begin"/>
        </w:r>
        <w:r w:rsidR="00C253F7">
          <w:rPr>
            <w:webHidden/>
          </w:rPr>
          <w:instrText xml:space="preserve"> PAGEREF _Toc488066036 \h </w:instrText>
        </w:r>
        <w:r w:rsidR="001A7DD5">
          <w:rPr>
            <w:webHidden/>
          </w:rPr>
        </w:r>
        <w:r w:rsidR="001A7DD5">
          <w:rPr>
            <w:webHidden/>
          </w:rPr>
          <w:fldChar w:fldCharType="separate"/>
        </w:r>
        <w:r w:rsidR="00C253F7">
          <w:rPr>
            <w:webHidden/>
          </w:rPr>
          <w:t>40</w:t>
        </w:r>
        <w:r w:rsidR="001A7DD5">
          <w:rPr>
            <w:webHidden/>
          </w:rPr>
          <w:fldChar w:fldCharType="end"/>
        </w:r>
      </w:hyperlink>
    </w:p>
    <w:p w:rsidR="00C253F7" w:rsidRDefault="00DC3D41">
      <w:pPr>
        <w:pStyle w:val="TOC1"/>
        <w:rPr>
          <w:rFonts w:asciiTheme="minorHAnsi" w:eastAsiaTheme="minorEastAsia" w:hAnsiTheme="minorHAnsi" w:cstheme="minorBidi"/>
          <w:b w:val="0"/>
        </w:rPr>
      </w:pPr>
      <w:hyperlink w:anchor="_Toc488066037" w:history="1">
        <w:r w:rsidR="00C253F7" w:rsidRPr="00D111E9">
          <w:rPr>
            <w:rStyle w:val="Hyperlink"/>
          </w:rPr>
          <w:t>5. Piaţa muncii la nivel regional</w:t>
        </w:r>
        <w:r w:rsidR="00C253F7">
          <w:rPr>
            <w:webHidden/>
          </w:rPr>
          <w:tab/>
        </w:r>
        <w:r w:rsidR="001A7DD5">
          <w:rPr>
            <w:webHidden/>
          </w:rPr>
          <w:fldChar w:fldCharType="begin"/>
        </w:r>
        <w:r w:rsidR="00C253F7">
          <w:rPr>
            <w:webHidden/>
          </w:rPr>
          <w:instrText xml:space="preserve"> PAGEREF _Toc488066037 \h </w:instrText>
        </w:r>
        <w:r w:rsidR="001A7DD5">
          <w:rPr>
            <w:webHidden/>
          </w:rPr>
        </w:r>
        <w:r w:rsidR="001A7DD5">
          <w:rPr>
            <w:webHidden/>
          </w:rPr>
          <w:fldChar w:fldCharType="separate"/>
        </w:r>
        <w:r w:rsidR="00C253F7">
          <w:rPr>
            <w:webHidden/>
          </w:rPr>
          <w:t>41</w:t>
        </w:r>
        <w:r w:rsidR="001A7DD5">
          <w:rPr>
            <w:webHidden/>
          </w:rPr>
          <w:fldChar w:fldCharType="end"/>
        </w:r>
      </w:hyperlink>
    </w:p>
    <w:p w:rsidR="00C253F7" w:rsidRDefault="00DC3D41">
      <w:pPr>
        <w:pStyle w:val="TOC1"/>
        <w:rPr>
          <w:rFonts w:asciiTheme="minorHAnsi" w:eastAsiaTheme="minorEastAsia" w:hAnsiTheme="minorHAnsi" w:cstheme="minorBidi"/>
          <w:b w:val="0"/>
        </w:rPr>
      </w:pPr>
      <w:hyperlink w:anchor="_Toc488066038" w:history="1">
        <w:r w:rsidR="00C253F7" w:rsidRPr="00D111E9">
          <w:rPr>
            <w:rStyle w:val="Hyperlink"/>
          </w:rPr>
          <w:t>5.1. Evoluţii şi situaţia curentă - principalii  indicatori ai pieţei muncii conform anchetei forţei de muncă în gospodării (AMIGO)</w:t>
        </w:r>
        <w:r w:rsidR="00C253F7">
          <w:rPr>
            <w:webHidden/>
          </w:rPr>
          <w:tab/>
        </w:r>
        <w:r w:rsidR="001A7DD5">
          <w:rPr>
            <w:webHidden/>
          </w:rPr>
          <w:fldChar w:fldCharType="begin"/>
        </w:r>
        <w:r w:rsidR="00C253F7">
          <w:rPr>
            <w:webHidden/>
          </w:rPr>
          <w:instrText xml:space="preserve"> PAGEREF _Toc488066038 \h </w:instrText>
        </w:r>
        <w:r w:rsidR="001A7DD5">
          <w:rPr>
            <w:webHidden/>
          </w:rPr>
        </w:r>
        <w:r w:rsidR="001A7DD5">
          <w:rPr>
            <w:webHidden/>
          </w:rPr>
          <w:fldChar w:fldCharType="separate"/>
        </w:r>
        <w:r w:rsidR="00C253F7">
          <w:rPr>
            <w:webHidden/>
          </w:rPr>
          <w:t>41</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39" w:history="1">
        <w:r w:rsidR="00C253F7" w:rsidRPr="00D111E9">
          <w:rPr>
            <w:rStyle w:val="Hyperlink"/>
            <w:lang w:eastAsia="ro-RO"/>
          </w:rPr>
          <w:t xml:space="preserve">5.1.3. </w:t>
        </w:r>
        <w:r w:rsidR="00C253F7" w:rsidRPr="00D111E9">
          <w:rPr>
            <w:rStyle w:val="Hyperlink"/>
            <w:i/>
            <w:lang w:eastAsia="ro-RO"/>
          </w:rPr>
          <w:t>Şomajul de lungă durată</w:t>
        </w:r>
        <w:r w:rsidR="00C253F7">
          <w:rPr>
            <w:webHidden/>
          </w:rPr>
          <w:tab/>
        </w:r>
        <w:r w:rsidR="001A7DD5">
          <w:rPr>
            <w:webHidden/>
          </w:rPr>
          <w:fldChar w:fldCharType="begin"/>
        </w:r>
        <w:r w:rsidR="00C253F7">
          <w:rPr>
            <w:webHidden/>
          </w:rPr>
          <w:instrText xml:space="preserve"> PAGEREF _Toc488066039 \h </w:instrText>
        </w:r>
        <w:r w:rsidR="001A7DD5">
          <w:rPr>
            <w:webHidden/>
          </w:rPr>
        </w:r>
        <w:r w:rsidR="001A7DD5">
          <w:rPr>
            <w:webHidden/>
          </w:rPr>
          <w:fldChar w:fldCharType="separate"/>
        </w:r>
        <w:r w:rsidR="00C253F7">
          <w:rPr>
            <w:webHidden/>
          </w:rPr>
          <w:t>45</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40" w:history="1">
        <w:r w:rsidR="00C253F7" w:rsidRPr="00D111E9">
          <w:rPr>
            <w:rStyle w:val="Hyperlink"/>
            <w:b/>
          </w:rPr>
          <w:t>5.2. Evoluţii şi situaţia curentă - principalii  indicatori ai pieţei muncii conform balanţei forţei de muncă (BFM)</w:t>
        </w:r>
        <w:r w:rsidR="00C253F7">
          <w:rPr>
            <w:webHidden/>
          </w:rPr>
          <w:tab/>
        </w:r>
        <w:r w:rsidR="001A7DD5">
          <w:rPr>
            <w:webHidden/>
          </w:rPr>
          <w:fldChar w:fldCharType="begin"/>
        </w:r>
        <w:r w:rsidR="00C253F7">
          <w:rPr>
            <w:webHidden/>
          </w:rPr>
          <w:instrText xml:space="preserve"> PAGEREF _Toc488066040 \h </w:instrText>
        </w:r>
        <w:r w:rsidR="001A7DD5">
          <w:rPr>
            <w:webHidden/>
          </w:rPr>
        </w:r>
        <w:r w:rsidR="001A7DD5">
          <w:rPr>
            <w:webHidden/>
          </w:rPr>
          <w:fldChar w:fldCharType="separate"/>
        </w:r>
        <w:r w:rsidR="00C253F7">
          <w:rPr>
            <w:webHidden/>
          </w:rPr>
          <w:t>46</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41" w:history="1">
        <w:r w:rsidR="00C253F7" w:rsidRPr="00D111E9">
          <w:rPr>
            <w:rStyle w:val="Hyperlink"/>
            <w:i/>
            <w:lang w:eastAsia="ro-RO"/>
          </w:rPr>
          <w:t>5.2.1. Structura populaţiei după participarea la activitatea economică</w:t>
        </w:r>
        <w:r w:rsidR="00C253F7">
          <w:rPr>
            <w:webHidden/>
          </w:rPr>
          <w:tab/>
        </w:r>
        <w:r w:rsidR="001A7DD5">
          <w:rPr>
            <w:webHidden/>
          </w:rPr>
          <w:fldChar w:fldCharType="begin"/>
        </w:r>
        <w:r w:rsidR="00C253F7">
          <w:rPr>
            <w:webHidden/>
          </w:rPr>
          <w:instrText xml:space="preserve"> PAGEREF _Toc488066041 \h </w:instrText>
        </w:r>
        <w:r w:rsidR="001A7DD5">
          <w:rPr>
            <w:webHidden/>
          </w:rPr>
        </w:r>
        <w:r w:rsidR="001A7DD5">
          <w:rPr>
            <w:webHidden/>
          </w:rPr>
          <w:fldChar w:fldCharType="separate"/>
        </w:r>
        <w:r w:rsidR="00C253F7">
          <w:rPr>
            <w:webHidden/>
          </w:rPr>
          <w:t>46</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42" w:history="1">
        <w:r w:rsidR="00C253F7" w:rsidRPr="00D111E9">
          <w:rPr>
            <w:rStyle w:val="Hyperlink"/>
            <w:b/>
          </w:rPr>
          <w:t>5.3. Evoluţii şi situaţia curentă privind șomerii înregistrați</w:t>
        </w:r>
        <w:r w:rsidR="00C253F7">
          <w:rPr>
            <w:webHidden/>
          </w:rPr>
          <w:tab/>
        </w:r>
        <w:r w:rsidR="001A7DD5">
          <w:rPr>
            <w:webHidden/>
          </w:rPr>
          <w:fldChar w:fldCharType="begin"/>
        </w:r>
        <w:r w:rsidR="00C253F7">
          <w:rPr>
            <w:webHidden/>
          </w:rPr>
          <w:instrText xml:space="preserve"> PAGEREF _Toc488066042 \h </w:instrText>
        </w:r>
        <w:r w:rsidR="001A7DD5">
          <w:rPr>
            <w:webHidden/>
          </w:rPr>
        </w:r>
        <w:r w:rsidR="001A7DD5">
          <w:rPr>
            <w:webHidden/>
          </w:rPr>
          <w:fldChar w:fldCharType="separate"/>
        </w:r>
        <w:r w:rsidR="00C253F7">
          <w:rPr>
            <w:webHidden/>
          </w:rPr>
          <w:t>48</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43" w:history="1">
        <w:r w:rsidR="00C253F7" w:rsidRPr="00D111E9">
          <w:rPr>
            <w:rStyle w:val="Hyperlink"/>
            <w:b/>
          </w:rPr>
          <w:t>5.4. Evoluţii şi situaţia curentă privind locurile de muncă vacante</w:t>
        </w:r>
        <w:r w:rsidR="00C253F7">
          <w:rPr>
            <w:webHidden/>
          </w:rPr>
          <w:tab/>
        </w:r>
        <w:r w:rsidR="001A7DD5">
          <w:rPr>
            <w:webHidden/>
          </w:rPr>
          <w:fldChar w:fldCharType="begin"/>
        </w:r>
        <w:r w:rsidR="00C253F7">
          <w:rPr>
            <w:webHidden/>
          </w:rPr>
          <w:instrText xml:space="preserve"> PAGEREF _Toc488066043 \h </w:instrText>
        </w:r>
        <w:r w:rsidR="001A7DD5">
          <w:rPr>
            <w:webHidden/>
          </w:rPr>
        </w:r>
        <w:r w:rsidR="001A7DD5">
          <w:rPr>
            <w:webHidden/>
          </w:rPr>
          <w:fldChar w:fldCharType="separate"/>
        </w:r>
        <w:r w:rsidR="00C253F7">
          <w:rPr>
            <w:webHidden/>
          </w:rPr>
          <w:t>49</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44" w:history="1">
        <w:r w:rsidR="00C253F7" w:rsidRPr="00D111E9">
          <w:rPr>
            <w:rStyle w:val="Hyperlink"/>
            <w:lang w:eastAsia="ro-RO"/>
          </w:rPr>
          <w:t>5.4.1. Evoluţii şi situaţia curentă  privind locurile de muncă vacante pe activităţi ale economiei naționale</w:t>
        </w:r>
        <w:r w:rsidR="00C253F7">
          <w:rPr>
            <w:webHidden/>
          </w:rPr>
          <w:tab/>
        </w:r>
        <w:r w:rsidR="001A7DD5">
          <w:rPr>
            <w:webHidden/>
          </w:rPr>
          <w:fldChar w:fldCharType="begin"/>
        </w:r>
        <w:r w:rsidR="00C253F7">
          <w:rPr>
            <w:webHidden/>
          </w:rPr>
          <w:instrText xml:space="preserve"> PAGEREF _Toc488066044 \h </w:instrText>
        </w:r>
        <w:r w:rsidR="001A7DD5">
          <w:rPr>
            <w:webHidden/>
          </w:rPr>
        </w:r>
        <w:r w:rsidR="001A7DD5">
          <w:rPr>
            <w:webHidden/>
          </w:rPr>
          <w:fldChar w:fldCharType="separate"/>
        </w:r>
        <w:r w:rsidR="00C253F7">
          <w:rPr>
            <w:webHidden/>
          </w:rPr>
          <w:t>49</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45" w:history="1">
        <w:r w:rsidR="00C253F7" w:rsidRPr="00D111E9">
          <w:rPr>
            <w:rStyle w:val="Hyperlink"/>
            <w:i/>
            <w:lang w:eastAsia="ro-RO"/>
          </w:rPr>
          <w:t>5.4.2. Evoluţii şi situaţia curentă privind locurile de muncă vacante pe grupe majore de ocupații</w:t>
        </w:r>
        <w:r w:rsidR="00C253F7">
          <w:rPr>
            <w:webHidden/>
          </w:rPr>
          <w:tab/>
        </w:r>
        <w:r w:rsidR="001A7DD5">
          <w:rPr>
            <w:webHidden/>
          </w:rPr>
          <w:fldChar w:fldCharType="begin"/>
        </w:r>
        <w:r w:rsidR="00C253F7">
          <w:rPr>
            <w:webHidden/>
          </w:rPr>
          <w:instrText xml:space="preserve"> PAGEREF _Toc488066045 \h </w:instrText>
        </w:r>
        <w:r w:rsidR="001A7DD5">
          <w:rPr>
            <w:webHidden/>
          </w:rPr>
        </w:r>
        <w:r w:rsidR="001A7DD5">
          <w:rPr>
            <w:webHidden/>
          </w:rPr>
          <w:fldChar w:fldCharType="separate"/>
        </w:r>
        <w:r w:rsidR="00C253F7">
          <w:rPr>
            <w:webHidden/>
          </w:rPr>
          <w:t>50</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46" w:history="1">
        <w:r w:rsidR="00C253F7" w:rsidRPr="00D111E9">
          <w:rPr>
            <w:rStyle w:val="Hyperlink"/>
            <w:b/>
          </w:rPr>
          <w:t>5.5. Evoluţii şi situaţia curentă - efectivul salariaților la sfârșitul anului, pe activităţi (secțiuni şi diviziuni) ale industriei</w:t>
        </w:r>
        <w:r w:rsidR="00C253F7">
          <w:rPr>
            <w:webHidden/>
          </w:rPr>
          <w:tab/>
        </w:r>
        <w:r w:rsidR="001A7DD5">
          <w:rPr>
            <w:webHidden/>
          </w:rPr>
          <w:fldChar w:fldCharType="begin"/>
        </w:r>
        <w:r w:rsidR="00C253F7">
          <w:rPr>
            <w:webHidden/>
          </w:rPr>
          <w:instrText xml:space="preserve"> PAGEREF _Toc488066046 \h </w:instrText>
        </w:r>
        <w:r w:rsidR="001A7DD5">
          <w:rPr>
            <w:webHidden/>
          </w:rPr>
        </w:r>
        <w:r w:rsidR="001A7DD5">
          <w:rPr>
            <w:webHidden/>
          </w:rPr>
          <w:fldChar w:fldCharType="separate"/>
        </w:r>
        <w:r w:rsidR="00C253F7">
          <w:rPr>
            <w:webHidden/>
          </w:rPr>
          <w:t>50</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47" w:history="1">
        <w:r w:rsidR="00C253F7" w:rsidRPr="00D111E9">
          <w:rPr>
            <w:rStyle w:val="Hyperlink"/>
            <w:b/>
          </w:rPr>
          <w:t>5.6. Proiecţia principalilor indicatori ai pieţei muncii (Comisia Naţională de Prognoză)</w:t>
        </w:r>
        <w:r w:rsidR="00C253F7">
          <w:rPr>
            <w:webHidden/>
          </w:rPr>
          <w:tab/>
        </w:r>
        <w:r w:rsidR="001A7DD5">
          <w:rPr>
            <w:webHidden/>
          </w:rPr>
          <w:fldChar w:fldCharType="begin"/>
        </w:r>
        <w:r w:rsidR="00C253F7">
          <w:rPr>
            <w:webHidden/>
          </w:rPr>
          <w:instrText xml:space="preserve"> PAGEREF _Toc488066047 \h </w:instrText>
        </w:r>
        <w:r w:rsidR="001A7DD5">
          <w:rPr>
            <w:webHidden/>
          </w:rPr>
        </w:r>
        <w:r w:rsidR="001A7DD5">
          <w:rPr>
            <w:webHidden/>
          </w:rPr>
          <w:fldChar w:fldCharType="separate"/>
        </w:r>
        <w:r w:rsidR="00C253F7">
          <w:rPr>
            <w:webHidden/>
          </w:rPr>
          <w:t>51</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48" w:history="1">
        <w:r w:rsidR="00C253F7" w:rsidRPr="00D111E9">
          <w:rPr>
            <w:rStyle w:val="Hyperlink"/>
            <w:i/>
            <w:lang w:eastAsia="ro-RO"/>
          </w:rPr>
          <w:t>5.6.1. Proiecţia numărului mediu de salariaţi</w:t>
        </w:r>
        <w:r w:rsidR="00C253F7">
          <w:rPr>
            <w:webHidden/>
          </w:rPr>
          <w:tab/>
        </w:r>
        <w:r w:rsidR="001A7DD5">
          <w:rPr>
            <w:webHidden/>
          </w:rPr>
          <w:fldChar w:fldCharType="begin"/>
        </w:r>
        <w:r w:rsidR="00C253F7">
          <w:rPr>
            <w:webHidden/>
          </w:rPr>
          <w:instrText xml:space="preserve"> PAGEREF _Toc488066048 \h </w:instrText>
        </w:r>
        <w:r w:rsidR="001A7DD5">
          <w:rPr>
            <w:webHidden/>
          </w:rPr>
        </w:r>
        <w:r w:rsidR="001A7DD5">
          <w:rPr>
            <w:webHidden/>
          </w:rPr>
          <w:fldChar w:fldCharType="separate"/>
        </w:r>
        <w:r w:rsidR="00C253F7">
          <w:rPr>
            <w:webHidden/>
          </w:rPr>
          <w:t>51</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49" w:history="1">
        <w:r w:rsidR="00C253F7" w:rsidRPr="00D111E9">
          <w:rPr>
            <w:rStyle w:val="Hyperlink"/>
            <w:i/>
          </w:rPr>
          <w:t xml:space="preserve">5.6.2. </w:t>
        </w:r>
        <w:r w:rsidR="00C253F7" w:rsidRPr="00D111E9">
          <w:rPr>
            <w:rStyle w:val="Hyperlink"/>
            <w:i/>
            <w:lang w:eastAsia="ro-RO"/>
          </w:rPr>
          <w:t>Proiecţia</w:t>
        </w:r>
        <w:r w:rsidR="00C253F7" w:rsidRPr="00D111E9">
          <w:rPr>
            <w:rStyle w:val="Hyperlink"/>
            <w:i/>
          </w:rPr>
          <w:t xml:space="preserve"> şomerilor înregistraţi, la sfârşitul anului</w:t>
        </w:r>
        <w:r w:rsidR="00C253F7">
          <w:rPr>
            <w:webHidden/>
          </w:rPr>
          <w:tab/>
        </w:r>
        <w:r w:rsidR="001A7DD5">
          <w:rPr>
            <w:webHidden/>
          </w:rPr>
          <w:fldChar w:fldCharType="begin"/>
        </w:r>
        <w:r w:rsidR="00C253F7">
          <w:rPr>
            <w:webHidden/>
          </w:rPr>
          <w:instrText xml:space="preserve"> PAGEREF _Toc488066049 \h </w:instrText>
        </w:r>
        <w:r w:rsidR="001A7DD5">
          <w:rPr>
            <w:webHidden/>
          </w:rPr>
        </w:r>
        <w:r w:rsidR="001A7DD5">
          <w:rPr>
            <w:webHidden/>
          </w:rPr>
          <w:fldChar w:fldCharType="separate"/>
        </w:r>
        <w:r w:rsidR="00C253F7">
          <w:rPr>
            <w:webHidden/>
          </w:rPr>
          <w:t>51</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50" w:history="1">
        <w:r w:rsidR="00C253F7" w:rsidRPr="00D111E9">
          <w:rPr>
            <w:rStyle w:val="Hyperlink"/>
            <w:i/>
          </w:rPr>
          <w:t xml:space="preserve">5.6.3. </w:t>
        </w:r>
        <w:r w:rsidR="00C253F7" w:rsidRPr="00D111E9">
          <w:rPr>
            <w:rStyle w:val="Hyperlink"/>
            <w:i/>
            <w:lang w:eastAsia="ro-RO"/>
          </w:rPr>
          <w:t>Proiecţia</w:t>
        </w:r>
        <w:r w:rsidR="00C253F7" w:rsidRPr="00D111E9">
          <w:rPr>
            <w:rStyle w:val="Hyperlink"/>
            <w:i/>
          </w:rPr>
          <w:t xml:space="preserve"> ratei şomajului înregistrat</w:t>
        </w:r>
        <w:r w:rsidR="00C253F7">
          <w:rPr>
            <w:webHidden/>
          </w:rPr>
          <w:tab/>
        </w:r>
        <w:r w:rsidR="001A7DD5">
          <w:rPr>
            <w:webHidden/>
          </w:rPr>
          <w:fldChar w:fldCharType="begin"/>
        </w:r>
        <w:r w:rsidR="00C253F7">
          <w:rPr>
            <w:webHidden/>
          </w:rPr>
          <w:instrText xml:space="preserve"> PAGEREF _Toc488066050 \h </w:instrText>
        </w:r>
        <w:r w:rsidR="001A7DD5">
          <w:rPr>
            <w:webHidden/>
          </w:rPr>
        </w:r>
        <w:r w:rsidR="001A7DD5">
          <w:rPr>
            <w:webHidden/>
          </w:rPr>
          <w:fldChar w:fldCharType="separate"/>
        </w:r>
        <w:r w:rsidR="00C253F7">
          <w:rPr>
            <w:webHidden/>
          </w:rPr>
          <w:t>52</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51" w:history="1">
        <w:r w:rsidR="00C253F7" w:rsidRPr="00D111E9">
          <w:rPr>
            <w:rStyle w:val="Hyperlink"/>
          </w:rPr>
          <w:t>5.7. Prognoze privind cererea şi oferta de locuri de muncă</w:t>
        </w:r>
        <w:r w:rsidR="00C253F7">
          <w:rPr>
            <w:webHidden/>
          </w:rPr>
          <w:tab/>
        </w:r>
        <w:r w:rsidR="001A7DD5">
          <w:rPr>
            <w:webHidden/>
          </w:rPr>
          <w:fldChar w:fldCharType="begin"/>
        </w:r>
        <w:r w:rsidR="00C253F7">
          <w:rPr>
            <w:webHidden/>
          </w:rPr>
          <w:instrText xml:space="preserve"> PAGEREF _Toc488066051 \h </w:instrText>
        </w:r>
        <w:r w:rsidR="001A7DD5">
          <w:rPr>
            <w:webHidden/>
          </w:rPr>
        </w:r>
        <w:r w:rsidR="001A7DD5">
          <w:rPr>
            <w:webHidden/>
          </w:rPr>
          <w:fldChar w:fldCharType="separate"/>
        </w:r>
        <w:r w:rsidR="00C253F7">
          <w:rPr>
            <w:webHidden/>
          </w:rPr>
          <w:t>53</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52" w:history="1">
        <w:r w:rsidR="00C253F7" w:rsidRPr="00D111E9">
          <w:rPr>
            <w:rStyle w:val="Hyperlink"/>
            <w:i/>
            <w:lang w:eastAsia="ro-RO"/>
          </w:rPr>
          <w:t>5.7.1. Prognoza cererii şi ofertei de locuri de muncă pe termen mediu şi lung din Studii previzionale la nivel European – CEDEFOP</w:t>
        </w:r>
        <w:r w:rsidR="00C253F7">
          <w:rPr>
            <w:webHidden/>
          </w:rPr>
          <w:tab/>
        </w:r>
        <w:r w:rsidR="001A7DD5">
          <w:rPr>
            <w:webHidden/>
          </w:rPr>
          <w:fldChar w:fldCharType="begin"/>
        </w:r>
        <w:r w:rsidR="00C253F7">
          <w:rPr>
            <w:webHidden/>
          </w:rPr>
          <w:instrText xml:space="preserve"> PAGEREF _Toc488066052 \h </w:instrText>
        </w:r>
        <w:r w:rsidR="001A7DD5">
          <w:rPr>
            <w:webHidden/>
          </w:rPr>
        </w:r>
        <w:r w:rsidR="001A7DD5">
          <w:rPr>
            <w:webHidden/>
          </w:rPr>
          <w:fldChar w:fldCharType="separate"/>
        </w:r>
        <w:r w:rsidR="00C253F7">
          <w:rPr>
            <w:webHidden/>
          </w:rPr>
          <w:t>53</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53" w:history="1">
        <w:r w:rsidR="00C253F7" w:rsidRPr="00D111E9">
          <w:rPr>
            <w:rStyle w:val="Hyperlink"/>
            <w:lang w:eastAsia="ro-RO"/>
          </w:rPr>
          <w:t>5.7.2. Prognoza cererii şi ofertei de locuri de muncă pe termen mediu şi lung  din Studii previzionale naţionale</w:t>
        </w:r>
        <w:r w:rsidR="00C253F7">
          <w:rPr>
            <w:webHidden/>
          </w:rPr>
          <w:tab/>
        </w:r>
        <w:r w:rsidR="001A7DD5">
          <w:rPr>
            <w:webHidden/>
          </w:rPr>
          <w:fldChar w:fldCharType="begin"/>
        </w:r>
        <w:r w:rsidR="00C253F7">
          <w:rPr>
            <w:webHidden/>
          </w:rPr>
          <w:instrText xml:space="preserve"> PAGEREF _Toc488066053 \h </w:instrText>
        </w:r>
        <w:r w:rsidR="001A7DD5">
          <w:rPr>
            <w:webHidden/>
          </w:rPr>
        </w:r>
        <w:r w:rsidR="001A7DD5">
          <w:rPr>
            <w:webHidden/>
          </w:rPr>
          <w:fldChar w:fldCharType="separate"/>
        </w:r>
        <w:r w:rsidR="00C253F7">
          <w:rPr>
            <w:webHidden/>
          </w:rPr>
          <w:t>55</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54" w:history="1">
        <w:r w:rsidR="00C253F7" w:rsidRPr="00D111E9">
          <w:rPr>
            <w:rStyle w:val="Hyperlink"/>
            <w:lang w:eastAsia="ro-RO"/>
          </w:rPr>
          <w:t>5.7.3. Anchete în firme</w:t>
        </w:r>
        <w:r w:rsidR="00C253F7">
          <w:rPr>
            <w:webHidden/>
          </w:rPr>
          <w:tab/>
        </w:r>
        <w:r w:rsidR="001A7DD5">
          <w:rPr>
            <w:webHidden/>
          </w:rPr>
          <w:fldChar w:fldCharType="begin"/>
        </w:r>
        <w:r w:rsidR="00C253F7">
          <w:rPr>
            <w:webHidden/>
          </w:rPr>
          <w:instrText xml:space="preserve"> PAGEREF _Toc488066054 \h </w:instrText>
        </w:r>
        <w:r w:rsidR="001A7DD5">
          <w:rPr>
            <w:webHidden/>
          </w:rPr>
        </w:r>
        <w:r w:rsidR="001A7DD5">
          <w:rPr>
            <w:webHidden/>
          </w:rPr>
          <w:fldChar w:fldCharType="separate"/>
        </w:r>
        <w:r w:rsidR="00C253F7">
          <w:rPr>
            <w:webHidden/>
          </w:rPr>
          <w:t>55</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55" w:history="1">
        <w:r w:rsidR="00C253F7" w:rsidRPr="00D111E9">
          <w:rPr>
            <w:rStyle w:val="Hyperlink"/>
          </w:rPr>
          <w:t>5.8. Principalele concluzii din analiza pieţei muncii. Implicaţii pentru ÎPT</w:t>
        </w:r>
        <w:r w:rsidR="00C253F7">
          <w:rPr>
            <w:webHidden/>
          </w:rPr>
          <w:tab/>
        </w:r>
        <w:r w:rsidR="001A7DD5">
          <w:rPr>
            <w:webHidden/>
          </w:rPr>
          <w:fldChar w:fldCharType="begin"/>
        </w:r>
        <w:r w:rsidR="00C253F7">
          <w:rPr>
            <w:webHidden/>
          </w:rPr>
          <w:instrText xml:space="preserve"> PAGEREF _Toc488066055 \h </w:instrText>
        </w:r>
        <w:r w:rsidR="001A7DD5">
          <w:rPr>
            <w:webHidden/>
          </w:rPr>
        </w:r>
        <w:r w:rsidR="001A7DD5">
          <w:rPr>
            <w:webHidden/>
          </w:rPr>
          <w:fldChar w:fldCharType="separate"/>
        </w:r>
        <w:r w:rsidR="00C253F7">
          <w:rPr>
            <w:webHidden/>
          </w:rPr>
          <w:t>55</w:t>
        </w:r>
        <w:r w:rsidR="001A7DD5">
          <w:rPr>
            <w:webHidden/>
          </w:rPr>
          <w:fldChar w:fldCharType="end"/>
        </w:r>
      </w:hyperlink>
    </w:p>
    <w:p w:rsidR="00C253F7" w:rsidRDefault="00DC3D41">
      <w:pPr>
        <w:pStyle w:val="TOC1"/>
        <w:rPr>
          <w:rFonts w:asciiTheme="minorHAnsi" w:eastAsiaTheme="minorEastAsia" w:hAnsiTheme="minorHAnsi" w:cstheme="minorBidi"/>
          <w:b w:val="0"/>
        </w:rPr>
      </w:pPr>
      <w:hyperlink w:anchor="_Toc488066056" w:history="1">
        <w:r w:rsidR="00C253F7" w:rsidRPr="00D111E9">
          <w:rPr>
            <w:rStyle w:val="Hyperlink"/>
          </w:rPr>
          <w:t>6. Învăţământul profesional şi tehnic din regiune</w:t>
        </w:r>
        <w:r w:rsidR="00C253F7">
          <w:rPr>
            <w:webHidden/>
          </w:rPr>
          <w:tab/>
        </w:r>
        <w:r w:rsidR="001A7DD5">
          <w:rPr>
            <w:webHidden/>
          </w:rPr>
          <w:fldChar w:fldCharType="begin"/>
        </w:r>
        <w:r w:rsidR="00C253F7">
          <w:rPr>
            <w:webHidden/>
          </w:rPr>
          <w:instrText xml:space="preserve"> PAGEREF _Toc488066056 \h </w:instrText>
        </w:r>
        <w:r w:rsidR="001A7DD5">
          <w:rPr>
            <w:webHidden/>
          </w:rPr>
        </w:r>
        <w:r w:rsidR="001A7DD5">
          <w:rPr>
            <w:webHidden/>
          </w:rPr>
          <w:fldChar w:fldCharType="separate"/>
        </w:r>
        <w:r w:rsidR="00C253F7">
          <w:rPr>
            <w:webHidden/>
          </w:rPr>
          <w:t>56</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57" w:history="1">
        <w:r w:rsidR="00C253F7" w:rsidRPr="00D111E9">
          <w:rPr>
            <w:rStyle w:val="Hyperlink"/>
          </w:rPr>
          <w:t>6.1. Indicatori de intrare în IPT</w:t>
        </w:r>
        <w:r w:rsidR="00C253F7">
          <w:rPr>
            <w:webHidden/>
          </w:rPr>
          <w:tab/>
        </w:r>
        <w:r w:rsidR="001A7DD5">
          <w:rPr>
            <w:webHidden/>
          </w:rPr>
          <w:fldChar w:fldCharType="begin"/>
        </w:r>
        <w:r w:rsidR="00C253F7">
          <w:rPr>
            <w:webHidden/>
          </w:rPr>
          <w:instrText xml:space="preserve"> PAGEREF _Toc488066057 \h </w:instrText>
        </w:r>
        <w:r w:rsidR="001A7DD5">
          <w:rPr>
            <w:webHidden/>
          </w:rPr>
        </w:r>
        <w:r w:rsidR="001A7DD5">
          <w:rPr>
            <w:webHidden/>
          </w:rPr>
          <w:fldChar w:fldCharType="separate"/>
        </w:r>
        <w:r w:rsidR="00C253F7">
          <w:rPr>
            <w:webHidden/>
          </w:rPr>
          <w:t>56</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58" w:history="1">
        <w:r w:rsidR="00C253F7" w:rsidRPr="00D111E9">
          <w:rPr>
            <w:rStyle w:val="Hyperlink"/>
            <w:i/>
            <w:lang w:eastAsia="ro-RO"/>
          </w:rPr>
          <w:t>6.1.1. Populaţia şcolară pe nivele de educaţie, sexe, medii de rezidenţă</w:t>
        </w:r>
        <w:r w:rsidR="00C253F7">
          <w:rPr>
            <w:webHidden/>
          </w:rPr>
          <w:tab/>
        </w:r>
        <w:r w:rsidR="001A7DD5">
          <w:rPr>
            <w:webHidden/>
          </w:rPr>
          <w:fldChar w:fldCharType="begin"/>
        </w:r>
        <w:r w:rsidR="00C253F7">
          <w:rPr>
            <w:webHidden/>
          </w:rPr>
          <w:instrText xml:space="preserve"> PAGEREF _Toc488066058 \h </w:instrText>
        </w:r>
        <w:r w:rsidR="001A7DD5">
          <w:rPr>
            <w:webHidden/>
          </w:rPr>
        </w:r>
        <w:r w:rsidR="001A7DD5">
          <w:rPr>
            <w:webHidden/>
          </w:rPr>
          <w:fldChar w:fldCharType="separate"/>
        </w:r>
        <w:r w:rsidR="00C253F7">
          <w:rPr>
            <w:webHidden/>
          </w:rPr>
          <w:t>56</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59" w:history="1">
        <w:r w:rsidR="00C253F7" w:rsidRPr="00D111E9">
          <w:rPr>
            <w:rStyle w:val="Hyperlink"/>
            <w:i/>
            <w:lang w:eastAsia="ro-RO"/>
          </w:rPr>
          <w:t>6.1.2. Grad de cuprindere în învăţământ (Rata specifică de cuprindere şcolară pe vârste)</w:t>
        </w:r>
        <w:r w:rsidR="00C253F7">
          <w:rPr>
            <w:webHidden/>
          </w:rPr>
          <w:tab/>
        </w:r>
        <w:r w:rsidR="001A7DD5">
          <w:rPr>
            <w:webHidden/>
          </w:rPr>
          <w:fldChar w:fldCharType="begin"/>
        </w:r>
        <w:r w:rsidR="00C253F7">
          <w:rPr>
            <w:webHidden/>
          </w:rPr>
          <w:instrText xml:space="preserve"> PAGEREF _Toc488066059 \h </w:instrText>
        </w:r>
        <w:r w:rsidR="001A7DD5">
          <w:rPr>
            <w:webHidden/>
          </w:rPr>
        </w:r>
        <w:r w:rsidR="001A7DD5">
          <w:rPr>
            <w:webHidden/>
          </w:rPr>
          <w:fldChar w:fldCharType="separate"/>
        </w:r>
        <w:r w:rsidR="00C253F7">
          <w:rPr>
            <w:webHidden/>
          </w:rPr>
          <w:t>58</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60" w:history="1">
        <w:r w:rsidR="00C253F7" w:rsidRPr="00D111E9">
          <w:rPr>
            <w:rStyle w:val="Hyperlink"/>
            <w:i/>
            <w:lang w:eastAsia="ro-RO"/>
          </w:rPr>
          <w:t>6.1.3. Rata netă de cuprindere în sistemul de educaţie şi formare profesională</w:t>
        </w:r>
        <w:r w:rsidR="00C253F7">
          <w:rPr>
            <w:webHidden/>
          </w:rPr>
          <w:tab/>
        </w:r>
        <w:r w:rsidR="001A7DD5">
          <w:rPr>
            <w:webHidden/>
          </w:rPr>
          <w:fldChar w:fldCharType="begin"/>
        </w:r>
        <w:r w:rsidR="00C253F7">
          <w:rPr>
            <w:webHidden/>
          </w:rPr>
          <w:instrText xml:space="preserve"> PAGEREF _Toc488066060 \h </w:instrText>
        </w:r>
        <w:r w:rsidR="001A7DD5">
          <w:rPr>
            <w:webHidden/>
          </w:rPr>
        </w:r>
        <w:r w:rsidR="001A7DD5">
          <w:rPr>
            <w:webHidden/>
          </w:rPr>
          <w:fldChar w:fldCharType="separate"/>
        </w:r>
        <w:r w:rsidR="00C253F7">
          <w:rPr>
            <w:webHidden/>
          </w:rPr>
          <w:t>61</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61" w:history="1">
        <w:r w:rsidR="00C253F7" w:rsidRPr="00D111E9">
          <w:rPr>
            <w:rStyle w:val="Hyperlink"/>
            <w:i/>
            <w:lang w:eastAsia="ro-RO"/>
          </w:rPr>
          <w:t>6.1.4. Oferta unităţilor şcolare  din ÎPT - Evoluţia elevilor cuprinşi în învăţământul liceal tehnologic şi învăţământul profesional</w:t>
        </w:r>
        <w:r w:rsidR="00C253F7">
          <w:rPr>
            <w:webHidden/>
          </w:rPr>
          <w:tab/>
        </w:r>
        <w:r w:rsidR="001A7DD5">
          <w:rPr>
            <w:webHidden/>
          </w:rPr>
          <w:fldChar w:fldCharType="begin"/>
        </w:r>
        <w:r w:rsidR="00C253F7">
          <w:rPr>
            <w:webHidden/>
          </w:rPr>
          <w:instrText xml:space="preserve"> PAGEREF _Toc488066061 \h </w:instrText>
        </w:r>
        <w:r w:rsidR="001A7DD5">
          <w:rPr>
            <w:webHidden/>
          </w:rPr>
        </w:r>
        <w:r w:rsidR="001A7DD5">
          <w:rPr>
            <w:webHidden/>
          </w:rPr>
          <w:fldChar w:fldCharType="separate"/>
        </w:r>
        <w:r w:rsidR="00C253F7">
          <w:rPr>
            <w:webHidden/>
          </w:rPr>
          <w:t>64</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62" w:history="1">
        <w:r w:rsidR="00C253F7" w:rsidRPr="00D111E9">
          <w:rPr>
            <w:rStyle w:val="Hyperlink"/>
            <w:i/>
            <w:lang w:eastAsia="ro-RO"/>
          </w:rPr>
          <w:t>6.1.5. Oferta unităţilor şcolare  din ÎPT - Evoluţia elevilor cuprinşi în învăţământul postliceal</w:t>
        </w:r>
        <w:r w:rsidR="00C253F7">
          <w:rPr>
            <w:webHidden/>
          </w:rPr>
          <w:tab/>
        </w:r>
        <w:r w:rsidR="001A7DD5">
          <w:rPr>
            <w:webHidden/>
          </w:rPr>
          <w:fldChar w:fldCharType="begin"/>
        </w:r>
        <w:r w:rsidR="00C253F7">
          <w:rPr>
            <w:webHidden/>
          </w:rPr>
          <w:instrText xml:space="preserve"> PAGEREF _Toc488066062 \h </w:instrText>
        </w:r>
        <w:r w:rsidR="001A7DD5">
          <w:rPr>
            <w:webHidden/>
          </w:rPr>
        </w:r>
        <w:r w:rsidR="001A7DD5">
          <w:rPr>
            <w:webHidden/>
          </w:rPr>
          <w:fldChar w:fldCharType="separate"/>
        </w:r>
        <w:r w:rsidR="00C253F7">
          <w:rPr>
            <w:webHidden/>
          </w:rPr>
          <w:t>68</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63" w:history="1">
        <w:r w:rsidR="00C253F7" w:rsidRPr="00D111E9">
          <w:rPr>
            <w:rStyle w:val="Hyperlink"/>
            <w:i/>
            <w:lang w:eastAsia="ro-RO"/>
          </w:rPr>
          <w:t>6.1.6. Oferta unităţilor şcolare  din ÎPT – Cuprinderea elevilor în învăţământul liceal tehnologic şi învăţământul profesional în anul şcolar 2016-2017</w:t>
        </w:r>
        <w:r w:rsidR="00C253F7">
          <w:rPr>
            <w:webHidden/>
          </w:rPr>
          <w:tab/>
        </w:r>
        <w:r w:rsidR="001A7DD5">
          <w:rPr>
            <w:webHidden/>
          </w:rPr>
          <w:fldChar w:fldCharType="begin"/>
        </w:r>
        <w:r w:rsidR="00C253F7">
          <w:rPr>
            <w:webHidden/>
          </w:rPr>
          <w:instrText xml:space="preserve"> PAGEREF _Toc488066063 \h </w:instrText>
        </w:r>
        <w:r w:rsidR="001A7DD5">
          <w:rPr>
            <w:webHidden/>
          </w:rPr>
        </w:r>
        <w:r w:rsidR="001A7DD5">
          <w:rPr>
            <w:webHidden/>
          </w:rPr>
          <w:fldChar w:fldCharType="separate"/>
        </w:r>
        <w:r w:rsidR="00C253F7">
          <w:rPr>
            <w:webHidden/>
          </w:rPr>
          <w:t>68</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64" w:history="1">
        <w:r w:rsidR="00C253F7" w:rsidRPr="00D111E9">
          <w:rPr>
            <w:rStyle w:val="Hyperlink"/>
            <w:i/>
            <w:lang w:eastAsia="ro-RO"/>
          </w:rPr>
          <w:t>6.1.7. Oferta unităţilor şcolare  din ÎPT – Cuprinderea elevilor în învăţământul postliceal în anul şcolar 2016-2017</w:t>
        </w:r>
        <w:r w:rsidR="00C253F7">
          <w:rPr>
            <w:webHidden/>
          </w:rPr>
          <w:tab/>
        </w:r>
        <w:r w:rsidR="001A7DD5">
          <w:rPr>
            <w:webHidden/>
          </w:rPr>
          <w:fldChar w:fldCharType="begin"/>
        </w:r>
        <w:r w:rsidR="00C253F7">
          <w:rPr>
            <w:webHidden/>
          </w:rPr>
          <w:instrText xml:space="preserve"> PAGEREF _Toc488066064 \h </w:instrText>
        </w:r>
        <w:r w:rsidR="001A7DD5">
          <w:rPr>
            <w:webHidden/>
          </w:rPr>
        </w:r>
        <w:r w:rsidR="001A7DD5">
          <w:rPr>
            <w:webHidden/>
          </w:rPr>
          <w:fldChar w:fldCharType="separate"/>
        </w:r>
        <w:r w:rsidR="00C253F7">
          <w:rPr>
            <w:webHidden/>
          </w:rPr>
          <w:t>73</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65" w:history="1">
        <w:r w:rsidR="00C253F7" w:rsidRPr="00D111E9">
          <w:rPr>
            <w:rStyle w:val="Hyperlink"/>
            <w:i/>
            <w:lang w:eastAsia="ro-RO"/>
          </w:rPr>
          <w:t>6.1.8. Oferta unităţilor şcolare din ÎPT - Gradul de satisfacere a solicitărilor operatorilor economici pentru şcolarizarea în învăţământul profesional</w:t>
        </w:r>
        <w:r w:rsidR="00C253F7">
          <w:rPr>
            <w:webHidden/>
          </w:rPr>
          <w:tab/>
        </w:r>
        <w:r w:rsidR="001A7DD5">
          <w:rPr>
            <w:webHidden/>
          </w:rPr>
          <w:fldChar w:fldCharType="begin"/>
        </w:r>
        <w:r w:rsidR="00C253F7">
          <w:rPr>
            <w:webHidden/>
          </w:rPr>
          <w:instrText xml:space="preserve"> PAGEREF _Toc488066065 \h </w:instrText>
        </w:r>
        <w:r w:rsidR="001A7DD5">
          <w:rPr>
            <w:webHidden/>
          </w:rPr>
        </w:r>
        <w:r w:rsidR="001A7DD5">
          <w:rPr>
            <w:webHidden/>
          </w:rPr>
          <w:fldChar w:fldCharType="separate"/>
        </w:r>
        <w:r w:rsidR="00C253F7">
          <w:rPr>
            <w:webHidden/>
          </w:rPr>
          <w:t>74</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66" w:history="1">
        <w:r w:rsidR="00C253F7" w:rsidRPr="00D111E9">
          <w:rPr>
            <w:rStyle w:val="Hyperlink"/>
            <w:i/>
            <w:lang w:eastAsia="ro-RO"/>
          </w:rPr>
          <w:t>6.1.9. Parteneriatul cu operatorii economici</w:t>
        </w:r>
        <w:r w:rsidR="00C253F7">
          <w:rPr>
            <w:webHidden/>
          </w:rPr>
          <w:tab/>
        </w:r>
        <w:r w:rsidR="001A7DD5">
          <w:rPr>
            <w:webHidden/>
          </w:rPr>
          <w:fldChar w:fldCharType="begin"/>
        </w:r>
        <w:r w:rsidR="00C253F7">
          <w:rPr>
            <w:webHidden/>
          </w:rPr>
          <w:instrText xml:space="preserve"> PAGEREF _Toc488066066 \h </w:instrText>
        </w:r>
        <w:r w:rsidR="001A7DD5">
          <w:rPr>
            <w:webHidden/>
          </w:rPr>
        </w:r>
        <w:r w:rsidR="001A7DD5">
          <w:rPr>
            <w:webHidden/>
          </w:rPr>
          <w:fldChar w:fldCharType="separate"/>
        </w:r>
        <w:r w:rsidR="00C253F7">
          <w:rPr>
            <w:webHidden/>
          </w:rPr>
          <w:t>75</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67" w:history="1">
        <w:r w:rsidR="00C253F7" w:rsidRPr="00D111E9">
          <w:rPr>
            <w:rStyle w:val="Hyperlink"/>
            <w:i/>
            <w:lang w:eastAsia="ro-RO"/>
          </w:rPr>
          <w:t>6.1.13. Infrastructura unităţilor şcolare  din IPT</w:t>
        </w:r>
        <w:r w:rsidR="00C253F7">
          <w:rPr>
            <w:webHidden/>
          </w:rPr>
          <w:tab/>
        </w:r>
        <w:r w:rsidR="001A7DD5">
          <w:rPr>
            <w:webHidden/>
          </w:rPr>
          <w:fldChar w:fldCharType="begin"/>
        </w:r>
        <w:r w:rsidR="00C253F7">
          <w:rPr>
            <w:webHidden/>
          </w:rPr>
          <w:instrText xml:space="preserve"> PAGEREF _Toc488066067 \h </w:instrText>
        </w:r>
        <w:r w:rsidR="001A7DD5">
          <w:rPr>
            <w:webHidden/>
          </w:rPr>
        </w:r>
        <w:r w:rsidR="001A7DD5">
          <w:rPr>
            <w:webHidden/>
          </w:rPr>
          <w:fldChar w:fldCharType="separate"/>
        </w:r>
        <w:r w:rsidR="00C253F7">
          <w:rPr>
            <w:webHidden/>
          </w:rPr>
          <w:t>77</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68" w:history="1">
        <w:r w:rsidR="00C253F7" w:rsidRPr="00D111E9">
          <w:rPr>
            <w:rStyle w:val="Hyperlink"/>
            <w:rFonts w:eastAsia="Times New Roman"/>
            <w:i/>
            <w:lang w:val="en-US"/>
          </w:rPr>
          <w:t>6.1.14. Cheltuieli publice pentru educaţie</w:t>
        </w:r>
        <w:r w:rsidR="00C253F7" w:rsidRPr="00D111E9">
          <w:rPr>
            <w:rStyle w:val="Hyperlink"/>
            <w:rFonts w:eastAsia="Times New Roman"/>
            <w:lang w:val="en-US"/>
          </w:rPr>
          <w:t xml:space="preserve"> –</w:t>
        </w:r>
        <w:r w:rsidR="00C253F7">
          <w:rPr>
            <w:webHidden/>
          </w:rPr>
          <w:tab/>
        </w:r>
        <w:r w:rsidR="001A7DD5">
          <w:rPr>
            <w:webHidden/>
          </w:rPr>
          <w:fldChar w:fldCharType="begin"/>
        </w:r>
        <w:r w:rsidR="00C253F7">
          <w:rPr>
            <w:webHidden/>
          </w:rPr>
          <w:instrText xml:space="preserve"> PAGEREF _Toc488066068 \h </w:instrText>
        </w:r>
        <w:r w:rsidR="001A7DD5">
          <w:rPr>
            <w:webHidden/>
          </w:rPr>
        </w:r>
        <w:r w:rsidR="001A7DD5">
          <w:rPr>
            <w:webHidden/>
          </w:rPr>
          <w:fldChar w:fldCharType="separate"/>
        </w:r>
        <w:r w:rsidR="00C253F7">
          <w:rPr>
            <w:webHidden/>
          </w:rPr>
          <w:t>78</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69" w:history="1">
        <w:r w:rsidR="00C253F7" w:rsidRPr="00D111E9">
          <w:rPr>
            <w:rStyle w:val="Hyperlink"/>
          </w:rPr>
          <w:t>6.2. Indicatori de proces</w:t>
        </w:r>
        <w:r w:rsidR="00C253F7">
          <w:rPr>
            <w:webHidden/>
          </w:rPr>
          <w:tab/>
        </w:r>
        <w:r w:rsidR="001A7DD5">
          <w:rPr>
            <w:webHidden/>
          </w:rPr>
          <w:fldChar w:fldCharType="begin"/>
        </w:r>
        <w:r w:rsidR="00C253F7">
          <w:rPr>
            <w:webHidden/>
          </w:rPr>
          <w:instrText xml:space="preserve"> PAGEREF _Toc488066069 \h </w:instrText>
        </w:r>
        <w:r w:rsidR="001A7DD5">
          <w:rPr>
            <w:webHidden/>
          </w:rPr>
        </w:r>
        <w:r w:rsidR="001A7DD5">
          <w:rPr>
            <w:webHidden/>
          </w:rPr>
          <w:fldChar w:fldCharType="separate"/>
        </w:r>
        <w:r w:rsidR="00C253F7">
          <w:rPr>
            <w:webHidden/>
          </w:rPr>
          <w:t>79</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70" w:history="1">
        <w:r w:rsidR="00C253F7" w:rsidRPr="00D111E9">
          <w:rPr>
            <w:rStyle w:val="Hyperlink"/>
            <w:i/>
            <w:lang w:eastAsia="ro-RO"/>
          </w:rPr>
          <w:t>6.2.1. Mecanisme decizionale şi descentralizarea funcţională în ÎPT</w:t>
        </w:r>
        <w:r w:rsidR="00C253F7">
          <w:rPr>
            <w:webHidden/>
          </w:rPr>
          <w:tab/>
        </w:r>
        <w:r w:rsidR="001A7DD5">
          <w:rPr>
            <w:webHidden/>
          </w:rPr>
          <w:fldChar w:fldCharType="begin"/>
        </w:r>
        <w:r w:rsidR="00C253F7">
          <w:rPr>
            <w:webHidden/>
          </w:rPr>
          <w:instrText xml:space="preserve"> PAGEREF _Toc488066070 \h </w:instrText>
        </w:r>
        <w:r w:rsidR="001A7DD5">
          <w:rPr>
            <w:webHidden/>
          </w:rPr>
        </w:r>
        <w:r w:rsidR="001A7DD5">
          <w:rPr>
            <w:webHidden/>
          </w:rPr>
          <w:fldChar w:fldCharType="separate"/>
        </w:r>
        <w:r w:rsidR="00C253F7">
          <w:rPr>
            <w:webHidden/>
          </w:rPr>
          <w:t>79</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71" w:history="1">
        <w:r w:rsidR="00C253F7" w:rsidRPr="00D111E9">
          <w:rPr>
            <w:rStyle w:val="Hyperlink"/>
            <w:i/>
            <w:lang w:eastAsia="ro-RO"/>
          </w:rPr>
          <w:t>6.2.2. Asigurarea calităţii în ÎPT</w:t>
        </w:r>
        <w:r w:rsidR="00C253F7">
          <w:rPr>
            <w:webHidden/>
          </w:rPr>
          <w:tab/>
        </w:r>
        <w:r w:rsidR="001A7DD5">
          <w:rPr>
            <w:webHidden/>
          </w:rPr>
          <w:fldChar w:fldCharType="begin"/>
        </w:r>
        <w:r w:rsidR="00C253F7">
          <w:rPr>
            <w:webHidden/>
          </w:rPr>
          <w:instrText xml:space="preserve"> PAGEREF _Toc488066071 \h </w:instrText>
        </w:r>
        <w:r w:rsidR="001A7DD5">
          <w:rPr>
            <w:webHidden/>
          </w:rPr>
        </w:r>
        <w:r w:rsidR="001A7DD5">
          <w:rPr>
            <w:webHidden/>
          </w:rPr>
          <w:fldChar w:fldCharType="separate"/>
        </w:r>
        <w:r w:rsidR="00C253F7">
          <w:rPr>
            <w:webHidden/>
          </w:rPr>
          <w:t>80</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72" w:history="1">
        <w:r w:rsidR="00C253F7" w:rsidRPr="00D111E9">
          <w:rPr>
            <w:rStyle w:val="Hyperlink"/>
            <w:rFonts w:eastAsia="Times New Roman"/>
            <w:i/>
            <w:lang w:val="en-US"/>
          </w:rPr>
          <w:t>6.2.3. Situaţia şcolară a elevilor din IPT la sfârşitul anului şcolar</w:t>
        </w:r>
        <w:r w:rsidR="00C253F7">
          <w:rPr>
            <w:webHidden/>
          </w:rPr>
          <w:tab/>
        </w:r>
        <w:r w:rsidR="001A7DD5">
          <w:rPr>
            <w:webHidden/>
          </w:rPr>
          <w:fldChar w:fldCharType="begin"/>
        </w:r>
        <w:r w:rsidR="00C253F7">
          <w:rPr>
            <w:webHidden/>
          </w:rPr>
          <w:instrText xml:space="preserve"> PAGEREF _Toc488066072 \h </w:instrText>
        </w:r>
        <w:r w:rsidR="001A7DD5">
          <w:rPr>
            <w:webHidden/>
          </w:rPr>
        </w:r>
        <w:r w:rsidR="001A7DD5">
          <w:rPr>
            <w:webHidden/>
          </w:rPr>
          <w:fldChar w:fldCharType="separate"/>
        </w:r>
        <w:r w:rsidR="00C253F7">
          <w:rPr>
            <w:webHidden/>
          </w:rPr>
          <w:t>81</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73" w:history="1">
        <w:r w:rsidR="00C253F7" w:rsidRPr="00D111E9">
          <w:rPr>
            <w:rStyle w:val="Hyperlink"/>
            <w:i/>
            <w:lang w:eastAsia="ro-RO"/>
          </w:rPr>
          <w:t>6.2.4. Serviciile de orientare şi consiliere</w:t>
        </w:r>
        <w:r w:rsidR="00C253F7">
          <w:rPr>
            <w:webHidden/>
          </w:rPr>
          <w:tab/>
        </w:r>
        <w:r w:rsidR="001A7DD5">
          <w:rPr>
            <w:webHidden/>
          </w:rPr>
          <w:fldChar w:fldCharType="begin"/>
        </w:r>
        <w:r w:rsidR="00C253F7">
          <w:rPr>
            <w:webHidden/>
          </w:rPr>
          <w:instrText xml:space="preserve"> PAGEREF _Toc488066073 \h </w:instrText>
        </w:r>
        <w:r w:rsidR="001A7DD5">
          <w:rPr>
            <w:webHidden/>
          </w:rPr>
        </w:r>
        <w:r w:rsidR="001A7DD5">
          <w:rPr>
            <w:webHidden/>
          </w:rPr>
          <w:fldChar w:fldCharType="separate"/>
        </w:r>
        <w:r w:rsidR="00C253F7">
          <w:rPr>
            <w:webHidden/>
          </w:rPr>
          <w:t>82</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74" w:history="1">
        <w:r w:rsidR="00C253F7" w:rsidRPr="00D111E9">
          <w:rPr>
            <w:rStyle w:val="Hyperlink"/>
          </w:rPr>
          <w:t>6.3. Indicatori de ieşire</w:t>
        </w:r>
        <w:r w:rsidR="00C253F7">
          <w:rPr>
            <w:webHidden/>
          </w:rPr>
          <w:tab/>
        </w:r>
        <w:r w:rsidR="001A7DD5">
          <w:rPr>
            <w:webHidden/>
          </w:rPr>
          <w:fldChar w:fldCharType="begin"/>
        </w:r>
        <w:r w:rsidR="00C253F7">
          <w:rPr>
            <w:webHidden/>
          </w:rPr>
          <w:instrText xml:space="preserve"> PAGEREF _Toc488066074 \h </w:instrText>
        </w:r>
        <w:r w:rsidR="001A7DD5">
          <w:rPr>
            <w:webHidden/>
          </w:rPr>
        </w:r>
        <w:r w:rsidR="001A7DD5">
          <w:rPr>
            <w:webHidden/>
          </w:rPr>
          <w:fldChar w:fldCharType="separate"/>
        </w:r>
        <w:r w:rsidR="00C253F7">
          <w:rPr>
            <w:webHidden/>
          </w:rPr>
          <w:t>85</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75" w:history="1">
        <w:r w:rsidR="00C253F7" w:rsidRPr="00D111E9">
          <w:rPr>
            <w:rStyle w:val="Hyperlink"/>
            <w:i/>
            <w:lang w:eastAsia="ro-RO"/>
          </w:rPr>
          <w:t>6.3.1. Absolvenţi pe niveluri de educaţie</w:t>
        </w:r>
        <w:r w:rsidR="00C253F7">
          <w:rPr>
            <w:webHidden/>
          </w:rPr>
          <w:tab/>
        </w:r>
        <w:r w:rsidR="001A7DD5">
          <w:rPr>
            <w:webHidden/>
          </w:rPr>
          <w:fldChar w:fldCharType="begin"/>
        </w:r>
        <w:r w:rsidR="00C253F7">
          <w:rPr>
            <w:webHidden/>
          </w:rPr>
          <w:instrText xml:space="preserve"> PAGEREF _Toc488066075 \h </w:instrText>
        </w:r>
        <w:r w:rsidR="001A7DD5">
          <w:rPr>
            <w:webHidden/>
          </w:rPr>
        </w:r>
        <w:r w:rsidR="001A7DD5">
          <w:rPr>
            <w:webHidden/>
          </w:rPr>
          <w:fldChar w:fldCharType="separate"/>
        </w:r>
        <w:r w:rsidR="00C253F7">
          <w:rPr>
            <w:webHidden/>
          </w:rPr>
          <w:t>85</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76" w:history="1">
        <w:r w:rsidR="00C253F7" w:rsidRPr="00D111E9">
          <w:rPr>
            <w:rStyle w:val="Hyperlink"/>
            <w:i/>
            <w:lang w:eastAsia="ro-RO"/>
          </w:rPr>
          <w:t>6.3.2. Rata de absolvire, pe niveluri de educaţie ISCED</w:t>
        </w:r>
        <w:r w:rsidR="00C253F7">
          <w:rPr>
            <w:webHidden/>
          </w:rPr>
          <w:tab/>
        </w:r>
        <w:r w:rsidR="001A7DD5">
          <w:rPr>
            <w:webHidden/>
          </w:rPr>
          <w:fldChar w:fldCharType="begin"/>
        </w:r>
        <w:r w:rsidR="00C253F7">
          <w:rPr>
            <w:webHidden/>
          </w:rPr>
          <w:instrText xml:space="preserve"> PAGEREF _Toc488066076 \h </w:instrText>
        </w:r>
        <w:r w:rsidR="001A7DD5">
          <w:rPr>
            <w:webHidden/>
          </w:rPr>
        </w:r>
        <w:r w:rsidR="001A7DD5">
          <w:rPr>
            <w:webHidden/>
          </w:rPr>
          <w:fldChar w:fldCharType="separate"/>
        </w:r>
        <w:r w:rsidR="00C253F7">
          <w:rPr>
            <w:webHidden/>
          </w:rPr>
          <w:t>86</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77" w:history="1">
        <w:r w:rsidR="00C253F7" w:rsidRPr="00D111E9">
          <w:rPr>
            <w:rStyle w:val="Hyperlink"/>
            <w:i/>
            <w:lang w:eastAsia="ro-RO"/>
          </w:rPr>
          <w:t>6.3.3. Rata de tranziţie la următorul nivel de educaţie</w:t>
        </w:r>
        <w:r w:rsidR="00C253F7">
          <w:rPr>
            <w:webHidden/>
          </w:rPr>
          <w:tab/>
        </w:r>
        <w:r w:rsidR="001A7DD5">
          <w:rPr>
            <w:webHidden/>
          </w:rPr>
          <w:fldChar w:fldCharType="begin"/>
        </w:r>
        <w:r w:rsidR="00C253F7">
          <w:rPr>
            <w:webHidden/>
          </w:rPr>
          <w:instrText xml:space="preserve"> PAGEREF _Toc488066077 \h </w:instrText>
        </w:r>
        <w:r w:rsidR="001A7DD5">
          <w:rPr>
            <w:webHidden/>
          </w:rPr>
        </w:r>
        <w:r w:rsidR="001A7DD5">
          <w:rPr>
            <w:webHidden/>
          </w:rPr>
          <w:fldChar w:fldCharType="separate"/>
        </w:r>
        <w:r w:rsidR="00C253F7">
          <w:rPr>
            <w:webHidden/>
          </w:rPr>
          <w:t>87</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78" w:history="1">
        <w:r w:rsidR="00C253F7" w:rsidRPr="00D111E9">
          <w:rPr>
            <w:rStyle w:val="Hyperlink"/>
            <w:i/>
            <w:lang w:eastAsia="ro-RO"/>
          </w:rPr>
          <w:t>6.3.4. Rata abandonului şcolar, pe niveluri de educaţie ISCED</w:t>
        </w:r>
        <w:r w:rsidR="00C253F7">
          <w:rPr>
            <w:webHidden/>
          </w:rPr>
          <w:tab/>
        </w:r>
        <w:r w:rsidR="001A7DD5">
          <w:rPr>
            <w:webHidden/>
          </w:rPr>
          <w:fldChar w:fldCharType="begin"/>
        </w:r>
        <w:r w:rsidR="00C253F7">
          <w:rPr>
            <w:webHidden/>
          </w:rPr>
          <w:instrText xml:space="preserve"> PAGEREF _Toc488066078 \h </w:instrText>
        </w:r>
        <w:r w:rsidR="001A7DD5">
          <w:rPr>
            <w:webHidden/>
          </w:rPr>
        </w:r>
        <w:r w:rsidR="001A7DD5">
          <w:rPr>
            <w:webHidden/>
          </w:rPr>
          <w:fldChar w:fldCharType="separate"/>
        </w:r>
        <w:r w:rsidR="00C253F7">
          <w:rPr>
            <w:webHidden/>
          </w:rPr>
          <w:t>88</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79" w:history="1">
        <w:r w:rsidR="00C253F7" w:rsidRPr="00D111E9">
          <w:rPr>
            <w:rStyle w:val="Hyperlink"/>
            <w:i/>
            <w:lang w:eastAsia="ro-RO"/>
          </w:rPr>
          <w:t>6.3.6. Rata de părăsire timpurie a sistemului de educaţie</w:t>
        </w:r>
        <w:r w:rsidR="00C253F7">
          <w:rPr>
            <w:webHidden/>
          </w:rPr>
          <w:tab/>
        </w:r>
        <w:r w:rsidR="001A7DD5">
          <w:rPr>
            <w:webHidden/>
          </w:rPr>
          <w:fldChar w:fldCharType="begin"/>
        </w:r>
        <w:r w:rsidR="00C253F7">
          <w:rPr>
            <w:webHidden/>
          </w:rPr>
          <w:instrText xml:space="preserve"> PAGEREF _Toc488066079 \h </w:instrText>
        </w:r>
        <w:r w:rsidR="001A7DD5">
          <w:rPr>
            <w:webHidden/>
          </w:rPr>
        </w:r>
        <w:r w:rsidR="001A7DD5">
          <w:rPr>
            <w:webHidden/>
          </w:rPr>
          <w:fldChar w:fldCharType="separate"/>
        </w:r>
        <w:r w:rsidR="00C253F7">
          <w:rPr>
            <w:webHidden/>
          </w:rPr>
          <w:t>91</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80" w:history="1">
        <w:r w:rsidR="00C253F7" w:rsidRPr="00D111E9">
          <w:rPr>
            <w:rStyle w:val="Hyperlink"/>
            <w:i/>
            <w:lang w:eastAsia="ro-RO"/>
          </w:rPr>
          <w:t>6.3.7. Procentul elevilor cu nivel scăzut al competenţelor (PISA)</w:t>
        </w:r>
        <w:r w:rsidR="00C253F7">
          <w:rPr>
            <w:webHidden/>
          </w:rPr>
          <w:tab/>
        </w:r>
        <w:r w:rsidR="001A7DD5">
          <w:rPr>
            <w:webHidden/>
          </w:rPr>
          <w:fldChar w:fldCharType="begin"/>
        </w:r>
        <w:r w:rsidR="00C253F7">
          <w:rPr>
            <w:webHidden/>
          </w:rPr>
          <w:instrText xml:space="preserve"> PAGEREF _Toc488066080 \h </w:instrText>
        </w:r>
        <w:r w:rsidR="001A7DD5">
          <w:rPr>
            <w:webHidden/>
          </w:rPr>
        </w:r>
        <w:r w:rsidR="001A7DD5">
          <w:rPr>
            <w:webHidden/>
          </w:rPr>
          <w:fldChar w:fldCharType="separate"/>
        </w:r>
        <w:r w:rsidR="00C253F7">
          <w:rPr>
            <w:webHidden/>
          </w:rPr>
          <w:t>91</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81" w:history="1">
        <w:r w:rsidR="00C253F7" w:rsidRPr="00D111E9">
          <w:rPr>
            <w:rStyle w:val="Hyperlink"/>
            <w:i/>
            <w:lang w:eastAsia="ro-RO"/>
          </w:rPr>
          <w:t>6.3.8. Ponderea populaţiei cu vârste cuprinse între 20-24 de ani care nu urmează un program de educație şi formare si nici nu au un loc de munca (NEET)</w:t>
        </w:r>
        <w:r w:rsidR="00C253F7">
          <w:rPr>
            <w:webHidden/>
          </w:rPr>
          <w:tab/>
        </w:r>
        <w:r w:rsidR="001A7DD5">
          <w:rPr>
            <w:webHidden/>
          </w:rPr>
          <w:fldChar w:fldCharType="begin"/>
        </w:r>
        <w:r w:rsidR="00C253F7">
          <w:rPr>
            <w:webHidden/>
          </w:rPr>
          <w:instrText xml:space="preserve"> PAGEREF _Toc488066081 \h </w:instrText>
        </w:r>
        <w:r w:rsidR="001A7DD5">
          <w:rPr>
            <w:webHidden/>
          </w:rPr>
        </w:r>
        <w:r w:rsidR="001A7DD5">
          <w:rPr>
            <w:webHidden/>
          </w:rPr>
          <w:fldChar w:fldCharType="separate"/>
        </w:r>
        <w:r w:rsidR="00C253F7">
          <w:rPr>
            <w:webHidden/>
          </w:rPr>
          <w:t>92</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82" w:history="1">
        <w:r w:rsidR="00C253F7" w:rsidRPr="00D111E9">
          <w:rPr>
            <w:rStyle w:val="Hyperlink"/>
            <w:i/>
            <w:lang w:eastAsia="ro-RO"/>
          </w:rPr>
          <w:t>6.3.9. Rata de participare în formarea continuă a populaţiei adulte (25-64 ani)</w:t>
        </w:r>
        <w:r w:rsidR="00C253F7">
          <w:rPr>
            <w:webHidden/>
          </w:rPr>
          <w:tab/>
        </w:r>
        <w:r w:rsidR="001A7DD5">
          <w:rPr>
            <w:webHidden/>
          </w:rPr>
          <w:fldChar w:fldCharType="begin"/>
        </w:r>
        <w:r w:rsidR="00C253F7">
          <w:rPr>
            <w:webHidden/>
          </w:rPr>
          <w:instrText xml:space="preserve"> PAGEREF _Toc488066082 \h </w:instrText>
        </w:r>
        <w:r w:rsidR="001A7DD5">
          <w:rPr>
            <w:webHidden/>
          </w:rPr>
        </w:r>
        <w:r w:rsidR="001A7DD5">
          <w:rPr>
            <w:webHidden/>
          </w:rPr>
          <w:fldChar w:fldCharType="separate"/>
        </w:r>
        <w:r w:rsidR="00C253F7">
          <w:rPr>
            <w:webHidden/>
          </w:rPr>
          <w:t>93</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83" w:history="1">
        <w:r w:rsidR="00C253F7" w:rsidRPr="00D111E9">
          <w:rPr>
            <w:rStyle w:val="Hyperlink"/>
          </w:rPr>
          <w:t>6.4. Indicatori de impact</w:t>
        </w:r>
        <w:r w:rsidR="00C253F7">
          <w:rPr>
            <w:webHidden/>
          </w:rPr>
          <w:tab/>
        </w:r>
        <w:r w:rsidR="001A7DD5">
          <w:rPr>
            <w:webHidden/>
          </w:rPr>
          <w:fldChar w:fldCharType="begin"/>
        </w:r>
        <w:r w:rsidR="00C253F7">
          <w:rPr>
            <w:webHidden/>
          </w:rPr>
          <w:instrText xml:space="preserve"> PAGEREF _Toc488066083 \h </w:instrText>
        </w:r>
        <w:r w:rsidR="001A7DD5">
          <w:rPr>
            <w:webHidden/>
          </w:rPr>
        </w:r>
        <w:r w:rsidR="001A7DD5">
          <w:rPr>
            <w:webHidden/>
          </w:rPr>
          <w:fldChar w:fldCharType="separate"/>
        </w:r>
        <w:r w:rsidR="00C253F7">
          <w:rPr>
            <w:webHidden/>
          </w:rPr>
          <w:t>93</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84" w:history="1">
        <w:r w:rsidR="00C253F7" w:rsidRPr="00D111E9">
          <w:rPr>
            <w:rStyle w:val="Hyperlink"/>
            <w:i/>
            <w:lang w:eastAsia="ro-RO"/>
          </w:rPr>
          <w:t>6.4.1. Impactul sistemului de învăţământ profesional şi tehnic asupra şomajului</w:t>
        </w:r>
        <w:r w:rsidR="00C253F7">
          <w:rPr>
            <w:webHidden/>
          </w:rPr>
          <w:tab/>
        </w:r>
        <w:r w:rsidR="001A7DD5">
          <w:rPr>
            <w:webHidden/>
          </w:rPr>
          <w:fldChar w:fldCharType="begin"/>
        </w:r>
        <w:r w:rsidR="00C253F7">
          <w:rPr>
            <w:webHidden/>
          </w:rPr>
          <w:instrText xml:space="preserve"> PAGEREF _Toc488066084 \h </w:instrText>
        </w:r>
        <w:r w:rsidR="001A7DD5">
          <w:rPr>
            <w:webHidden/>
          </w:rPr>
        </w:r>
        <w:r w:rsidR="001A7DD5">
          <w:rPr>
            <w:webHidden/>
          </w:rPr>
          <w:fldChar w:fldCharType="separate"/>
        </w:r>
        <w:r w:rsidR="00C253F7">
          <w:rPr>
            <w:webHidden/>
          </w:rPr>
          <w:t>93</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85" w:history="1">
        <w:r w:rsidR="00C253F7" w:rsidRPr="00D111E9">
          <w:rPr>
            <w:rStyle w:val="Hyperlink"/>
            <w:i/>
            <w:lang w:eastAsia="ro-RO"/>
          </w:rPr>
          <w:t>6.4.2 Inserţia profesională a absolvenţilor IPT  la 6/12 luni de la absolvire, pe niveluri de educaţie</w:t>
        </w:r>
        <w:r w:rsidR="00C253F7">
          <w:rPr>
            <w:webHidden/>
          </w:rPr>
          <w:tab/>
        </w:r>
        <w:r w:rsidR="001A7DD5">
          <w:rPr>
            <w:webHidden/>
          </w:rPr>
          <w:fldChar w:fldCharType="begin"/>
        </w:r>
        <w:r w:rsidR="00C253F7">
          <w:rPr>
            <w:webHidden/>
          </w:rPr>
          <w:instrText xml:space="preserve"> PAGEREF _Toc488066085 \h </w:instrText>
        </w:r>
        <w:r w:rsidR="001A7DD5">
          <w:rPr>
            <w:webHidden/>
          </w:rPr>
        </w:r>
        <w:r w:rsidR="001A7DD5">
          <w:rPr>
            <w:webHidden/>
          </w:rPr>
          <w:fldChar w:fldCharType="separate"/>
        </w:r>
        <w:r w:rsidR="00C253F7">
          <w:rPr>
            <w:webHidden/>
          </w:rPr>
          <w:t>93</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86" w:history="1">
        <w:r w:rsidR="00C253F7" w:rsidRPr="00D111E9">
          <w:rPr>
            <w:rStyle w:val="Hyperlink"/>
          </w:rPr>
          <w:t>6.5. Concluzii din analiza ÎPT</w:t>
        </w:r>
        <w:r w:rsidR="00C253F7">
          <w:rPr>
            <w:webHidden/>
          </w:rPr>
          <w:tab/>
        </w:r>
        <w:r w:rsidR="001A7DD5">
          <w:rPr>
            <w:webHidden/>
          </w:rPr>
          <w:fldChar w:fldCharType="begin"/>
        </w:r>
        <w:r w:rsidR="00C253F7">
          <w:rPr>
            <w:webHidden/>
          </w:rPr>
          <w:instrText xml:space="preserve"> PAGEREF _Toc488066086 \h </w:instrText>
        </w:r>
        <w:r w:rsidR="001A7DD5">
          <w:rPr>
            <w:webHidden/>
          </w:rPr>
        </w:r>
        <w:r w:rsidR="001A7DD5">
          <w:rPr>
            <w:webHidden/>
          </w:rPr>
          <w:fldChar w:fldCharType="separate"/>
        </w:r>
        <w:r w:rsidR="00C253F7">
          <w:rPr>
            <w:webHidden/>
          </w:rPr>
          <w:t>94</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87" w:history="1">
        <w:r w:rsidR="00C253F7" w:rsidRPr="00D111E9">
          <w:rPr>
            <w:rStyle w:val="Hyperlink"/>
            <w:i/>
            <w:lang w:eastAsia="ro-RO"/>
          </w:rPr>
          <w:t>6.5.1.Ţinte pe termen mediu pentru oferta IPT pe niveluri de formare profesională şi domenii de pregătire.</w:t>
        </w:r>
        <w:r w:rsidR="00C253F7">
          <w:rPr>
            <w:webHidden/>
          </w:rPr>
          <w:tab/>
        </w:r>
        <w:r w:rsidR="001A7DD5">
          <w:rPr>
            <w:webHidden/>
          </w:rPr>
          <w:fldChar w:fldCharType="begin"/>
        </w:r>
        <w:r w:rsidR="00C253F7">
          <w:rPr>
            <w:webHidden/>
          </w:rPr>
          <w:instrText xml:space="preserve"> PAGEREF _Toc488066087 \h </w:instrText>
        </w:r>
        <w:r w:rsidR="001A7DD5">
          <w:rPr>
            <w:webHidden/>
          </w:rPr>
        </w:r>
        <w:r w:rsidR="001A7DD5">
          <w:rPr>
            <w:webHidden/>
          </w:rPr>
          <w:fldChar w:fldCharType="separate"/>
        </w:r>
        <w:r w:rsidR="00C253F7">
          <w:rPr>
            <w:webHidden/>
          </w:rPr>
          <w:t>95</w:t>
        </w:r>
        <w:r w:rsidR="001A7DD5">
          <w:rPr>
            <w:webHidden/>
          </w:rPr>
          <w:fldChar w:fldCharType="end"/>
        </w:r>
      </w:hyperlink>
    </w:p>
    <w:p w:rsidR="00C253F7" w:rsidRDefault="00DC3D41">
      <w:pPr>
        <w:pStyle w:val="TOC3"/>
        <w:rPr>
          <w:rFonts w:asciiTheme="minorHAnsi" w:eastAsiaTheme="minorEastAsia" w:hAnsiTheme="minorHAnsi" w:cstheme="minorBidi"/>
          <w:sz w:val="22"/>
          <w:lang w:eastAsia="ro-RO"/>
        </w:rPr>
      </w:pPr>
      <w:hyperlink w:anchor="_Toc488066088" w:history="1">
        <w:r w:rsidR="00C253F7" w:rsidRPr="00D111E9">
          <w:rPr>
            <w:rStyle w:val="Hyperlink"/>
            <w:i/>
            <w:lang w:eastAsia="ro-RO"/>
          </w:rPr>
          <w:t>6.5.2. Adaptarea ofertei IPT la ţintele pe termen mediu (eşalonare anuală) – conform recomandărilor CR.</w:t>
        </w:r>
        <w:r w:rsidR="00C253F7">
          <w:rPr>
            <w:webHidden/>
          </w:rPr>
          <w:tab/>
        </w:r>
        <w:r w:rsidR="001A7DD5">
          <w:rPr>
            <w:webHidden/>
          </w:rPr>
          <w:fldChar w:fldCharType="begin"/>
        </w:r>
        <w:r w:rsidR="00C253F7">
          <w:rPr>
            <w:webHidden/>
          </w:rPr>
          <w:instrText xml:space="preserve"> PAGEREF _Toc488066088 \h </w:instrText>
        </w:r>
        <w:r w:rsidR="001A7DD5">
          <w:rPr>
            <w:webHidden/>
          </w:rPr>
        </w:r>
        <w:r w:rsidR="001A7DD5">
          <w:rPr>
            <w:webHidden/>
          </w:rPr>
          <w:fldChar w:fldCharType="separate"/>
        </w:r>
        <w:r w:rsidR="00C253F7">
          <w:rPr>
            <w:webHidden/>
          </w:rPr>
          <w:t>95</w:t>
        </w:r>
        <w:r w:rsidR="001A7DD5">
          <w:rPr>
            <w:webHidden/>
          </w:rPr>
          <w:fldChar w:fldCharType="end"/>
        </w:r>
      </w:hyperlink>
    </w:p>
    <w:p w:rsidR="00C253F7" w:rsidRDefault="00DC3D41">
      <w:pPr>
        <w:pStyle w:val="TOC1"/>
        <w:rPr>
          <w:rFonts w:asciiTheme="minorHAnsi" w:eastAsiaTheme="minorEastAsia" w:hAnsiTheme="minorHAnsi" w:cstheme="minorBidi"/>
          <w:b w:val="0"/>
        </w:rPr>
      </w:pPr>
      <w:hyperlink w:anchor="_Toc488066089" w:history="1">
        <w:r w:rsidR="00C253F7" w:rsidRPr="00D111E9">
          <w:rPr>
            <w:rStyle w:val="Hyperlink"/>
          </w:rPr>
          <w:t>7. Monitorizarea implementării PRAI</w:t>
        </w:r>
        <w:r w:rsidR="00C253F7">
          <w:rPr>
            <w:webHidden/>
          </w:rPr>
          <w:tab/>
        </w:r>
        <w:r w:rsidR="001A7DD5">
          <w:rPr>
            <w:webHidden/>
          </w:rPr>
          <w:fldChar w:fldCharType="begin"/>
        </w:r>
        <w:r w:rsidR="00C253F7">
          <w:rPr>
            <w:webHidden/>
          </w:rPr>
          <w:instrText xml:space="preserve"> PAGEREF _Toc488066089 \h </w:instrText>
        </w:r>
        <w:r w:rsidR="001A7DD5">
          <w:rPr>
            <w:webHidden/>
          </w:rPr>
        </w:r>
        <w:r w:rsidR="001A7DD5">
          <w:rPr>
            <w:webHidden/>
          </w:rPr>
          <w:fldChar w:fldCharType="separate"/>
        </w:r>
        <w:r w:rsidR="00C253F7">
          <w:rPr>
            <w:webHidden/>
          </w:rPr>
          <w:t>98</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90" w:history="1">
        <w:r w:rsidR="00C253F7" w:rsidRPr="00D111E9">
          <w:rPr>
            <w:rStyle w:val="Hyperlink"/>
          </w:rPr>
          <w:t>7.1. Procesul de monitorizare</w:t>
        </w:r>
        <w:r w:rsidR="00C253F7">
          <w:rPr>
            <w:webHidden/>
          </w:rPr>
          <w:tab/>
        </w:r>
        <w:r w:rsidR="001A7DD5">
          <w:rPr>
            <w:webHidden/>
          </w:rPr>
          <w:fldChar w:fldCharType="begin"/>
        </w:r>
        <w:r w:rsidR="00C253F7">
          <w:rPr>
            <w:webHidden/>
          </w:rPr>
          <w:instrText xml:space="preserve"> PAGEREF _Toc488066090 \h </w:instrText>
        </w:r>
        <w:r w:rsidR="001A7DD5">
          <w:rPr>
            <w:webHidden/>
          </w:rPr>
        </w:r>
        <w:r w:rsidR="001A7DD5">
          <w:rPr>
            <w:webHidden/>
          </w:rPr>
          <w:fldChar w:fldCharType="separate"/>
        </w:r>
        <w:r w:rsidR="00C253F7">
          <w:rPr>
            <w:webHidden/>
          </w:rPr>
          <w:t>98</w:t>
        </w:r>
        <w:r w:rsidR="001A7DD5">
          <w:rPr>
            <w:webHidden/>
          </w:rPr>
          <w:fldChar w:fldCharType="end"/>
        </w:r>
      </w:hyperlink>
    </w:p>
    <w:p w:rsidR="00C253F7" w:rsidRDefault="00DC3D41">
      <w:pPr>
        <w:pStyle w:val="TOC2"/>
        <w:rPr>
          <w:rFonts w:asciiTheme="minorHAnsi" w:eastAsiaTheme="minorEastAsia" w:hAnsiTheme="minorHAnsi" w:cstheme="minorBidi"/>
          <w:i w:val="0"/>
        </w:rPr>
      </w:pPr>
      <w:hyperlink w:anchor="_Toc488066091" w:history="1">
        <w:r w:rsidR="00C253F7" w:rsidRPr="00D111E9">
          <w:rPr>
            <w:rStyle w:val="Hyperlink"/>
          </w:rPr>
          <w:t>7.2. Evaluarea progresului în implementarea PRAI</w:t>
        </w:r>
        <w:r w:rsidR="00C253F7">
          <w:rPr>
            <w:webHidden/>
          </w:rPr>
          <w:tab/>
        </w:r>
        <w:r w:rsidR="001A7DD5">
          <w:rPr>
            <w:webHidden/>
          </w:rPr>
          <w:fldChar w:fldCharType="begin"/>
        </w:r>
        <w:r w:rsidR="00C253F7">
          <w:rPr>
            <w:webHidden/>
          </w:rPr>
          <w:instrText xml:space="preserve"> PAGEREF _Toc488066091 \h </w:instrText>
        </w:r>
        <w:r w:rsidR="001A7DD5">
          <w:rPr>
            <w:webHidden/>
          </w:rPr>
        </w:r>
        <w:r w:rsidR="001A7DD5">
          <w:rPr>
            <w:webHidden/>
          </w:rPr>
          <w:fldChar w:fldCharType="separate"/>
        </w:r>
        <w:r w:rsidR="00C253F7">
          <w:rPr>
            <w:webHidden/>
          </w:rPr>
          <w:t>98</w:t>
        </w:r>
        <w:r w:rsidR="001A7DD5">
          <w:rPr>
            <w:webHidden/>
          </w:rPr>
          <w:fldChar w:fldCharType="end"/>
        </w:r>
      </w:hyperlink>
    </w:p>
    <w:p w:rsidR="00C253F7" w:rsidRDefault="00DC3D41">
      <w:pPr>
        <w:pStyle w:val="TOC1"/>
        <w:rPr>
          <w:rFonts w:asciiTheme="minorHAnsi" w:eastAsiaTheme="minorEastAsia" w:hAnsiTheme="minorHAnsi" w:cstheme="minorBidi"/>
          <w:b w:val="0"/>
        </w:rPr>
      </w:pPr>
      <w:hyperlink w:anchor="_Toc488066092" w:history="1">
        <w:r w:rsidR="00C253F7" w:rsidRPr="00D111E9">
          <w:rPr>
            <w:rStyle w:val="Hyperlink"/>
          </w:rPr>
          <w:t>8. Analiza SWOT a corelării ofertei de formare profesională cu cererea</w:t>
        </w:r>
        <w:r w:rsidR="00C253F7">
          <w:rPr>
            <w:webHidden/>
          </w:rPr>
          <w:tab/>
        </w:r>
        <w:r w:rsidR="001A7DD5">
          <w:rPr>
            <w:webHidden/>
          </w:rPr>
          <w:fldChar w:fldCharType="begin"/>
        </w:r>
        <w:r w:rsidR="00C253F7">
          <w:rPr>
            <w:webHidden/>
          </w:rPr>
          <w:instrText xml:space="preserve"> PAGEREF _Toc488066092 \h </w:instrText>
        </w:r>
        <w:r w:rsidR="001A7DD5">
          <w:rPr>
            <w:webHidden/>
          </w:rPr>
        </w:r>
        <w:r w:rsidR="001A7DD5">
          <w:rPr>
            <w:webHidden/>
          </w:rPr>
          <w:fldChar w:fldCharType="separate"/>
        </w:r>
        <w:r w:rsidR="00C253F7">
          <w:rPr>
            <w:webHidden/>
          </w:rPr>
          <w:t>99</w:t>
        </w:r>
        <w:r w:rsidR="001A7DD5">
          <w:rPr>
            <w:webHidden/>
          </w:rPr>
          <w:fldChar w:fldCharType="end"/>
        </w:r>
      </w:hyperlink>
    </w:p>
    <w:p w:rsidR="00C253F7" w:rsidRDefault="00DC3D41">
      <w:pPr>
        <w:pStyle w:val="TOC1"/>
        <w:rPr>
          <w:rFonts w:asciiTheme="minorHAnsi" w:eastAsiaTheme="minorEastAsia" w:hAnsiTheme="minorHAnsi" w:cstheme="minorBidi"/>
          <w:b w:val="0"/>
        </w:rPr>
      </w:pPr>
      <w:hyperlink w:anchor="_Toc488066093" w:history="1">
        <w:r w:rsidR="00C253F7" w:rsidRPr="00D111E9">
          <w:rPr>
            <w:rStyle w:val="Hyperlink"/>
          </w:rPr>
          <w:t>9. Rezumatul principalelor concluzii şi recomandări pentru planul de măsuri</w:t>
        </w:r>
        <w:r w:rsidR="00C253F7">
          <w:rPr>
            <w:webHidden/>
          </w:rPr>
          <w:tab/>
        </w:r>
        <w:r w:rsidR="001A7DD5">
          <w:rPr>
            <w:webHidden/>
          </w:rPr>
          <w:fldChar w:fldCharType="begin"/>
        </w:r>
        <w:r w:rsidR="00C253F7">
          <w:rPr>
            <w:webHidden/>
          </w:rPr>
          <w:instrText xml:space="preserve"> PAGEREF _Toc488066093 \h </w:instrText>
        </w:r>
        <w:r w:rsidR="001A7DD5">
          <w:rPr>
            <w:webHidden/>
          </w:rPr>
        </w:r>
        <w:r w:rsidR="001A7DD5">
          <w:rPr>
            <w:webHidden/>
          </w:rPr>
          <w:fldChar w:fldCharType="separate"/>
        </w:r>
        <w:r w:rsidR="00C253F7">
          <w:rPr>
            <w:webHidden/>
          </w:rPr>
          <w:t>102</w:t>
        </w:r>
        <w:r w:rsidR="001A7DD5">
          <w:rPr>
            <w:webHidden/>
          </w:rPr>
          <w:fldChar w:fldCharType="end"/>
        </w:r>
      </w:hyperlink>
    </w:p>
    <w:p w:rsidR="00C253F7" w:rsidRDefault="00DC3D41">
      <w:pPr>
        <w:pStyle w:val="TOC1"/>
        <w:rPr>
          <w:rFonts w:asciiTheme="minorHAnsi" w:eastAsiaTheme="minorEastAsia" w:hAnsiTheme="minorHAnsi" w:cstheme="minorBidi"/>
          <w:b w:val="0"/>
        </w:rPr>
      </w:pPr>
      <w:hyperlink w:anchor="_Toc488066094" w:history="1">
        <w:r w:rsidR="00C253F7" w:rsidRPr="00D111E9">
          <w:rPr>
            <w:rStyle w:val="Hyperlink"/>
          </w:rPr>
          <w:t>10. Planul de măsuri</w:t>
        </w:r>
        <w:r w:rsidR="00C253F7">
          <w:rPr>
            <w:webHidden/>
          </w:rPr>
          <w:tab/>
        </w:r>
        <w:r w:rsidR="001A7DD5">
          <w:rPr>
            <w:webHidden/>
          </w:rPr>
          <w:fldChar w:fldCharType="begin"/>
        </w:r>
        <w:r w:rsidR="00C253F7">
          <w:rPr>
            <w:webHidden/>
          </w:rPr>
          <w:instrText xml:space="preserve"> PAGEREF _Toc488066094 \h </w:instrText>
        </w:r>
        <w:r w:rsidR="001A7DD5">
          <w:rPr>
            <w:webHidden/>
          </w:rPr>
        </w:r>
        <w:r w:rsidR="001A7DD5">
          <w:rPr>
            <w:webHidden/>
          </w:rPr>
          <w:fldChar w:fldCharType="separate"/>
        </w:r>
        <w:r w:rsidR="00C253F7">
          <w:rPr>
            <w:webHidden/>
          </w:rPr>
          <w:t>105</w:t>
        </w:r>
        <w:r w:rsidR="001A7DD5">
          <w:rPr>
            <w:webHidden/>
          </w:rPr>
          <w:fldChar w:fldCharType="end"/>
        </w:r>
      </w:hyperlink>
    </w:p>
    <w:p w:rsidR="00C253F7" w:rsidRDefault="00DC3D41">
      <w:pPr>
        <w:pStyle w:val="TOC1"/>
        <w:rPr>
          <w:rFonts w:asciiTheme="minorHAnsi" w:eastAsiaTheme="minorEastAsia" w:hAnsiTheme="minorHAnsi" w:cstheme="minorBidi"/>
          <w:b w:val="0"/>
        </w:rPr>
      </w:pPr>
      <w:hyperlink w:anchor="_Toc488066095" w:history="1">
        <w:r w:rsidR="00C253F7" w:rsidRPr="00D111E9">
          <w:rPr>
            <w:rStyle w:val="Hyperlink"/>
          </w:rPr>
          <w:t>11. Contribuţia învăţământului superior la dezvoltarea regională</w:t>
        </w:r>
        <w:r w:rsidR="00C253F7">
          <w:rPr>
            <w:webHidden/>
          </w:rPr>
          <w:tab/>
        </w:r>
        <w:r w:rsidR="001A7DD5">
          <w:rPr>
            <w:webHidden/>
          </w:rPr>
          <w:fldChar w:fldCharType="begin"/>
        </w:r>
        <w:r w:rsidR="00C253F7">
          <w:rPr>
            <w:webHidden/>
          </w:rPr>
          <w:instrText xml:space="preserve"> PAGEREF _Toc488066095 \h </w:instrText>
        </w:r>
        <w:r w:rsidR="001A7DD5">
          <w:rPr>
            <w:webHidden/>
          </w:rPr>
        </w:r>
        <w:r w:rsidR="001A7DD5">
          <w:rPr>
            <w:webHidden/>
          </w:rPr>
          <w:fldChar w:fldCharType="separate"/>
        </w:r>
        <w:r w:rsidR="00C253F7">
          <w:rPr>
            <w:webHidden/>
          </w:rPr>
          <w:t>110</w:t>
        </w:r>
        <w:r w:rsidR="001A7DD5">
          <w:rPr>
            <w:webHidden/>
          </w:rPr>
          <w:fldChar w:fldCharType="end"/>
        </w:r>
      </w:hyperlink>
    </w:p>
    <w:p w:rsidR="00272CA6" w:rsidRDefault="001A7DD5" w:rsidP="000C6A67">
      <w:pPr>
        <w:pStyle w:val="Heading1"/>
        <w:spacing w:before="0" w:line="240" w:lineRule="auto"/>
        <w:rPr>
          <w:rFonts w:ascii="Arial" w:hAnsi="Arial" w:cs="Arial"/>
          <w:b w:val="0"/>
          <w:sz w:val="22"/>
          <w:szCs w:val="22"/>
        </w:rPr>
      </w:pPr>
      <w:r w:rsidRPr="00526832">
        <w:rPr>
          <w:rFonts w:ascii="Arial" w:hAnsi="Arial" w:cs="Arial"/>
          <w:b w:val="0"/>
          <w:sz w:val="22"/>
          <w:szCs w:val="22"/>
        </w:rPr>
        <w:lastRenderedPageBreak/>
        <w:fldChar w:fldCharType="end"/>
      </w:r>
    </w:p>
    <w:p w:rsidR="00DD5F85" w:rsidRPr="00DD5F85" w:rsidRDefault="00F2266B" w:rsidP="000C6A67">
      <w:pPr>
        <w:pStyle w:val="Heading1"/>
        <w:spacing w:before="0" w:line="240" w:lineRule="auto"/>
        <w:jc w:val="center"/>
        <w:rPr>
          <w:rFonts w:ascii="Arial" w:hAnsi="Arial" w:cs="Arial"/>
          <w:color w:val="000000" w:themeColor="text1"/>
        </w:rPr>
      </w:pPr>
      <w:bookmarkStart w:id="0" w:name="_Toc488066002"/>
      <w:r w:rsidRPr="00DD5F85">
        <w:rPr>
          <w:rFonts w:ascii="Arial" w:hAnsi="Arial" w:cs="Arial"/>
          <w:color w:val="000000" w:themeColor="text1"/>
        </w:rPr>
        <w:t>Cuvânt înainte</w:t>
      </w:r>
      <w:bookmarkStart w:id="1" w:name="_Toc465489972"/>
      <w:bookmarkEnd w:id="0"/>
    </w:p>
    <w:p w:rsidR="00DD5F85" w:rsidRPr="00DD5F85" w:rsidRDefault="00DD5F85" w:rsidP="000C6A67">
      <w:pPr>
        <w:spacing w:after="0" w:line="240" w:lineRule="auto"/>
        <w:jc w:val="both"/>
        <w:rPr>
          <w:rFonts w:ascii="Arial" w:hAnsi="Arial" w:cs="Arial"/>
          <w:sz w:val="28"/>
          <w:szCs w:val="28"/>
        </w:rPr>
      </w:pPr>
    </w:p>
    <w:p w:rsidR="00DD5F85" w:rsidRPr="00DD5F85" w:rsidRDefault="00DD5F85" w:rsidP="000C6A67">
      <w:pPr>
        <w:spacing w:after="0" w:line="240" w:lineRule="auto"/>
        <w:jc w:val="both"/>
        <w:rPr>
          <w:rFonts w:ascii="Arial" w:hAnsi="Arial" w:cs="Arial"/>
          <w:sz w:val="24"/>
          <w:szCs w:val="24"/>
        </w:rPr>
      </w:pPr>
    </w:p>
    <w:p w:rsidR="00272CA6" w:rsidRPr="00401689" w:rsidRDefault="00CC697C" w:rsidP="005A44AF">
      <w:pPr>
        <w:pStyle w:val="Heading1"/>
        <w:spacing w:before="0" w:line="240" w:lineRule="auto"/>
        <w:jc w:val="both"/>
        <w:rPr>
          <w:rFonts w:ascii="Arial" w:hAnsi="Arial" w:cs="Arial"/>
          <w:color w:val="000000" w:themeColor="text1"/>
          <w:sz w:val="24"/>
          <w:szCs w:val="24"/>
        </w:rPr>
      </w:pPr>
      <w:bookmarkStart w:id="2" w:name="_Toc488066003"/>
      <w:r w:rsidRPr="00401689">
        <w:rPr>
          <w:rFonts w:ascii="Arial" w:hAnsi="Arial" w:cs="Arial"/>
          <w:color w:val="000000" w:themeColor="text1"/>
          <w:sz w:val="24"/>
          <w:szCs w:val="24"/>
        </w:rPr>
        <w:t>Președintele Consorțiului Regional Vest</w:t>
      </w:r>
      <w:r w:rsidR="00703734" w:rsidRPr="00401689">
        <w:rPr>
          <w:rFonts w:ascii="Arial" w:hAnsi="Arial" w:cs="Arial"/>
          <w:color w:val="000000" w:themeColor="text1"/>
          <w:sz w:val="24"/>
          <w:szCs w:val="24"/>
        </w:rPr>
        <w:t>, Nicolae GROȘAN</w:t>
      </w:r>
      <w:bookmarkEnd w:id="2"/>
      <w:r w:rsidR="00703734" w:rsidRPr="00401689">
        <w:rPr>
          <w:rFonts w:ascii="Arial" w:hAnsi="Arial" w:cs="Arial"/>
          <w:color w:val="000000" w:themeColor="text1"/>
          <w:sz w:val="24"/>
          <w:szCs w:val="24"/>
        </w:rPr>
        <w:t xml:space="preserve"> </w:t>
      </w:r>
    </w:p>
    <w:p w:rsidR="00703734" w:rsidRPr="00401689" w:rsidRDefault="00703734" w:rsidP="005A44AF">
      <w:pPr>
        <w:spacing w:after="0" w:line="240" w:lineRule="auto"/>
        <w:rPr>
          <w:rFonts w:ascii="Arial" w:hAnsi="Arial" w:cs="Arial"/>
          <w:sz w:val="24"/>
          <w:szCs w:val="24"/>
        </w:rPr>
      </w:pPr>
    </w:p>
    <w:p w:rsidR="00703734" w:rsidRPr="00401689" w:rsidRDefault="00703734" w:rsidP="005A44AF">
      <w:pPr>
        <w:spacing w:after="0" w:line="240" w:lineRule="auto"/>
        <w:jc w:val="both"/>
        <w:rPr>
          <w:rFonts w:ascii="Arial" w:hAnsi="Arial" w:cs="Arial"/>
          <w:sz w:val="24"/>
          <w:szCs w:val="24"/>
        </w:rPr>
      </w:pPr>
      <w:r w:rsidRPr="00401689">
        <w:rPr>
          <w:rFonts w:ascii="Arial" w:hAnsi="Arial" w:cs="Arial"/>
          <w:sz w:val="24"/>
          <w:szCs w:val="24"/>
        </w:rPr>
        <w:t>Consorțiul Regional Vest</w:t>
      </w:r>
      <w:r w:rsidRPr="00401689">
        <w:rPr>
          <w:rFonts w:ascii="Arial" w:hAnsi="Arial" w:cs="Arial"/>
          <w:b/>
          <w:color w:val="C00000"/>
          <w:sz w:val="24"/>
          <w:szCs w:val="24"/>
        </w:rPr>
        <w:t xml:space="preserve"> </w:t>
      </w:r>
      <w:r w:rsidRPr="00C253F7">
        <w:rPr>
          <w:rFonts w:ascii="Arial" w:hAnsi="Arial" w:cs="Arial"/>
          <w:b/>
          <w:sz w:val="24"/>
          <w:szCs w:val="24"/>
        </w:rPr>
        <w:t xml:space="preserve">a dezvoltat și pune la dispoziția celor interesați prezentul document, Planul Regional de </w:t>
      </w:r>
      <w:r w:rsidR="00E96C8F">
        <w:rPr>
          <w:rFonts w:ascii="Arial" w:hAnsi="Arial" w:cs="Arial"/>
          <w:b/>
          <w:sz w:val="24"/>
          <w:szCs w:val="24"/>
        </w:rPr>
        <w:t>A</w:t>
      </w:r>
      <w:r w:rsidRPr="00C253F7">
        <w:rPr>
          <w:rFonts w:ascii="Arial" w:hAnsi="Arial" w:cs="Arial"/>
          <w:b/>
          <w:sz w:val="24"/>
          <w:szCs w:val="24"/>
        </w:rPr>
        <w:t xml:space="preserve">cţiune pentru Învăţământ - PRAI Vest, drept un </w:t>
      </w:r>
      <w:r w:rsidRPr="00C253F7">
        <w:rPr>
          <w:rFonts w:ascii="Arial" w:hAnsi="Arial" w:cs="Arial"/>
          <w:sz w:val="24"/>
          <w:szCs w:val="24"/>
        </w:rPr>
        <w:t>suport pentru:</w:t>
      </w:r>
    </w:p>
    <w:p w:rsidR="00703734" w:rsidRPr="00401689" w:rsidRDefault="00703734" w:rsidP="005A44AF">
      <w:pPr>
        <w:numPr>
          <w:ilvl w:val="0"/>
          <w:numId w:val="34"/>
        </w:numPr>
        <w:spacing w:after="0" w:line="240" w:lineRule="auto"/>
        <w:jc w:val="both"/>
        <w:rPr>
          <w:rFonts w:ascii="Arial" w:hAnsi="Arial" w:cs="Arial"/>
          <w:sz w:val="24"/>
          <w:szCs w:val="24"/>
        </w:rPr>
      </w:pPr>
      <w:r w:rsidRPr="00401689">
        <w:rPr>
          <w:rFonts w:ascii="Arial" w:hAnsi="Arial" w:cs="Arial"/>
          <w:b/>
          <w:sz w:val="24"/>
          <w:szCs w:val="24"/>
        </w:rPr>
        <w:t xml:space="preserve">Inspectorate școlare județene,  CLDPS – Comitetul Local de Dezvoltare a Parteneriatului Social și alte structuri cu atribuții pentru politicile de formare profesională </w:t>
      </w:r>
      <w:r w:rsidRPr="00401689">
        <w:rPr>
          <w:rFonts w:ascii="Arial" w:hAnsi="Arial" w:cs="Arial"/>
          <w:sz w:val="24"/>
          <w:szCs w:val="24"/>
        </w:rPr>
        <w:t xml:space="preserve"> dezvoltate și implementate în județele regiunii prin documentul strategic PLAI – Planul Local de Acțiune pentru Învățământ </w:t>
      </w:r>
    </w:p>
    <w:p w:rsidR="00703734" w:rsidRPr="00401689" w:rsidRDefault="00703734" w:rsidP="005A44AF">
      <w:pPr>
        <w:numPr>
          <w:ilvl w:val="0"/>
          <w:numId w:val="34"/>
        </w:numPr>
        <w:spacing w:after="0" w:line="240" w:lineRule="auto"/>
        <w:jc w:val="both"/>
        <w:rPr>
          <w:rFonts w:ascii="Arial" w:hAnsi="Arial" w:cs="Arial"/>
          <w:sz w:val="24"/>
          <w:szCs w:val="24"/>
        </w:rPr>
      </w:pPr>
      <w:r w:rsidRPr="00401689">
        <w:rPr>
          <w:rFonts w:ascii="Arial" w:hAnsi="Arial" w:cs="Arial"/>
          <w:b/>
          <w:sz w:val="24"/>
          <w:szCs w:val="24"/>
        </w:rPr>
        <w:t>Autorități județene și regionale responsabile de implementarea politicilor de dezvoltare integrată a resurselor umane</w:t>
      </w:r>
    </w:p>
    <w:p w:rsidR="00703734" w:rsidRPr="00401689" w:rsidRDefault="00703734" w:rsidP="005A44AF">
      <w:pPr>
        <w:numPr>
          <w:ilvl w:val="0"/>
          <w:numId w:val="34"/>
        </w:numPr>
        <w:spacing w:after="0" w:line="240" w:lineRule="auto"/>
        <w:jc w:val="both"/>
        <w:rPr>
          <w:rFonts w:ascii="Arial" w:hAnsi="Arial" w:cs="Arial"/>
          <w:sz w:val="24"/>
          <w:szCs w:val="24"/>
        </w:rPr>
      </w:pPr>
      <w:r w:rsidRPr="00401689">
        <w:rPr>
          <w:rFonts w:ascii="Arial" w:hAnsi="Arial" w:cs="Arial"/>
          <w:b/>
          <w:sz w:val="24"/>
          <w:szCs w:val="24"/>
        </w:rPr>
        <w:t xml:space="preserve">Universităţi, </w:t>
      </w:r>
      <w:r w:rsidRPr="00401689">
        <w:rPr>
          <w:rFonts w:ascii="Arial" w:hAnsi="Arial" w:cs="Arial"/>
          <w:sz w:val="24"/>
          <w:szCs w:val="24"/>
        </w:rPr>
        <w:t>pentru cunoaşterea bazinului din care işi vor colecta viitorii studenţi. Astfel, universităţile își pot promova oferta informând viitorii candidaţi despre traseele de carieră și specializări oferite împreună cu expectanțele facultăților;</w:t>
      </w:r>
    </w:p>
    <w:p w:rsidR="00703734" w:rsidRPr="00401689" w:rsidRDefault="00703734" w:rsidP="005A44AF">
      <w:pPr>
        <w:numPr>
          <w:ilvl w:val="0"/>
          <w:numId w:val="34"/>
        </w:numPr>
        <w:spacing w:after="0" w:line="240" w:lineRule="auto"/>
        <w:jc w:val="both"/>
        <w:rPr>
          <w:rFonts w:ascii="Arial" w:hAnsi="Arial" w:cs="Arial"/>
          <w:sz w:val="24"/>
          <w:szCs w:val="24"/>
        </w:rPr>
      </w:pPr>
      <w:r w:rsidRPr="00401689">
        <w:rPr>
          <w:rFonts w:ascii="Arial" w:hAnsi="Arial" w:cs="Arial"/>
          <w:b/>
          <w:sz w:val="24"/>
          <w:szCs w:val="24"/>
        </w:rPr>
        <w:t>Autorităţile locale</w:t>
      </w:r>
      <w:r w:rsidRPr="00401689">
        <w:rPr>
          <w:rFonts w:ascii="Arial" w:hAnsi="Arial" w:cs="Arial"/>
          <w:sz w:val="24"/>
          <w:szCs w:val="24"/>
        </w:rPr>
        <w:t>, în sprijinul și fundamentarea deciziilor privind alocare de fonduri din bugetul local/judeţean pentru şcoli, în funcţie de performanţele acestora, inclusiv adecvarea ofertei cu cerinţele angajatorilor;</w:t>
      </w:r>
    </w:p>
    <w:p w:rsidR="00703734" w:rsidRPr="00401689" w:rsidRDefault="00703734" w:rsidP="005A44AF">
      <w:pPr>
        <w:numPr>
          <w:ilvl w:val="0"/>
          <w:numId w:val="34"/>
        </w:numPr>
        <w:spacing w:after="0" w:line="240" w:lineRule="auto"/>
        <w:jc w:val="both"/>
        <w:rPr>
          <w:rFonts w:ascii="Arial" w:hAnsi="Arial" w:cs="Arial"/>
          <w:sz w:val="24"/>
          <w:szCs w:val="24"/>
        </w:rPr>
      </w:pPr>
      <w:r w:rsidRPr="00401689">
        <w:rPr>
          <w:rFonts w:ascii="Arial" w:hAnsi="Arial" w:cs="Arial"/>
          <w:b/>
          <w:sz w:val="24"/>
          <w:szCs w:val="24"/>
        </w:rPr>
        <w:t xml:space="preserve">Agenţii economici, </w:t>
      </w:r>
      <w:r w:rsidRPr="00401689">
        <w:rPr>
          <w:rFonts w:ascii="Arial" w:hAnsi="Arial" w:cs="Arial"/>
          <w:sz w:val="24"/>
          <w:szCs w:val="24"/>
        </w:rPr>
        <w:t>în cunoaşterea nivelelor de pregătire şi a specializării viitorilor angajaţi precum și pentru fundamentarea cooperărilor școală-companie în timpul formării profesionale;</w:t>
      </w:r>
    </w:p>
    <w:p w:rsidR="00703734" w:rsidRPr="00401689" w:rsidRDefault="00703734" w:rsidP="005A44AF">
      <w:pPr>
        <w:spacing w:after="0" w:line="240" w:lineRule="auto"/>
        <w:ind w:left="180"/>
        <w:jc w:val="both"/>
        <w:rPr>
          <w:rFonts w:ascii="Arial" w:hAnsi="Arial" w:cs="Arial"/>
          <w:sz w:val="24"/>
          <w:szCs w:val="24"/>
        </w:rPr>
      </w:pPr>
      <w:r w:rsidRPr="00401689">
        <w:rPr>
          <w:rFonts w:ascii="Arial" w:hAnsi="Arial" w:cs="Arial"/>
          <w:sz w:val="24"/>
          <w:szCs w:val="24"/>
        </w:rPr>
        <w:t xml:space="preserve">Pe baza datelor statistice analizate, obținute din surse validate, PRAI oferă o imagine de ansamblu a </w:t>
      </w:r>
      <w:r w:rsidRPr="00401689">
        <w:rPr>
          <w:rFonts w:ascii="Arial" w:hAnsi="Arial" w:cs="Arial"/>
          <w:b/>
          <w:sz w:val="24"/>
          <w:szCs w:val="24"/>
        </w:rPr>
        <w:t>echilibrului dintre cerere și ofertă;</w:t>
      </w:r>
      <w:r w:rsidRPr="00401689">
        <w:rPr>
          <w:rFonts w:ascii="Arial" w:hAnsi="Arial" w:cs="Arial"/>
          <w:sz w:val="24"/>
          <w:szCs w:val="24"/>
        </w:rPr>
        <w:t xml:space="preserve"> </w:t>
      </w:r>
      <w:r w:rsidRPr="00401689">
        <w:rPr>
          <w:rFonts w:ascii="Arial" w:hAnsi="Arial" w:cs="Arial"/>
          <w:sz w:val="24"/>
          <w:szCs w:val="24"/>
          <w:u w:val="single"/>
        </w:rPr>
        <w:t>Cererea</w:t>
      </w:r>
      <w:r w:rsidRPr="00401689">
        <w:rPr>
          <w:rFonts w:ascii="Arial" w:hAnsi="Arial" w:cs="Arial"/>
          <w:sz w:val="24"/>
          <w:szCs w:val="24"/>
        </w:rPr>
        <w:t xml:space="preserve"> este descrisă prin capitole dedicate aspectelor Demografice, Economice, Piața muncii iar </w:t>
      </w:r>
      <w:r w:rsidRPr="00401689">
        <w:rPr>
          <w:rFonts w:ascii="Arial" w:hAnsi="Arial" w:cs="Arial"/>
          <w:sz w:val="24"/>
          <w:szCs w:val="24"/>
          <w:u w:val="single"/>
        </w:rPr>
        <w:t xml:space="preserve">oferta </w:t>
      </w:r>
      <w:r w:rsidRPr="00401689">
        <w:rPr>
          <w:rFonts w:ascii="Arial" w:hAnsi="Arial" w:cs="Arial"/>
          <w:sz w:val="24"/>
          <w:szCs w:val="24"/>
        </w:rPr>
        <w:t>este structurată pe indicatori relevan</w:t>
      </w:r>
      <w:r w:rsidR="00974B9A">
        <w:rPr>
          <w:rFonts w:ascii="Arial" w:hAnsi="Arial" w:cs="Arial"/>
          <w:sz w:val="24"/>
          <w:szCs w:val="24"/>
        </w:rPr>
        <w:t>ț</w:t>
      </w:r>
      <w:r w:rsidRPr="00401689">
        <w:rPr>
          <w:rFonts w:ascii="Arial" w:hAnsi="Arial" w:cs="Arial"/>
          <w:sz w:val="24"/>
          <w:szCs w:val="24"/>
        </w:rPr>
        <w:t xml:space="preserve">i privind sistemul de formare profesională – prin rutele de liceul tehnologic, școala profesională tradițională și duală, cu date privind starea actuală dar și evoluția în timp a acestor indicatori. </w:t>
      </w:r>
    </w:p>
    <w:p w:rsidR="00703734" w:rsidRPr="00401689" w:rsidRDefault="00703734" w:rsidP="005A44AF">
      <w:pPr>
        <w:spacing w:after="0" w:line="240" w:lineRule="auto"/>
        <w:ind w:left="180"/>
        <w:jc w:val="both"/>
        <w:rPr>
          <w:rFonts w:ascii="Arial" w:hAnsi="Arial" w:cs="Arial"/>
          <w:sz w:val="24"/>
          <w:szCs w:val="24"/>
        </w:rPr>
      </w:pPr>
      <w:r w:rsidRPr="005A44AF">
        <w:rPr>
          <w:rFonts w:ascii="Arial" w:hAnsi="Arial" w:cs="Arial"/>
          <w:b/>
          <w:sz w:val="24"/>
          <w:szCs w:val="24"/>
        </w:rPr>
        <w:t>Setul de obiective și acțiuni</w:t>
      </w:r>
      <w:r w:rsidRPr="00401689">
        <w:rPr>
          <w:rFonts w:ascii="Arial" w:hAnsi="Arial" w:cs="Arial"/>
          <w:sz w:val="24"/>
          <w:szCs w:val="24"/>
        </w:rPr>
        <w:t xml:space="preserve"> sunt generate din analiza realizată, țin</w:t>
      </w:r>
      <w:r w:rsidR="00974B9A">
        <w:rPr>
          <w:rFonts w:ascii="Arial" w:hAnsi="Arial" w:cs="Arial"/>
          <w:sz w:val="24"/>
          <w:szCs w:val="24"/>
        </w:rPr>
        <w:t>â</w:t>
      </w:r>
      <w:r w:rsidRPr="00401689">
        <w:rPr>
          <w:rFonts w:ascii="Arial" w:hAnsi="Arial" w:cs="Arial"/>
          <w:sz w:val="24"/>
          <w:szCs w:val="24"/>
        </w:rPr>
        <w:t>nd cont și de reursele existente și cele ce vor fi atrase pentru atingerea obiectivelor vizate.</w:t>
      </w:r>
    </w:p>
    <w:p w:rsidR="00703734" w:rsidRPr="00401689" w:rsidRDefault="00703734" w:rsidP="005A44AF">
      <w:pPr>
        <w:pStyle w:val="BodyTextIndent2"/>
        <w:spacing w:after="0" w:line="240" w:lineRule="auto"/>
        <w:ind w:left="180"/>
        <w:jc w:val="both"/>
        <w:rPr>
          <w:rFonts w:ascii="Arial" w:hAnsi="Arial" w:cs="Arial"/>
          <w:sz w:val="24"/>
          <w:szCs w:val="24"/>
        </w:rPr>
      </w:pPr>
      <w:r w:rsidRPr="005A44AF">
        <w:rPr>
          <w:rFonts w:ascii="Arial" w:hAnsi="Arial" w:cs="Arial"/>
          <w:b/>
          <w:sz w:val="24"/>
          <w:szCs w:val="24"/>
        </w:rPr>
        <w:t>Planul de acțiuni</w:t>
      </w:r>
      <w:r w:rsidRPr="00401689">
        <w:rPr>
          <w:rFonts w:ascii="Arial" w:hAnsi="Arial" w:cs="Arial"/>
          <w:sz w:val="24"/>
          <w:szCs w:val="24"/>
        </w:rPr>
        <w:t xml:space="preserve"> adoptat și asum</w:t>
      </w:r>
      <w:r w:rsidR="005D381D">
        <w:rPr>
          <w:rFonts w:ascii="Arial" w:hAnsi="Arial" w:cs="Arial"/>
          <w:sz w:val="24"/>
          <w:szCs w:val="24"/>
        </w:rPr>
        <w:t>at</w:t>
      </w:r>
      <w:r w:rsidRPr="00401689">
        <w:rPr>
          <w:rFonts w:ascii="Arial" w:hAnsi="Arial" w:cs="Arial"/>
          <w:sz w:val="24"/>
          <w:szCs w:val="24"/>
        </w:rPr>
        <w:t xml:space="preserve"> de către Consorțiul Regional este un document care va fi completat și actualizat de către acest parteneriat responsabil, de fiecare dată c</w:t>
      </w:r>
      <w:r w:rsidR="005D381D">
        <w:rPr>
          <w:rFonts w:ascii="Arial" w:hAnsi="Arial" w:cs="Arial"/>
          <w:sz w:val="24"/>
          <w:szCs w:val="24"/>
        </w:rPr>
        <w:t>â</w:t>
      </w:r>
      <w:r w:rsidRPr="00401689">
        <w:rPr>
          <w:rFonts w:ascii="Arial" w:hAnsi="Arial" w:cs="Arial"/>
          <w:sz w:val="24"/>
          <w:szCs w:val="24"/>
        </w:rPr>
        <w:t xml:space="preserve">nd contextul în continuă schimbare o va cere. </w:t>
      </w:r>
    </w:p>
    <w:p w:rsidR="00703734" w:rsidRPr="00401689" w:rsidRDefault="00703734" w:rsidP="005A44AF">
      <w:pPr>
        <w:pStyle w:val="BodyTextIndent2"/>
        <w:spacing w:after="0" w:line="240" w:lineRule="auto"/>
        <w:jc w:val="both"/>
        <w:rPr>
          <w:rFonts w:ascii="Arial" w:hAnsi="Arial" w:cs="Arial"/>
          <w:sz w:val="24"/>
          <w:szCs w:val="24"/>
        </w:rPr>
      </w:pPr>
      <w:r w:rsidRPr="005A44AF">
        <w:rPr>
          <w:rFonts w:ascii="Arial" w:hAnsi="Arial" w:cs="Arial"/>
          <w:b/>
          <w:sz w:val="24"/>
          <w:szCs w:val="24"/>
        </w:rPr>
        <w:t xml:space="preserve">Implementarea acțiunilor la nivel regional este </w:t>
      </w:r>
      <w:r w:rsidR="004D2EDB" w:rsidRPr="005A44AF">
        <w:rPr>
          <w:rFonts w:ascii="Arial" w:hAnsi="Arial" w:cs="Arial"/>
          <w:b/>
          <w:sz w:val="24"/>
          <w:szCs w:val="24"/>
        </w:rPr>
        <w:t>monitorizată,</w:t>
      </w:r>
      <w:r w:rsidR="004D2EDB">
        <w:rPr>
          <w:rFonts w:ascii="Arial" w:hAnsi="Arial" w:cs="Arial"/>
          <w:sz w:val="24"/>
          <w:szCs w:val="24"/>
        </w:rPr>
        <w:t xml:space="preserve"> dar nivelul județ</w:t>
      </w:r>
      <w:r w:rsidRPr="00401689">
        <w:rPr>
          <w:rFonts w:ascii="Arial" w:hAnsi="Arial" w:cs="Arial"/>
          <w:sz w:val="24"/>
          <w:szCs w:val="24"/>
        </w:rPr>
        <w:t>ean rămâne deosebit de relevant pentru mai multe tipuri de intervenții, având în vedere competențele definite la nivel de județ pentru problematica IPT (responsabilități și putere de decizi</w:t>
      </w:r>
      <w:r w:rsidR="004D2EDB">
        <w:rPr>
          <w:rFonts w:ascii="Arial" w:hAnsi="Arial" w:cs="Arial"/>
          <w:sz w:val="24"/>
          <w:szCs w:val="24"/>
        </w:rPr>
        <w:t>e</w:t>
      </w:r>
      <w:r w:rsidRPr="00401689">
        <w:rPr>
          <w:rFonts w:ascii="Arial" w:hAnsi="Arial" w:cs="Arial"/>
          <w:sz w:val="24"/>
          <w:szCs w:val="24"/>
        </w:rPr>
        <w:t xml:space="preserve"> la nivel de inspectorate școlare, consilii județene și locale). Astfel procesul de monito</w:t>
      </w:r>
      <w:r w:rsidR="005A44AF">
        <w:rPr>
          <w:rFonts w:ascii="Arial" w:hAnsi="Arial" w:cs="Arial"/>
          <w:sz w:val="24"/>
          <w:szCs w:val="24"/>
        </w:rPr>
        <w:t>r</w:t>
      </w:r>
      <w:r w:rsidRPr="00401689">
        <w:rPr>
          <w:rFonts w:ascii="Arial" w:hAnsi="Arial" w:cs="Arial"/>
          <w:sz w:val="24"/>
          <w:szCs w:val="24"/>
        </w:rPr>
        <w:t xml:space="preserve">izare asigură inclusiv armonizarea implementării la cele două nivele, județen și regional, cel din urmă nivel fiind cel mai adecvat pentru designul </w:t>
      </w:r>
      <w:r w:rsidR="00DA6B90">
        <w:rPr>
          <w:rFonts w:ascii="Arial" w:hAnsi="Arial" w:cs="Arial"/>
          <w:sz w:val="24"/>
          <w:szCs w:val="24"/>
        </w:rPr>
        <w:t>ș</w:t>
      </w:r>
      <w:r w:rsidRPr="00401689">
        <w:rPr>
          <w:rFonts w:ascii="Arial" w:hAnsi="Arial" w:cs="Arial"/>
          <w:sz w:val="24"/>
          <w:szCs w:val="24"/>
        </w:rPr>
        <w:t xml:space="preserve">i punerea în practică a politicilor de resurse umane, de piața muncii. </w:t>
      </w:r>
    </w:p>
    <w:p w:rsidR="00703734" w:rsidRDefault="00703734" w:rsidP="005A44AF">
      <w:pPr>
        <w:pStyle w:val="BodyTextIndent2"/>
        <w:spacing w:after="0" w:line="240" w:lineRule="auto"/>
        <w:jc w:val="both"/>
        <w:rPr>
          <w:rFonts w:ascii="Arial" w:hAnsi="Arial" w:cs="Arial"/>
          <w:b/>
          <w:bCs/>
          <w:sz w:val="24"/>
          <w:szCs w:val="24"/>
        </w:rPr>
      </w:pPr>
      <w:r w:rsidRPr="005A44AF">
        <w:rPr>
          <w:rFonts w:ascii="Arial" w:hAnsi="Arial" w:cs="Arial"/>
          <w:b/>
          <w:bCs/>
          <w:sz w:val="24"/>
          <w:szCs w:val="24"/>
        </w:rPr>
        <w:t xml:space="preserve">MULȚUMIM TUTUROR PARTENERILOR pentru participarea activă la dezbateri pe tema corelării ofertei educaţionale cu cererea pieţei muncii, și pentru recomandările,  propunerile de acţiuni pentru îmbunătăţirea pregătirii profesionale ale elevilor și tinerilor din regiune. </w:t>
      </w:r>
    </w:p>
    <w:p w:rsidR="005A44AF" w:rsidRDefault="005A44AF" w:rsidP="005A44AF">
      <w:pPr>
        <w:tabs>
          <w:tab w:val="left" w:pos="9540"/>
        </w:tabs>
        <w:spacing w:after="0" w:line="240" w:lineRule="auto"/>
        <w:jc w:val="both"/>
        <w:rPr>
          <w:rFonts w:ascii="Arial" w:hAnsi="Arial" w:cs="Arial"/>
          <w:b/>
          <w:i/>
          <w:sz w:val="24"/>
          <w:szCs w:val="24"/>
        </w:rPr>
      </w:pPr>
      <w:r>
        <w:rPr>
          <w:rFonts w:ascii="Arial" w:hAnsi="Arial" w:cs="Arial"/>
          <w:b/>
          <w:i/>
          <w:sz w:val="24"/>
          <w:szCs w:val="24"/>
        </w:rPr>
        <w:tab/>
      </w:r>
    </w:p>
    <w:p w:rsidR="005A44AF" w:rsidRPr="005A44AF" w:rsidRDefault="005A44AF" w:rsidP="005A44AF">
      <w:pPr>
        <w:tabs>
          <w:tab w:val="left" w:pos="9540"/>
        </w:tabs>
        <w:spacing w:after="0" w:line="240" w:lineRule="auto"/>
        <w:jc w:val="both"/>
        <w:rPr>
          <w:rFonts w:ascii="Arial" w:hAnsi="Arial" w:cs="Arial"/>
          <w:sz w:val="24"/>
          <w:szCs w:val="24"/>
        </w:rPr>
      </w:pPr>
      <w:r w:rsidRPr="005A44AF">
        <w:rPr>
          <w:rFonts w:ascii="Arial" w:hAnsi="Arial" w:cs="Arial"/>
          <w:b/>
          <w:sz w:val="24"/>
          <w:szCs w:val="24"/>
        </w:rPr>
        <w:lastRenderedPageBreak/>
        <w:t>Planificarea strategică</w:t>
      </w:r>
      <w:r w:rsidRPr="005A44AF">
        <w:rPr>
          <w:b/>
        </w:rPr>
        <w:footnoteReference w:id="1"/>
      </w:r>
      <w:r w:rsidRPr="005A44AF">
        <w:rPr>
          <w:rFonts w:ascii="Arial" w:hAnsi="Arial" w:cs="Arial"/>
          <w:b/>
          <w:sz w:val="24"/>
          <w:szCs w:val="24"/>
        </w:rPr>
        <w:t xml:space="preserve"> a ofertei de formare profesională prin învăţământ profesional şi tehnic</w:t>
      </w:r>
      <w:r w:rsidRPr="005A44AF">
        <w:rPr>
          <w:rFonts w:ascii="Arial" w:hAnsi="Arial" w:cs="Arial"/>
          <w:sz w:val="24"/>
          <w:szCs w:val="24"/>
        </w:rPr>
        <w:t xml:space="preserve"> (IPT) are caracter naţional şi este realizată în raport cu obiectivele asumate de România ca stat membru al Uniunii Europene. </w:t>
      </w:r>
    </w:p>
    <w:p w:rsidR="005A44AF" w:rsidRPr="005A44AF" w:rsidRDefault="005A44AF" w:rsidP="005A44AF">
      <w:pPr>
        <w:tabs>
          <w:tab w:val="left" w:pos="9540"/>
        </w:tabs>
        <w:spacing w:after="0" w:line="240" w:lineRule="auto"/>
        <w:jc w:val="both"/>
        <w:rPr>
          <w:rFonts w:ascii="Arial" w:hAnsi="Arial" w:cs="Arial"/>
          <w:sz w:val="24"/>
          <w:szCs w:val="24"/>
        </w:rPr>
      </w:pPr>
      <w:r w:rsidRPr="005A44AF">
        <w:rPr>
          <w:rFonts w:ascii="Arial" w:hAnsi="Arial" w:cs="Arial"/>
          <w:b/>
          <w:sz w:val="24"/>
          <w:szCs w:val="24"/>
        </w:rPr>
        <w:t>Obiectivul major al planificării strategice a IPT</w:t>
      </w:r>
      <w:r w:rsidRPr="005A44AF">
        <w:rPr>
          <w:rFonts w:ascii="Arial" w:hAnsi="Arial" w:cs="Arial"/>
          <w:sz w:val="24"/>
          <w:szCs w:val="24"/>
        </w:rPr>
        <w:t xml:space="preserve"> constă în creşterea contribuţiei învăţământului profesional şi tehnic la tranziţia rapidă şi eficientă către o economie competitivă bazată pe inovare şi cunoaştere, participativă şi inclusivă.</w:t>
      </w:r>
    </w:p>
    <w:p w:rsidR="005A44AF" w:rsidRPr="005A44AF" w:rsidRDefault="005A44AF" w:rsidP="005A44AF">
      <w:pPr>
        <w:tabs>
          <w:tab w:val="left" w:pos="9540"/>
        </w:tabs>
        <w:spacing w:after="0" w:line="240" w:lineRule="auto"/>
        <w:jc w:val="both"/>
        <w:rPr>
          <w:rFonts w:ascii="Arial" w:hAnsi="Arial" w:cs="Arial"/>
          <w:sz w:val="24"/>
          <w:szCs w:val="24"/>
        </w:rPr>
      </w:pPr>
      <w:r w:rsidRPr="005A44AF">
        <w:rPr>
          <w:rFonts w:ascii="Arial" w:hAnsi="Arial" w:cs="Arial"/>
          <w:sz w:val="24"/>
          <w:szCs w:val="24"/>
        </w:rPr>
        <w:t>Învăţământul profesional şi tehnic, prin obiectivele sale, este subsumat dublului rol al educaţiei: economic şi social. Prin urmare IPT nu se poate rezuma, în sens restrâns, la satisfacerea cerinţelor imediate ale unui loc de muncă, el trebuie să asigure pregătirea pentru dezvoltarea unei cariere de succes care presupune integrare socio – profesională, inclusiv în plan antreprenorial, și/sau continuarea studiilor. În aceste condiţii învăţământul profesional şi tehnic trebuie să asigure absolvenților șansa ocupării unui loc de muncă, văzută ca o etapă, imediată sau ulterioară, în procesul învăţării pe parcursul întregii vieţi, care include și  învăţarea la locul de muncă în vederea adaptării la cerinţele acestuia.</w:t>
      </w:r>
    </w:p>
    <w:p w:rsidR="005A44AF" w:rsidRPr="005A44AF" w:rsidRDefault="005A44AF" w:rsidP="005A44AF">
      <w:pPr>
        <w:tabs>
          <w:tab w:val="left" w:pos="9540"/>
        </w:tabs>
        <w:spacing w:after="0" w:line="240" w:lineRule="auto"/>
        <w:jc w:val="both"/>
        <w:rPr>
          <w:rFonts w:ascii="Arial" w:hAnsi="Arial" w:cs="Arial"/>
          <w:b/>
          <w:sz w:val="24"/>
          <w:szCs w:val="24"/>
        </w:rPr>
      </w:pPr>
      <w:r w:rsidRPr="005A44AF">
        <w:rPr>
          <w:rFonts w:ascii="Arial" w:hAnsi="Arial" w:cs="Arial"/>
          <w:b/>
          <w:sz w:val="24"/>
          <w:szCs w:val="24"/>
        </w:rPr>
        <w:t>Iată de ce prognoza ofertei IPT realizată în corelare cu o cerere previzionată a forţei de muncă şi tranziţia de la şcoală la viaţa activă devin elemente strategice pentru  o planificare performantă.</w:t>
      </w:r>
    </w:p>
    <w:p w:rsidR="005A44AF" w:rsidRPr="005A44AF" w:rsidRDefault="005A44AF" w:rsidP="005A44AF">
      <w:pPr>
        <w:spacing w:after="0" w:line="240" w:lineRule="auto"/>
        <w:jc w:val="both"/>
        <w:rPr>
          <w:rFonts w:ascii="Arial" w:hAnsi="Arial" w:cs="Arial"/>
          <w:sz w:val="24"/>
          <w:szCs w:val="24"/>
        </w:rPr>
      </w:pPr>
      <w:r w:rsidRPr="005A44AF">
        <w:rPr>
          <w:rFonts w:ascii="Arial" w:hAnsi="Arial" w:cs="Arial"/>
          <w:sz w:val="24"/>
          <w:szCs w:val="24"/>
        </w:rPr>
        <w:t xml:space="preserve">Modelul propus şi implementat începând cu anul 2003 urmăreşte asigurarea unei oferte de formare profesională prin IPT </w:t>
      </w:r>
      <w:r w:rsidRPr="005A44AF">
        <w:rPr>
          <w:rFonts w:ascii="Arial" w:hAnsi="Arial" w:cs="Arial"/>
          <w:b/>
          <w:bCs/>
          <w:sz w:val="24"/>
          <w:szCs w:val="24"/>
        </w:rPr>
        <w:t>relevantă</w:t>
      </w:r>
      <w:r w:rsidRPr="005A44AF">
        <w:rPr>
          <w:rFonts w:ascii="Arial" w:hAnsi="Arial" w:cs="Arial"/>
          <w:sz w:val="24"/>
          <w:szCs w:val="24"/>
        </w:rPr>
        <w:t xml:space="preserve">  în raport cu nevoile previzionate ale pieţei muncii. </w:t>
      </w:r>
    </w:p>
    <w:p w:rsidR="005A44AF" w:rsidRPr="005A44AF" w:rsidRDefault="005A44AF" w:rsidP="005A44AF">
      <w:pPr>
        <w:spacing w:after="0" w:line="240" w:lineRule="auto"/>
        <w:jc w:val="both"/>
        <w:rPr>
          <w:rFonts w:ascii="Arial" w:hAnsi="Arial" w:cs="Arial"/>
          <w:sz w:val="24"/>
          <w:szCs w:val="24"/>
        </w:rPr>
      </w:pPr>
      <w:r w:rsidRPr="005A44AF">
        <w:rPr>
          <w:rFonts w:ascii="Arial" w:hAnsi="Arial" w:cs="Arial"/>
          <w:sz w:val="24"/>
          <w:szCs w:val="24"/>
        </w:rPr>
        <w:t>Relevanţa ofertei de formare profesională se referă atât la aspectul cantitativ (deficitul de competenţe şi calificări de pe piaţa muncii) cât şi la aspectul calitativ ( teritorialitatea ofertei şi calitatea rezultatelor învăţării)</w:t>
      </w:r>
    </w:p>
    <w:p w:rsidR="005A44AF" w:rsidRPr="005A44AF" w:rsidRDefault="005A44AF" w:rsidP="005A44AF">
      <w:pPr>
        <w:spacing w:after="0" w:line="240" w:lineRule="auto"/>
        <w:jc w:val="both"/>
        <w:rPr>
          <w:rFonts w:ascii="Arial" w:hAnsi="Arial" w:cs="Arial"/>
          <w:b/>
          <w:sz w:val="24"/>
          <w:szCs w:val="24"/>
        </w:rPr>
      </w:pPr>
      <w:r w:rsidRPr="005A44AF">
        <w:rPr>
          <w:rFonts w:ascii="Arial" w:hAnsi="Arial" w:cs="Arial"/>
          <w:b/>
          <w:sz w:val="24"/>
          <w:szCs w:val="24"/>
        </w:rPr>
        <w:t xml:space="preserve">Modelul de planificare strategică  se caracterizează prin: </w:t>
      </w:r>
    </w:p>
    <w:p w:rsidR="005A44AF" w:rsidRPr="005A44AF" w:rsidRDefault="005A44AF" w:rsidP="005A44AF">
      <w:pPr>
        <w:numPr>
          <w:ilvl w:val="0"/>
          <w:numId w:val="43"/>
        </w:numPr>
        <w:spacing w:after="0" w:line="240" w:lineRule="auto"/>
        <w:jc w:val="both"/>
        <w:rPr>
          <w:rFonts w:ascii="Arial" w:hAnsi="Arial" w:cs="Arial"/>
          <w:sz w:val="24"/>
          <w:szCs w:val="24"/>
        </w:rPr>
      </w:pPr>
      <w:r w:rsidRPr="005A44AF">
        <w:rPr>
          <w:rFonts w:ascii="Arial" w:hAnsi="Arial" w:cs="Arial"/>
          <w:sz w:val="24"/>
          <w:szCs w:val="24"/>
        </w:rPr>
        <w:t xml:space="preserve">descentralizarea deciziei şi distribuirea acesteia pe mai multe niveluri decizionale, respectiv naţional, regional, judeţean şi local </w:t>
      </w:r>
    </w:p>
    <w:p w:rsidR="005A44AF" w:rsidRPr="005A44AF" w:rsidRDefault="005A44AF" w:rsidP="005A44AF">
      <w:pPr>
        <w:numPr>
          <w:ilvl w:val="0"/>
          <w:numId w:val="43"/>
        </w:numPr>
        <w:spacing w:after="0" w:line="240" w:lineRule="auto"/>
        <w:jc w:val="both"/>
        <w:rPr>
          <w:rFonts w:ascii="Arial" w:hAnsi="Arial" w:cs="Arial"/>
          <w:sz w:val="24"/>
          <w:szCs w:val="24"/>
        </w:rPr>
      </w:pPr>
      <w:r w:rsidRPr="005A44AF">
        <w:rPr>
          <w:rFonts w:ascii="Arial" w:hAnsi="Arial" w:cs="Arial"/>
          <w:sz w:val="24"/>
          <w:szCs w:val="24"/>
        </w:rPr>
        <w:t>realizarea exerciţiului participativ bazat pe acţiunea colectivă a partenerilor economici şi sociali multipli (Consorţii regionale, Comitete Locale de Dezvoltare a Parteneriatului Social, Consilii de Administraţie al  unităţii de învăţământ)</w:t>
      </w:r>
    </w:p>
    <w:p w:rsidR="005A44AF" w:rsidRPr="005A44AF" w:rsidRDefault="005A44AF" w:rsidP="005A44AF">
      <w:pPr>
        <w:numPr>
          <w:ilvl w:val="0"/>
          <w:numId w:val="43"/>
        </w:numPr>
        <w:spacing w:after="0" w:line="240" w:lineRule="auto"/>
        <w:jc w:val="both"/>
        <w:rPr>
          <w:rFonts w:ascii="Arial" w:hAnsi="Arial" w:cs="Arial"/>
          <w:sz w:val="24"/>
          <w:szCs w:val="24"/>
        </w:rPr>
      </w:pPr>
      <w:r w:rsidRPr="005A44AF">
        <w:rPr>
          <w:rFonts w:ascii="Arial" w:hAnsi="Arial" w:cs="Arial"/>
          <w:sz w:val="24"/>
          <w:szCs w:val="24"/>
        </w:rPr>
        <w:t xml:space="preserve">combinarea fluxului decizional de sus în jos cu cel de jos în sus </w:t>
      </w:r>
    </w:p>
    <w:p w:rsidR="005A44AF" w:rsidRPr="005A44AF" w:rsidRDefault="005A44AF" w:rsidP="005A44AF">
      <w:pPr>
        <w:numPr>
          <w:ilvl w:val="0"/>
          <w:numId w:val="43"/>
        </w:numPr>
        <w:spacing w:after="0" w:line="240" w:lineRule="auto"/>
        <w:jc w:val="both"/>
        <w:rPr>
          <w:rFonts w:ascii="Arial" w:hAnsi="Arial" w:cs="Arial"/>
          <w:sz w:val="24"/>
          <w:szCs w:val="24"/>
        </w:rPr>
      </w:pPr>
      <w:r w:rsidRPr="005A44AF">
        <w:rPr>
          <w:rFonts w:ascii="Arial" w:hAnsi="Arial" w:cs="Arial"/>
          <w:sz w:val="24"/>
          <w:szCs w:val="24"/>
        </w:rPr>
        <w:t>elaborarea, implementarea şi monitorizarea instrumentelor de planificare strategică: Planul Regional de Acţiune pentru Învăţământ (PRAI) - nivel regional ; Planul Local de Acţiune pentru Învăţământ (PLAI) - nivel judeţean; Planul de Acţiune al Şcolii (PAS) - nivelul comunităţii din aria de acţiune a şcolii</w:t>
      </w:r>
    </w:p>
    <w:p w:rsidR="005A44AF" w:rsidRPr="005A44AF" w:rsidRDefault="005A44AF" w:rsidP="00703734">
      <w:pPr>
        <w:pStyle w:val="BodyTextIndent2"/>
        <w:spacing w:after="0" w:line="360" w:lineRule="auto"/>
        <w:jc w:val="both"/>
        <w:rPr>
          <w:rFonts w:ascii="Arial" w:hAnsi="Arial" w:cs="Arial"/>
          <w:b/>
          <w:sz w:val="24"/>
          <w:szCs w:val="24"/>
        </w:rPr>
      </w:pPr>
    </w:p>
    <w:p w:rsidR="00703734" w:rsidRDefault="00703734" w:rsidP="00703734"/>
    <w:p w:rsidR="001A346C" w:rsidRPr="00DD5F85" w:rsidRDefault="00F2266B" w:rsidP="000C6A67">
      <w:pPr>
        <w:pStyle w:val="Heading1"/>
        <w:spacing w:before="0" w:line="240" w:lineRule="auto"/>
        <w:jc w:val="center"/>
        <w:rPr>
          <w:rFonts w:ascii="Arial" w:hAnsi="Arial" w:cs="Arial"/>
          <w:color w:val="000000" w:themeColor="text1"/>
        </w:rPr>
      </w:pPr>
      <w:bookmarkStart w:id="3" w:name="_Toc488066004"/>
      <w:r w:rsidRPr="00CD5572">
        <w:rPr>
          <w:rFonts w:ascii="Arial" w:hAnsi="Arial" w:cs="Arial"/>
          <w:color w:val="000000" w:themeColor="text1"/>
        </w:rPr>
        <w:t>1. Rezumat</w:t>
      </w:r>
      <w:bookmarkEnd w:id="1"/>
      <w:bookmarkEnd w:id="3"/>
    </w:p>
    <w:p w:rsidR="00DD5F85" w:rsidRPr="00DD5F85" w:rsidRDefault="00DD5F85" w:rsidP="000C6A67">
      <w:pPr>
        <w:spacing w:after="0" w:line="240" w:lineRule="auto"/>
        <w:jc w:val="both"/>
        <w:rPr>
          <w:rFonts w:ascii="Arial" w:hAnsi="Arial" w:cs="Arial"/>
          <w:sz w:val="28"/>
          <w:szCs w:val="28"/>
        </w:rPr>
      </w:pPr>
    </w:p>
    <w:p w:rsidR="00EB54A1" w:rsidRDefault="00EB54A1" w:rsidP="00EB54A1">
      <w:pPr>
        <w:pStyle w:val="TOC3"/>
        <w:spacing w:after="0" w:line="240" w:lineRule="auto"/>
        <w:rPr>
          <w:rFonts w:asciiTheme="minorHAnsi" w:eastAsiaTheme="minorEastAsia" w:hAnsiTheme="minorHAnsi" w:cstheme="minorBidi"/>
          <w:sz w:val="22"/>
          <w:lang w:eastAsia="ro-RO"/>
        </w:rPr>
      </w:pPr>
    </w:p>
    <w:p w:rsidR="005A44AF" w:rsidRDefault="005A44AF" w:rsidP="005A44AF">
      <w:pPr>
        <w:spacing w:after="0" w:line="240" w:lineRule="auto"/>
        <w:jc w:val="both"/>
        <w:rPr>
          <w:rFonts w:ascii="Arial" w:hAnsi="Arial" w:cs="Arial"/>
          <w:sz w:val="24"/>
          <w:szCs w:val="24"/>
        </w:rPr>
      </w:pPr>
      <w:r w:rsidRPr="005A44AF">
        <w:rPr>
          <w:rFonts w:ascii="Arial" w:hAnsi="Arial" w:cs="Arial"/>
          <w:bCs/>
          <w:sz w:val="24"/>
          <w:szCs w:val="24"/>
        </w:rPr>
        <w:t>Scopul Planului Regional de Acţiune pentru Învăţământ (PRAI)</w:t>
      </w:r>
      <w:r w:rsidRPr="005A44AF">
        <w:rPr>
          <w:rFonts w:ascii="Arial" w:hAnsi="Arial" w:cs="Arial"/>
          <w:sz w:val="24"/>
          <w:szCs w:val="24"/>
        </w:rPr>
        <w:t xml:space="preserve"> este de a îmbunătăţi corelarea dintre oferta învăţământului profesional şi tehnic şi nevoile de dezvoltare socio-economică la nivel regional şi de a creşte contribuţia învăţământului superior la dezvoltarea regională, în perspectiva anului 2025.  </w:t>
      </w:r>
    </w:p>
    <w:p w:rsidR="005A44AF" w:rsidRPr="005A44AF" w:rsidRDefault="005A44AF" w:rsidP="005A44AF">
      <w:pPr>
        <w:spacing w:after="0" w:line="240" w:lineRule="auto"/>
        <w:jc w:val="both"/>
        <w:rPr>
          <w:rFonts w:ascii="Arial" w:hAnsi="Arial" w:cs="Arial"/>
          <w:sz w:val="24"/>
          <w:szCs w:val="24"/>
        </w:rPr>
      </w:pPr>
      <w:r w:rsidRPr="005A44AF">
        <w:rPr>
          <w:rFonts w:ascii="Arial" w:hAnsi="Arial" w:cs="Arial"/>
          <w:b/>
          <w:i/>
          <w:sz w:val="24"/>
          <w:szCs w:val="24"/>
        </w:rPr>
        <w:t>PRAI</w:t>
      </w:r>
      <w:r w:rsidRPr="005A44AF">
        <w:rPr>
          <w:rFonts w:ascii="Arial" w:hAnsi="Arial" w:cs="Arial"/>
          <w:sz w:val="24"/>
          <w:szCs w:val="24"/>
        </w:rPr>
        <w:t xml:space="preserve"> cuprinde:</w:t>
      </w:r>
    </w:p>
    <w:p w:rsidR="005A44AF" w:rsidRPr="005A44AF" w:rsidRDefault="005A44AF" w:rsidP="005A44AF">
      <w:pPr>
        <w:numPr>
          <w:ilvl w:val="0"/>
          <w:numId w:val="44"/>
        </w:numPr>
        <w:spacing w:after="0" w:line="240" w:lineRule="auto"/>
        <w:jc w:val="both"/>
        <w:rPr>
          <w:rFonts w:ascii="Arial" w:hAnsi="Arial" w:cs="Arial"/>
          <w:sz w:val="24"/>
          <w:szCs w:val="24"/>
        </w:rPr>
      </w:pPr>
      <w:r w:rsidRPr="005A44AF">
        <w:rPr>
          <w:rFonts w:ascii="Arial" w:hAnsi="Arial" w:cs="Arial"/>
          <w:sz w:val="24"/>
          <w:szCs w:val="24"/>
        </w:rPr>
        <w:t>analiza contextului regional din punct de vedere al evoluţiilor şi previziunilor demografice, de piaţă a muncii şi economice;</w:t>
      </w:r>
    </w:p>
    <w:p w:rsidR="005A44AF" w:rsidRPr="005A44AF" w:rsidRDefault="005A44AF" w:rsidP="005A44AF">
      <w:pPr>
        <w:numPr>
          <w:ilvl w:val="0"/>
          <w:numId w:val="44"/>
        </w:numPr>
        <w:spacing w:after="0" w:line="240" w:lineRule="auto"/>
        <w:jc w:val="both"/>
        <w:rPr>
          <w:rFonts w:ascii="Arial" w:hAnsi="Arial" w:cs="Arial"/>
          <w:sz w:val="24"/>
          <w:szCs w:val="24"/>
        </w:rPr>
      </w:pPr>
      <w:r w:rsidRPr="005A44AF">
        <w:rPr>
          <w:rFonts w:ascii="Arial" w:hAnsi="Arial" w:cs="Arial"/>
          <w:sz w:val="24"/>
          <w:szCs w:val="24"/>
        </w:rPr>
        <w:lastRenderedPageBreak/>
        <w:t>analiza capacităţii sistemului învăţământului profesional şi tehnic de a răspunde nevoilor identificate prin analiza contextului regional;</w:t>
      </w:r>
    </w:p>
    <w:p w:rsidR="005A44AF" w:rsidRPr="005A44AF" w:rsidRDefault="005A44AF" w:rsidP="005A44AF">
      <w:pPr>
        <w:numPr>
          <w:ilvl w:val="0"/>
          <w:numId w:val="44"/>
        </w:numPr>
        <w:spacing w:after="0" w:line="240" w:lineRule="auto"/>
        <w:jc w:val="both"/>
        <w:rPr>
          <w:rFonts w:ascii="Arial" w:hAnsi="Arial" w:cs="Arial"/>
          <w:sz w:val="24"/>
          <w:szCs w:val="24"/>
        </w:rPr>
      </w:pPr>
      <w:r w:rsidRPr="005A44AF">
        <w:rPr>
          <w:rFonts w:ascii="Arial" w:hAnsi="Arial" w:cs="Arial"/>
          <w:sz w:val="24"/>
          <w:szCs w:val="24"/>
        </w:rPr>
        <w:t>priorităţile, ţintele şi acţiunile pentru dezvoltarea învăţământului profesional şi tehnic la nivel regional ca răspuns la nevoile identificate;</w:t>
      </w:r>
    </w:p>
    <w:p w:rsidR="005A44AF" w:rsidRPr="005A44AF" w:rsidRDefault="005A44AF" w:rsidP="005A44AF">
      <w:pPr>
        <w:numPr>
          <w:ilvl w:val="0"/>
          <w:numId w:val="44"/>
        </w:numPr>
        <w:spacing w:after="0" w:line="240" w:lineRule="auto"/>
        <w:jc w:val="both"/>
        <w:rPr>
          <w:rFonts w:ascii="Arial" w:hAnsi="Arial" w:cs="Arial"/>
          <w:sz w:val="24"/>
          <w:szCs w:val="24"/>
        </w:rPr>
      </w:pPr>
      <w:r w:rsidRPr="005A44AF">
        <w:rPr>
          <w:rFonts w:ascii="Arial" w:hAnsi="Arial" w:cs="Arial"/>
          <w:sz w:val="24"/>
          <w:szCs w:val="24"/>
        </w:rPr>
        <w:t>contribuţia învăţământului superior la dezvoltarea regională.</w:t>
      </w:r>
    </w:p>
    <w:p w:rsidR="005A44AF" w:rsidRPr="005A44AF" w:rsidRDefault="005A44AF" w:rsidP="005A44AF">
      <w:pPr>
        <w:spacing w:after="0" w:line="240" w:lineRule="auto"/>
        <w:jc w:val="both"/>
        <w:rPr>
          <w:rFonts w:ascii="Arial" w:hAnsi="Arial" w:cs="Arial"/>
        </w:rPr>
      </w:pPr>
      <w:r w:rsidRPr="005A44AF">
        <w:rPr>
          <w:rFonts w:ascii="Arial" w:hAnsi="Arial" w:cs="Arial"/>
          <w:sz w:val="24"/>
          <w:szCs w:val="24"/>
        </w:rPr>
        <w:t>Rolul PRAI este de a furniza cadrul de referinţă şi de a facilita documentarea pentru elaborarea şi armonizarea documentelor strategice de la nivel judeţean şi local (PLAI, PAS)</w:t>
      </w:r>
      <w:bookmarkStart w:id="4" w:name="_GoBack"/>
      <w:bookmarkEnd w:id="4"/>
    </w:p>
    <w:p w:rsidR="00272CA6" w:rsidRDefault="00272CA6" w:rsidP="000C6A67">
      <w:pPr>
        <w:pStyle w:val="Heading1"/>
        <w:spacing w:before="0" w:line="240" w:lineRule="auto"/>
        <w:jc w:val="both"/>
        <w:rPr>
          <w:rFonts w:ascii="Arial" w:hAnsi="Arial" w:cs="Arial"/>
          <w:color w:val="000000" w:themeColor="text1"/>
          <w:lang w:eastAsia="ro-RO"/>
        </w:rPr>
      </w:pPr>
    </w:p>
    <w:p w:rsidR="00703734" w:rsidRDefault="00703734" w:rsidP="00985439">
      <w:pPr>
        <w:jc w:val="both"/>
        <w:rPr>
          <w:rFonts w:ascii="Arial" w:hAnsi="Arial" w:cs="Arial"/>
          <w:sz w:val="24"/>
          <w:szCs w:val="24"/>
          <w:lang w:eastAsia="ro-RO"/>
        </w:rPr>
      </w:pPr>
      <w:r w:rsidRPr="005A44AF">
        <w:rPr>
          <w:rFonts w:ascii="Arial" w:hAnsi="Arial" w:cs="Arial"/>
          <w:b/>
          <w:sz w:val="24"/>
          <w:szCs w:val="24"/>
          <w:lang w:eastAsia="ro-RO"/>
        </w:rPr>
        <w:t>Versiunea de față a documentului PRAI Vest,</w:t>
      </w:r>
      <w:r>
        <w:rPr>
          <w:rFonts w:ascii="Arial" w:hAnsi="Arial" w:cs="Arial"/>
          <w:sz w:val="24"/>
          <w:szCs w:val="24"/>
          <w:lang w:eastAsia="ro-RO"/>
        </w:rPr>
        <w:t xml:space="preserve"> a fost elaborat având drept reper strcutura adoptată la nivel național, pentru a asigura comparabilitatea datelor și a rezultatelor la nivel național, penmtru a permite monitorizarea progresului realizat în raport cu țintele asumate de România ca o contribuție la obiectivele europene. </w:t>
      </w:r>
    </w:p>
    <w:p w:rsidR="00703734" w:rsidRDefault="00703734" w:rsidP="00985439">
      <w:pPr>
        <w:jc w:val="both"/>
        <w:rPr>
          <w:rFonts w:ascii="Arial" w:hAnsi="Arial" w:cs="Arial"/>
          <w:sz w:val="24"/>
          <w:szCs w:val="24"/>
          <w:lang w:eastAsia="ro-RO"/>
        </w:rPr>
      </w:pPr>
      <w:r>
        <w:rPr>
          <w:rFonts w:ascii="Arial" w:hAnsi="Arial" w:cs="Arial"/>
          <w:sz w:val="24"/>
          <w:szCs w:val="24"/>
          <w:lang w:eastAsia="ro-RO"/>
        </w:rPr>
        <w:t xml:space="preserve">Astfel, </w:t>
      </w:r>
      <w:r w:rsidRPr="00703734">
        <w:rPr>
          <w:rFonts w:ascii="Arial" w:hAnsi="Arial" w:cs="Arial"/>
          <w:b/>
          <w:sz w:val="24"/>
          <w:szCs w:val="24"/>
          <w:lang w:eastAsia="ro-RO"/>
        </w:rPr>
        <w:t>Capitolul 2.</w:t>
      </w:r>
      <w:r w:rsidR="003704F7">
        <w:rPr>
          <w:rFonts w:ascii="Arial" w:hAnsi="Arial" w:cs="Arial"/>
          <w:b/>
          <w:sz w:val="24"/>
          <w:szCs w:val="24"/>
          <w:lang w:eastAsia="ro-RO"/>
        </w:rPr>
        <w:t xml:space="preserve"> </w:t>
      </w:r>
      <w:r w:rsidRPr="00703734">
        <w:rPr>
          <w:rFonts w:ascii="Arial" w:hAnsi="Arial" w:cs="Arial"/>
          <w:b/>
          <w:sz w:val="24"/>
          <w:szCs w:val="24"/>
          <w:lang w:eastAsia="ro-RO"/>
        </w:rPr>
        <w:t>Contextul european și național</w:t>
      </w:r>
      <w:r>
        <w:rPr>
          <w:rFonts w:ascii="Arial" w:hAnsi="Arial" w:cs="Arial"/>
          <w:sz w:val="24"/>
          <w:szCs w:val="24"/>
          <w:lang w:eastAsia="ro-RO"/>
        </w:rPr>
        <w:t xml:space="preserve"> oferă o sinteză a indicatorilor relevanți pentru ÎPT, indicatori asumați de Români</w:t>
      </w:r>
      <w:r w:rsidR="003704F7">
        <w:rPr>
          <w:rFonts w:ascii="Arial" w:hAnsi="Arial" w:cs="Arial"/>
          <w:sz w:val="24"/>
          <w:szCs w:val="24"/>
          <w:lang w:eastAsia="ro-RO"/>
        </w:rPr>
        <w:t>a</w:t>
      </w:r>
      <w:r>
        <w:rPr>
          <w:rFonts w:ascii="Arial" w:hAnsi="Arial" w:cs="Arial"/>
          <w:sz w:val="24"/>
          <w:szCs w:val="24"/>
          <w:lang w:eastAsia="ro-RO"/>
        </w:rPr>
        <w:t xml:space="preserve"> pentru următorul interval, cilcu de programare european. Sunt prezentate elemente ale analizei la nivel european, național și regional, pentru a permite ca setul de obiective și activități planificate la nivel regional să constituie o contribuție la realizarea indicatorilor de progres asumați la nivel național. Acest capitol permite totodată să realizăm analiza propriului sistem prin metoda b</w:t>
      </w:r>
      <w:r w:rsidR="003704F7">
        <w:rPr>
          <w:rFonts w:ascii="Arial" w:hAnsi="Arial" w:cs="Arial"/>
          <w:sz w:val="24"/>
          <w:szCs w:val="24"/>
          <w:lang w:eastAsia="ro-RO"/>
        </w:rPr>
        <w:t>enchmarking, având repere situa</w:t>
      </w:r>
      <w:r>
        <w:rPr>
          <w:rFonts w:ascii="Arial" w:hAnsi="Arial" w:cs="Arial"/>
          <w:sz w:val="24"/>
          <w:szCs w:val="24"/>
          <w:lang w:eastAsia="ro-RO"/>
        </w:rPr>
        <w:t>țiile și exemplele din statele membre ale UE, relevante pentru progresul asum</w:t>
      </w:r>
      <w:r w:rsidR="003704F7">
        <w:rPr>
          <w:rFonts w:ascii="Arial" w:hAnsi="Arial" w:cs="Arial"/>
          <w:sz w:val="24"/>
          <w:szCs w:val="24"/>
          <w:lang w:eastAsia="ro-RO"/>
        </w:rPr>
        <w:t>at</w:t>
      </w:r>
      <w:r>
        <w:rPr>
          <w:rFonts w:ascii="Arial" w:hAnsi="Arial" w:cs="Arial"/>
          <w:sz w:val="24"/>
          <w:szCs w:val="24"/>
          <w:lang w:eastAsia="ro-RO"/>
        </w:rPr>
        <w:t xml:space="preserve"> pentru următoarea perioadă. </w:t>
      </w:r>
    </w:p>
    <w:p w:rsidR="00703734" w:rsidRDefault="00703734" w:rsidP="00985439">
      <w:pPr>
        <w:jc w:val="both"/>
        <w:rPr>
          <w:rFonts w:ascii="Arial" w:hAnsi="Arial" w:cs="Arial"/>
          <w:sz w:val="24"/>
          <w:szCs w:val="24"/>
          <w:lang w:eastAsia="ro-RO"/>
        </w:rPr>
      </w:pPr>
      <w:r w:rsidRPr="00985439">
        <w:rPr>
          <w:rFonts w:ascii="Arial" w:hAnsi="Arial" w:cs="Arial"/>
          <w:b/>
          <w:sz w:val="24"/>
          <w:szCs w:val="24"/>
          <w:lang w:eastAsia="ro-RO"/>
        </w:rPr>
        <w:t>Capitol</w:t>
      </w:r>
      <w:r w:rsidR="003704F7">
        <w:rPr>
          <w:rFonts w:ascii="Arial" w:hAnsi="Arial" w:cs="Arial"/>
          <w:b/>
          <w:sz w:val="24"/>
          <w:szCs w:val="24"/>
          <w:lang w:eastAsia="ro-RO"/>
        </w:rPr>
        <w:t xml:space="preserve">elel 3. Aspecte demografice, </w:t>
      </w:r>
      <w:r w:rsidRPr="00985439">
        <w:rPr>
          <w:rFonts w:ascii="Arial" w:hAnsi="Arial" w:cs="Arial"/>
          <w:b/>
          <w:sz w:val="24"/>
          <w:szCs w:val="24"/>
          <w:lang w:eastAsia="ro-RO"/>
        </w:rPr>
        <w:t>4.</w:t>
      </w:r>
      <w:r w:rsidR="003704F7">
        <w:rPr>
          <w:rFonts w:ascii="Arial" w:hAnsi="Arial" w:cs="Arial"/>
          <w:b/>
          <w:sz w:val="24"/>
          <w:szCs w:val="24"/>
          <w:lang w:eastAsia="ro-RO"/>
        </w:rPr>
        <w:t xml:space="preserve"> Profilul economic regional </w:t>
      </w:r>
      <w:r w:rsidRPr="00985439">
        <w:rPr>
          <w:rFonts w:ascii="Arial" w:hAnsi="Arial" w:cs="Arial"/>
          <w:b/>
          <w:sz w:val="24"/>
          <w:szCs w:val="24"/>
          <w:lang w:eastAsia="ro-RO"/>
        </w:rPr>
        <w:t>ș</w:t>
      </w:r>
      <w:r w:rsidR="003704F7">
        <w:rPr>
          <w:rFonts w:ascii="Arial" w:hAnsi="Arial" w:cs="Arial"/>
          <w:b/>
          <w:sz w:val="24"/>
          <w:szCs w:val="24"/>
          <w:lang w:eastAsia="ro-RO"/>
        </w:rPr>
        <w:t xml:space="preserve">i 5. </w:t>
      </w:r>
      <w:r w:rsidR="00985439" w:rsidRPr="00985439">
        <w:rPr>
          <w:rFonts w:ascii="Arial" w:hAnsi="Arial" w:cs="Arial"/>
          <w:b/>
          <w:sz w:val="24"/>
          <w:szCs w:val="24"/>
          <w:lang w:eastAsia="ro-RO"/>
        </w:rPr>
        <w:t>Piața muncii la nivel regional</w:t>
      </w:r>
      <w:r w:rsidR="00985439">
        <w:rPr>
          <w:rFonts w:ascii="Arial" w:hAnsi="Arial" w:cs="Arial"/>
          <w:sz w:val="24"/>
          <w:szCs w:val="24"/>
          <w:lang w:eastAsia="ro-RO"/>
        </w:rPr>
        <w:t xml:space="preserve"> oferă o sinteză a celor mai importante elemente ale CERERII REGIONALE, nevoia actuală și cea prognozată de calificări. Concluziile obținute din interpretarea corelată a datelor specifice aferente acestor domenii pot constitui imaginea cererii actuale de forță de muncă la nivel regional. </w:t>
      </w:r>
    </w:p>
    <w:p w:rsidR="00985439" w:rsidRDefault="00985439" w:rsidP="00985439">
      <w:pPr>
        <w:jc w:val="both"/>
        <w:rPr>
          <w:rFonts w:ascii="Arial" w:hAnsi="Arial" w:cs="Arial"/>
          <w:sz w:val="24"/>
          <w:szCs w:val="24"/>
          <w:lang w:eastAsia="ro-RO"/>
        </w:rPr>
      </w:pPr>
      <w:r w:rsidRPr="00985439">
        <w:rPr>
          <w:rFonts w:ascii="Arial" w:hAnsi="Arial" w:cs="Arial"/>
          <w:b/>
          <w:sz w:val="24"/>
          <w:szCs w:val="24"/>
          <w:lang w:eastAsia="ro-RO"/>
        </w:rPr>
        <w:t>Capitolul</w:t>
      </w:r>
      <w:r>
        <w:rPr>
          <w:rFonts w:ascii="Arial" w:hAnsi="Arial" w:cs="Arial"/>
          <w:b/>
          <w:sz w:val="24"/>
          <w:szCs w:val="24"/>
          <w:lang w:eastAsia="ro-RO"/>
        </w:rPr>
        <w:t xml:space="preserve"> </w:t>
      </w:r>
      <w:r w:rsidRPr="00985439">
        <w:rPr>
          <w:rFonts w:ascii="Arial" w:hAnsi="Arial" w:cs="Arial"/>
          <w:b/>
          <w:sz w:val="24"/>
          <w:szCs w:val="24"/>
          <w:lang w:eastAsia="ro-RO"/>
        </w:rPr>
        <w:t xml:space="preserve">6. </w:t>
      </w:r>
      <w:r>
        <w:rPr>
          <w:rFonts w:ascii="Arial" w:hAnsi="Arial" w:cs="Arial"/>
          <w:sz w:val="24"/>
          <w:szCs w:val="24"/>
          <w:lang w:eastAsia="ro-RO"/>
        </w:rPr>
        <w:t>e</w:t>
      </w:r>
      <w:r w:rsidRPr="00985439">
        <w:rPr>
          <w:rFonts w:ascii="Arial" w:hAnsi="Arial" w:cs="Arial"/>
          <w:sz w:val="24"/>
          <w:szCs w:val="24"/>
          <w:lang w:eastAsia="ro-RO"/>
        </w:rPr>
        <w:t>ste destinat</w:t>
      </w:r>
      <w:r w:rsidRPr="00985439">
        <w:rPr>
          <w:rFonts w:ascii="Arial" w:hAnsi="Arial" w:cs="Arial"/>
          <w:b/>
          <w:sz w:val="24"/>
          <w:szCs w:val="24"/>
          <w:lang w:eastAsia="ro-RO"/>
        </w:rPr>
        <w:t xml:space="preserve"> Invățământului profesional și tehnic din regiune</w:t>
      </w:r>
      <w:r>
        <w:rPr>
          <w:rFonts w:ascii="Arial" w:hAnsi="Arial" w:cs="Arial"/>
          <w:sz w:val="24"/>
          <w:szCs w:val="24"/>
          <w:lang w:eastAsia="ro-RO"/>
        </w:rPr>
        <w:t>, și oferă imaginea actualizată a capacității existente de a oferi calificări pe nivelele reglementate, 3,4,</w:t>
      </w:r>
      <w:r w:rsidR="003704F7">
        <w:rPr>
          <w:rFonts w:ascii="Arial" w:hAnsi="Arial" w:cs="Arial"/>
          <w:sz w:val="24"/>
          <w:szCs w:val="24"/>
          <w:lang w:eastAsia="ro-RO"/>
        </w:rPr>
        <w:t xml:space="preserve"> </w:t>
      </w:r>
      <w:r>
        <w:rPr>
          <w:rFonts w:ascii="Arial" w:hAnsi="Arial" w:cs="Arial"/>
          <w:sz w:val="24"/>
          <w:szCs w:val="24"/>
          <w:lang w:eastAsia="ro-RO"/>
        </w:rPr>
        <w:t xml:space="preserve">și 5. Evoluția ofertei de IPT urmărită și documentată pentru ultimii 10 ani (pentru majoritatea indicatorilor relevanți) scoate în evidență o dramatică reducere a ofertei de calificări la nivel regional, atât în valoare absolută cât și în ceea ce privește raportul IPT și educație generală; descreșterea demografică a afectat în mod dezechilibrat oferta regională de IPT. Capacitatea existentă la nivelul unităților școlare cu </w:t>
      </w:r>
      <w:r w:rsidR="003704F7">
        <w:rPr>
          <w:rFonts w:ascii="Arial" w:hAnsi="Arial" w:cs="Arial"/>
          <w:sz w:val="24"/>
          <w:szCs w:val="24"/>
          <w:lang w:eastAsia="ro-RO"/>
        </w:rPr>
        <w:t>of</w:t>
      </w:r>
      <w:r>
        <w:rPr>
          <w:rFonts w:ascii="Arial" w:hAnsi="Arial" w:cs="Arial"/>
          <w:sz w:val="24"/>
          <w:szCs w:val="24"/>
          <w:lang w:eastAsia="ro-RO"/>
        </w:rPr>
        <w:t xml:space="preserve">ertă în IPT este analizată în raport cu cererea conturată în capitolele 3,4,5. </w:t>
      </w:r>
    </w:p>
    <w:p w:rsidR="00985439" w:rsidRDefault="00985439" w:rsidP="00985439">
      <w:pPr>
        <w:jc w:val="both"/>
        <w:rPr>
          <w:rFonts w:ascii="Arial" w:hAnsi="Arial" w:cs="Arial"/>
          <w:b/>
          <w:sz w:val="24"/>
          <w:szCs w:val="24"/>
          <w:lang w:eastAsia="ro-RO"/>
        </w:rPr>
      </w:pPr>
      <w:r>
        <w:rPr>
          <w:rFonts w:ascii="Arial" w:hAnsi="Arial" w:cs="Arial"/>
          <w:sz w:val="24"/>
          <w:szCs w:val="24"/>
          <w:lang w:eastAsia="ro-RO"/>
        </w:rPr>
        <w:t>Menționăm că analizele care sunt relevante la nivel regional este posibil ca s</w:t>
      </w:r>
      <w:r w:rsidR="00990915">
        <w:rPr>
          <w:rFonts w:ascii="Arial" w:hAnsi="Arial" w:cs="Arial"/>
          <w:sz w:val="24"/>
          <w:szCs w:val="24"/>
          <w:lang w:eastAsia="ro-RO"/>
        </w:rPr>
        <w:t>ă</w:t>
      </w:r>
      <w:r>
        <w:rPr>
          <w:rFonts w:ascii="Arial" w:hAnsi="Arial" w:cs="Arial"/>
          <w:sz w:val="24"/>
          <w:szCs w:val="24"/>
          <w:lang w:eastAsia="ro-RO"/>
        </w:rPr>
        <w:t xml:space="preserve"> fie dificil de transformat </w:t>
      </w:r>
      <w:r w:rsidR="00990915">
        <w:rPr>
          <w:rFonts w:ascii="Arial" w:hAnsi="Arial" w:cs="Arial"/>
          <w:sz w:val="24"/>
          <w:szCs w:val="24"/>
          <w:lang w:eastAsia="ro-RO"/>
        </w:rPr>
        <w:t>î</w:t>
      </w:r>
      <w:r>
        <w:rPr>
          <w:rFonts w:ascii="Arial" w:hAnsi="Arial" w:cs="Arial"/>
          <w:sz w:val="24"/>
          <w:szCs w:val="24"/>
          <w:lang w:eastAsia="ro-RO"/>
        </w:rPr>
        <w:t xml:space="preserve">n cerere cantitativă la nivel de județ, sau localitate, unități administrative teritoriale la nivelul cărora se definește oferta de școlarizare pentru unitățile IPT. Având în vedere constrângerile de ordin metodologic, compensate prin dialogul social </w:t>
      </w:r>
      <w:r w:rsidR="00401689">
        <w:rPr>
          <w:rFonts w:ascii="Arial" w:hAnsi="Arial" w:cs="Arial"/>
          <w:sz w:val="24"/>
          <w:szCs w:val="24"/>
          <w:lang w:eastAsia="ro-RO"/>
        </w:rPr>
        <w:t>structurat și desfășurat în cadrul Consorțiului Regional și apoi</w:t>
      </w:r>
      <w:r w:rsidR="00990915">
        <w:rPr>
          <w:rFonts w:ascii="Arial" w:hAnsi="Arial" w:cs="Arial"/>
          <w:sz w:val="24"/>
          <w:szCs w:val="24"/>
          <w:lang w:eastAsia="ro-RO"/>
        </w:rPr>
        <w:t>,</w:t>
      </w:r>
      <w:r w:rsidR="00401689">
        <w:rPr>
          <w:rFonts w:ascii="Arial" w:hAnsi="Arial" w:cs="Arial"/>
          <w:sz w:val="24"/>
          <w:szCs w:val="24"/>
          <w:lang w:eastAsia="ro-RO"/>
        </w:rPr>
        <w:t xml:space="preserve"> și la nivel de județe în CLDPS, PRAI oferă rezultatele analizelor prin </w:t>
      </w:r>
      <w:r w:rsidR="00401689" w:rsidRPr="00401689">
        <w:rPr>
          <w:rFonts w:ascii="Arial" w:hAnsi="Arial" w:cs="Arial"/>
          <w:b/>
          <w:sz w:val="24"/>
          <w:szCs w:val="24"/>
          <w:lang w:eastAsia="ro-RO"/>
        </w:rPr>
        <w:t>Capitolul 8. Analiza SWOT</w:t>
      </w:r>
      <w:r w:rsidR="00401689">
        <w:rPr>
          <w:rFonts w:ascii="Arial" w:hAnsi="Arial" w:cs="Arial"/>
          <w:sz w:val="24"/>
          <w:szCs w:val="24"/>
          <w:lang w:eastAsia="ro-RO"/>
        </w:rPr>
        <w:t xml:space="preserve"> a corelării ofertei de formare profesională cu cererea și capitolul </w:t>
      </w:r>
      <w:r w:rsidR="00401689" w:rsidRPr="00401689">
        <w:rPr>
          <w:rFonts w:ascii="Arial" w:hAnsi="Arial" w:cs="Arial"/>
          <w:b/>
          <w:sz w:val="24"/>
          <w:szCs w:val="24"/>
          <w:lang w:eastAsia="ro-RO"/>
        </w:rPr>
        <w:t>9. Rezumatul principalelor concluzii și recomandări pentru planul de măsuri</w:t>
      </w:r>
      <w:r w:rsidR="00401689">
        <w:rPr>
          <w:rFonts w:ascii="Arial" w:hAnsi="Arial" w:cs="Arial"/>
          <w:b/>
          <w:sz w:val="24"/>
          <w:szCs w:val="24"/>
          <w:lang w:eastAsia="ro-RO"/>
        </w:rPr>
        <w:t>.</w:t>
      </w:r>
    </w:p>
    <w:p w:rsidR="00401689" w:rsidRDefault="00401689" w:rsidP="00985439">
      <w:pPr>
        <w:jc w:val="both"/>
        <w:rPr>
          <w:rFonts w:ascii="Arial" w:hAnsi="Arial" w:cs="Arial"/>
          <w:b/>
          <w:sz w:val="24"/>
          <w:szCs w:val="24"/>
          <w:lang w:eastAsia="ro-RO"/>
        </w:rPr>
      </w:pPr>
      <w:r w:rsidRPr="00401689">
        <w:rPr>
          <w:rFonts w:ascii="Arial" w:hAnsi="Arial" w:cs="Arial"/>
          <w:sz w:val="24"/>
          <w:szCs w:val="24"/>
          <w:lang w:eastAsia="ro-RO"/>
        </w:rPr>
        <w:lastRenderedPageBreak/>
        <w:t>Pentru a pune în practică recomandările finale, acestea sunt dezvoltate sub forma unui</w:t>
      </w:r>
      <w:r>
        <w:rPr>
          <w:rFonts w:ascii="Arial" w:hAnsi="Arial" w:cs="Arial"/>
          <w:b/>
          <w:sz w:val="24"/>
          <w:szCs w:val="24"/>
          <w:lang w:eastAsia="ro-RO"/>
        </w:rPr>
        <w:t xml:space="preserve"> Plan de măsuri, Capitolul 10., </w:t>
      </w:r>
      <w:r w:rsidRPr="00401689">
        <w:rPr>
          <w:rFonts w:ascii="Arial" w:hAnsi="Arial" w:cs="Arial"/>
          <w:sz w:val="24"/>
          <w:szCs w:val="24"/>
          <w:lang w:eastAsia="ro-RO"/>
        </w:rPr>
        <w:t>structurat pe cinci domenii prioritare, cuprinz</w:t>
      </w:r>
      <w:r w:rsidR="00990915">
        <w:rPr>
          <w:rFonts w:ascii="Arial" w:hAnsi="Arial" w:cs="Arial"/>
          <w:sz w:val="24"/>
          <w:szCs w:val="24"/>
          <w:lang w:eastAsia="ro-RO"/>
        </w:rPr>
        <w:t>â</w:t>
      </w:r>
      <w:r w:rsidRPr="00401689">
        <w:rPr>
          <w:rFonts w:ascii="Arial" w:hAnsi="Arial" w:cs="Arial"/>
          <w:sz w:val="24"/>
          <w:szCs w:val="24"/>
          <w:lang w:eastAsia="ro-RO"/>
        </w:rPr>
        <w:t xml:space="preserve">nd acțiunile propuse, care vor fi operaționalizate fie la nivel regional </w:t>
      </w:r>
      <w:r w:rsidR="00990915">
        <w:rPr>
          <w:rFonts w:ascii="Arial" w:hAnsi="Arial" w:cs="Arial"/>
          <w:sz w:val="24"/>
          <w:szCs w:val="24"/>
          <w:lang w:eastAsia="ro-RO"/>
        </w:rPr>
        <w:t>f</w:t>
      </w:r>
      <w:r w:rsidRPr="00401689">
        <w:rPr>
          <w:rFonts w:ascii="Arial" w:hAnsi="Arial" w:cs="Arial"/>
          <w:sz w:val="24"/>
          <w:szCs w:val="24"/>
          <w:lang w:eastAsia="ro-RO"/>
        </w:rPr>
        <w:t>ie la nivel de județ.</w:t>
      </w:r>
      <w:r>
        <w:rPr>
          <w:rFonts w:ascii="Arial" w:hAnsi="Arial" w:cs="Arial"/>
          <w:b/>
          <w:sz w:val="24"/>
          <w:szCs w:val="24"/>
          <w:lang w:eastAsia="ro-RO"/>
        </w:rPr>
        <w:t xml:space="preserve"> </w:t>
      </w:r>
    </w:p>
    <w:p w:rsidR="00401689" w:rsidRDefault="00401689" w:rsidP="00985439">
      <w:pPr>
        <w:jc w:val="both"/>
        <w:rPr>
          <w:rFonts w:ascii="Arial" w:hAnsi="Arial" w:cs="Arial"/>
          <w:b/>
          <w:sz w:val="24"/>
          <w:szCs w:val="24"/>
          <w:lang w:eastAsia="ro-RO"/>
        </w:rPr>
      </w:pPr>
      <w:r>
        <w:rPr>
          <w:rFonts w:ascii="Arial" w:hAnsi="Arial" w:cs="Arial"/>
          <w:b/>
          <w:sz w:val="24"/>
          <w:szCs w:val="24"/>
          <w:lang w:eastAsia="ro-RO"/>
        </w:rPr>
        <w:t xml:space="preserve">PRAI cuprinde Capitolul 11. Constribuția Învățământului superior la dezvoltarea regională, </w:t>
      </w:r>
      <w:r w:rsidRPr="00401689">
        <w:rPr>
          <w:rFonts w:ascii="Arial" w:hAnsi="Arial" w:cs="Arial"/>
          <w:sz w:val="24"/>
          <w:szCs w:val="24"/>
          <w:lang w:eastAsia="ro-RO"/>
        </w:rPr>
        <w:t>în concordanță cu principiul asumat de abordare integrată a dezvoltării resurselor umane la nivel regional.</w:t>
      </w:r>
      <w:r>
        <w:rPr>
          <w:rFonts w:ascii="Arial" w:hAnsi="Arial" w:cs="Arial"/>
          <w:b/>
          <w:sz w:val="24"/>
          <w:szCs w:val="24"/>
          <w:lang w:eastAsia="ro-RO"/>
        </w:rPr>
        <w:t xml:space="preserve">  </w:t>
      </w:r>
    </w:p>
    <w:p w:rsidR="00401689" w:rsidRDefault="00C253F7" w:rsidP="00985439">
      <w:pPr>
        <w:jc w:val="both"/>
        <w:rPr>
          <w:rFonts w:ascii="Arial" w:hAnsi="Arial" w:cs="Arial"/>
          <w:sz w:val="24"/>
          <w:szCs w:val="24"/>
          <w:lang w:eastAsia="ro-RO"/>
        </w:rPr>
      </w:pPr>
      <w:r>
        <w:rPr>
          <w:rFonts w:ascii="Arial" w:hAnsi="Arial" w:cs="Arial"/>
          <w:sz w:val="24"/>
          <w:szCs w:val="24"/>
          <w:lang w:eastAsia="ro-RO"/>
        </w:rPr>
        <w:t xml:space="preserve">Documentul PRAI urmează să fie actualizat cu date noi conform metodologiei de reactualizare, și este </w:t>
      </w:r>
      <w:r w:rsidR="00822DEB">
        <w:rPr>
          <w:rFonts w:ascii="Arial" w:hAnsi="Arial" w:cs="Arial"/>
          <w:sz w:val="24"/>
          <w:szCs w:val="24"/>
          <w:lang w:eastAsia="ro-RO"/>
        </w:rPr>
        <w:t>of</w:t>
      </w:r>
      <w:r>
        <w:rPr>
          <w:rFonts w:ascii="Arial" w:hAnsi="Arial" w:cs="Arial"/>
          <w:sz w:val="24"/>
          <w:szCs w:val="24"/>
          <w:lang w:eastAsia="ro-RO"/>
        </w:rPr>
        <w:t xml:space="preserve">erit pentru a fi utilizat la nivelul județelor pentru dezvoltarea și implementarea PLAI – Planul Local de Acțiune pentru Învățământ. </w:t>
      </w:r>
    </w:p>
    <w:p w:rsidR="00C253F7" w:rsidRPr="00703734" w:rsidRDefault="00C253F7" w:rsidP="00985439">
      <w:pPr>
        <w:jc w:val="both"/>
        <w:rPr>
          <w:rFonts w:ascii="Arial" w:hAnsi="Arial" w:cs="Arial"/>
          <w:sz w:val="24"/>
          <w:szCs w:val="24"/>
          <w:lang w:eastAsia="ro-RO"/>
        </w:rPr>
        <w:sectPr w:rsidR="00C253F7" w:rsidRPr="00703734" w:rsidSect="00080628">
          <w:headerReference w:type="even" r:id="rId8"/>
          <w:headerReference w:type="default" r:id="rId9"/>
          <w:footerReference w:type="default" r:id="rId10"/>
          <w:pgSz w:w="11907" w:h="16840" w:code="9"/>
          <w:pgMar w:top="1134" w:right="1134" w:bottom="1134" w:left="1418" w:header="720" w:footer="720" w:gutter="0"/>
          <w:cols w:space="720"/>
          <w:docGrid w:linePitch="360"/>
        </w:sectPr>
      </w:pPr>
    </w:p>
    <w:p w:rsidR="001A346C" w:rsidRPr="00DD5F85" w:rsidRDefault="001A346C" w:rsidP="000C6A67">
      <w:pPr>
        <w:pStyle w:val="Heading1"/>
        <w:spacing w:before="0" w:line="240" w:lineRule="auto"/>
        <w:jc w:val="center"/>
        <w:rPr>
          <w:rFonts w:ascii="Arial" w:hAnsi="Arial" w:cs="Arial"/>
          <w:color w:val="000000" w:themeColor="text1"/>
          <w:lang w:eastAsia="ro-RO"/>
        </w:rPr>
      </w:pPr>
      <w:bookmarkStart w:id="5" w:name="_Toc488066005"/>
      <w:r w:rsidRPr="00DD5F85">
        <w:rPr>
          <w:rFonts w:ascii="Arial" w:hAnsi="Arial" w:cs="Arial"/>
          <w:color w:val="000000" w:themeColor="text1"/>
          <w:lang w:eastAsia="ro-RO"/>
        </w:rPr>
        <w:lastRenderedPageBreak/>
        <w:t>2. Contextul european, naţional şi regional</w:t>
      </w:r>
      <w:bookmarkEnd w:id="5"/>
    </w:p>
    <w:p w:rsidR="00DD5F85" w:rsidRDefault="00DD5F85" w:rsidP="000C6A67">
      <w:pPr>
        <w:spacing w:after="0" w:line="240" w:lineRule="auto"/>
        <w:jc w:val="both"/>
        <w:rPr>
          <w:rFonts w:ascii="Arial" w:hAnsi="Arial" w:cs="Arial"/>
          <w:sz w:val="28"/>
          <w:szCs w:val="28"/>
          <w:lang w:eastAsia="ro-RO"/>
        </w:rPr>
      </w:pPr>
    </w:p>
    <w:p w:rsidR="00DD5F85" w:rsidRPr="008E0724" w:rsidRDefault="004E134F" w:rsidP="00857D6E">
      <w:pPr>
        <w:pStyle w:val="Heading2"/>
        <w:spacing w:before="0" w:after="240" w:line="240" w:lineRule="auto"/>
        <w:jc w:val="both"/>
        <w:rPr>
          <w:rFonts w:ascii="Arial" w:hAnsi="Arial" w:cs="Arial"/>
          <w:color w:val="auto"/>
          <w:sz w:val="24"/>
          <w:szCs w:val="24"/>
          <w:lang w:eastAsia="ro-RO"/>
        </w:rPr>
      </w:pPr>
      <w:bookmarkStart w:id="6" w:name="_Toc488066006"/>
      <w:r w:rsidRPr="008E0724">
        <w:rPr>
          <w:rFonts w:ascii="Arial" w:hAnsi="Arial" w:cs="Arial"/>
          <w:color w:val="auto"/>
          <w:sz w:val="24"/>
          <w:szCs w:val="24"/>
          <w:lang w:eastAsia="ro-RO"/>
        </w:rPr>
        <w:t>2.1. Contextul european</w:t>
      </w:r>
      <w:bookmarkEnd w:id="6"/>
    </w:p>
    <w:p w:rsidR="00DD2534" w:rsidRPr="00E819BD" w:rsidRDefault="00DD2534" w:rsidP="00857D6E">
      <w:pPr>
        <w:pStyle w:val="Header"/>
        <w:tabs>
          <w:tab w:val="center" w:pos="709"/>
        </w:tabs>
        <w:jc w:val="both"/>
        <w:rPr>
          <w:rFonts w:ascii="Arial" w:hAnsi="Arial" w:cs="Arial"/>
          <w:b/>
          <w:bCs/>
          <w:sz w:val="24"/>
          <w:szCs w:val="24"/>
        </w:rPr>
      </w:pPr>
      <w:r w:rsidRPr="00AF7443">
        <w:rPr>
          <w:rFonts w:ascii="Arial" w:hAnsi="Arial" w:cs="Arial"/>
          <w:b/>
          <w:bCs/>
          <w:sz w:val="24"/>
          <w:szCs w:val="24"/>
        </w:rPr>
        <w:t>Educația și formarea profesională din România din perspectiva țintelor și indicatorilor derivați din Strategia Europa 2020:</w:t>
      </w:r>
    </w:p>
    <w:p w:rsidR="00DD2534" w:rsidRPr="00AF7443" w:rsidRDefault="00DD2534" w:rsidP="00857D6E">
      <w:pPr>
        <w:tabs>
          <w:tab w:val="left" w:pos="284"/>
        </w:tabs>
        <w:autoSpaceDE w:val="0"/>
        <w:autoSpaceDN w:val="0"/>
        <w:adjustRightInd w:val="0"/>
        <w:spacing w:after="0" w:line="240" w:lineRule="auto"/>
        <w:jc w:val="both"/>
        <w:rPr>
          <w:rFonts w:ascii="Arial" w:hAnsi="Arial" w:cs="Arial"/>
          <w:b/>
          <w:sz w:val="24"/>
          <w:szCs w:val="24"/>
        </w:rPr>
      </w:pPr>
      <w:r w:rsidRPr="00AF7443">
        <w:rPr>
          <w:rFonts w:ascii="Arial" w:hAnsi="Arial" w:cs="Arial"/>
          <w:b/>
          <w:sz w:val="24"/>
          <w:szCs w:val="24"/>
        </w:rPr>
        <w:t>1. Strategia Europa 2020 definește următoarele obiective principale pentru deceniul 2010-2020:</w:t>
      </w:r>
    </w:p>
    <w:p w:rsidR="00DD2534" w:rsidRPr="00AF7443" w:rsidRDefault="00DD2534" w:rsidP="00445724">
      <w:pPr>
        <w:numPr>
          <w:ilvl w:val="0"/>
          <w:numId w:val="16"/>
        </w:numPr>
        <w:autoSpaceDE w:val="0"/>
        <w:autoSpaceDN w:val="0"/>
        <w:adjustRightInd w:val="0"/>
        <w:spacing w:after="0" w:line="240" w:lineRule="auto"/>
        <w:ind w:left="851" w:hanging="284"/>
        <w:jc w:val="both"/>
        <w:rPr>
          <w:rFonts w:ascii="Arial" w:hAnsi="Arial" w:cs="Arial"/>
          <w:spacing w:val="-8"/>
          <w:sz w:val="24"/>
          <w:szCs w:val="24"/>
        </w:rPr>
      </w:pPr>
      <w:r w:rsidRPr="00AF7443">
        <w:rPr>
          <w:rFonts w:ascii="Arial" w:hAnsi="Arial" w:cs="Arial"/>
          <w:sz w:val="24"/>
          <w:szCs w:val="24"/>
        </w:rPr>
        <w:t>creşterea ratei de ocupare a populaţiei cu vârsta cuprinsă între 20 și 64 de ani la cel puțin</w:t>
      </w:r>
      <w:r w:rsidRPr="00AF7443">
        <w:rPr>
          <w:rFonts w:ascii="Arial" w:hAnsi="Arial" w:cs="Arial"/>
          <w:spacing w:val="-8"/>
          <w:sz w:val="24"/>
          <w:szCs w:val="24"/>
        </w:rPr>
        <w:t xml:space="preserve"> 75%</w:t>
      </w:r>
      <w:r w:rsidRPr="00AF7443">
        <w:rPr>
          <w:rStyle w:val="FootnoteReference"/>
          <w:rFonts w:ascii="Arial" w:hAnsi="Arial" w:cs="Arial"/>
          <w:spacing w:val="-8"/>
          <w:sz w:val="24"/>
          <w:szCs w:val="24"/>
        </w:rPr>
        <w:footnoteReference w:id="2"/>
      </w:r>
      <w:r w:rsidRPr="00AF7443">
        <w:rPr>
          <w:rFonts w:ascii="Arial" w:hAnsi="Arial" w:cs="Arial"/>
          <w:spacing w:val="-8"/>
          <w:sz w:val="24"/>
          <w:szCs w:val="24"/>
        </w:rPr>
        <w:t>;</w:t>
      </w:r>
    </w:p>
    <w:p w:rsidR="00DD2534" w:rsidRPr="00AF7443" w:rsidRDefault="00DD2534" w:rsidP="00445724">
      <w:pPr>
        <w:numPr>
          <w:ilvl w:val="0"/>
          <w:numId w:val="16"/>
        </w:numPr>
        <w:autoSpaceDE w:val="0"/>
        <w:autoSpaceDN w:val="0"/>
        <w:adjustRightInd w:val="0"/>
        <w:spacing w:after="0" w:line="240" w:lineRule="auto"/>
        <w:ind w:left="851" w:hanging="284"/>
        <w:jc w:val="both"/>
        <w:rPr>
          <w:rFonts w:ascii="Arial" w:hAnsi="Arial" w:cs="Arial"/>
          <w:sz w:val="24"/>
          <w:szCs w:val="24"/>
        </w:rPr>
      </w:pPr>
      <w:r w:rsidRPr="00AF7443">
        <w:rPr>
          <w:rFonts w:ascii="Arial" w:hAnsi="Arial" w:cs="Arial"/>
          <w:sz w:val="24"/>
          <w:szCs w:val="24"/>
        </w:rPr>
        <w:t>alocarea a 3% din PIB pentru cercetare-dezvoltare;</w:t>
      </w:r>
    </w:p>
    <w:p w:rsidR="00DD2534" w:rsidRPr="00AF7443" w:rsidRDefault="00DD2534" w:rsidP="00445724">
      <w:pPr>
        <w:numPr>
          <w:ilvl w:val="0"/>
          <w:numId w:val="16"/>
        </w:numPr>
        <w:autoSpaceDE w:val="0"/>
        <w:autoSpaceDN w:val="0"/>
        <w:adjustRightInd w:val="0"/>
        <w:spacing w:after="0" w:line="240" w:lineRule="auto"/>
        <w:ind w:left="851" w:hanging="284"/>
        <w:jc w:val="both"/>
        <w:rPr>
          <w:rFonts w:ascii="Arial" w:hAnsi="Arial" w:cs="Arial"/>
          <w:spacing w:val="-8"/>
          <w:sz w:val="24"/>
          <w:szCs w:val="24"/>
        </w:rPr>
      </w:pPr>
      <w:r w:rsidRPr="00AF7443">
        <w:rPr>
          <w:rFonts w:ascii="Arial" w:hAnsi="Arial" w:cs="Arial"/>
          <w:sz w:val="24"/>
          <w:szCs w:val="24"/>
        </w:rPr>
        <w:t xml:space="preserve">obiectivul “20/20/20”: reducerea cu 20% a emisiilor de gaze cu efect de seră sau cu 30%, dacă există condiții favorabile în acest sens, creşterea cu 20% a ponderii energiei regenerabile în consumul final de energie, creşterea cu 20% a eficienţei energetice, </w:t>
      </w:r>
      <w:r w:rsidRPr="00AF7443">
        <w:rPr>
          <w:rFonts w:ascii="Arial" w:hAnsi="Arial" w:cs="Arial"/>
          <w:spacing w:val="-8"/>
          <w:sz w:val="24"/>
          <w:szCs w:val="24"/>
        </w:rPr>
        <w:t>comparativ cu 1990;</w:t>
      </w:r>
    </w:p>
    <w:p w:rsidR="00DD2534" w:rsidRPr="00AF7443" w:rsidRDefault="00DD2534" w:rsidP="00445724">
      <w:pPr>
        <w:numPr>
          <w:ilvl w:val="0"/>
          <w:numId w:val="16"/>
        </w:numPr>
        <w:autoSpaceDE w:val="0"/>
        <w:autoSpaceDN w:val="0"/>
        <w:adjustRightInd w:val="0"/>
        <w:spacing w:after="0" w:line="240" w:lineRule="auto"/>
        <w:ind w:left="851" w:hanging="284"/>
        <w:jc w:val="both"/>
        <w:rPr>
          <w:rFonts w:ascii="Arial" w:hAnsi="Arial" w:cs="Arial"/>
          <w:sz w:val="24"/>
          <w:szCs w:val="24"/>
        </w:rPr>
      </w:pPr>
      <w:r w:rsidRPr="00AF7443">
        <w:rPr>
          <w:rFonts w:ascii="Arial" w:hAnsi="Arial" w:cs="Arial"/>
          <w:sz w:val="24"/>
          <w:szCs w:val="24"/>
        </w:rPr>
        <w:t>reducerea ratei părăsirii timpurii a școlii</w:t>
      </w:r>
      <w:r w:rsidRPr="00A766FD">
        <w:rPr>
          <w:rFonts w:ascii="Arial" w:hAnsi="Arial" w:cs="Arial"/>
          <w:sz w:val="24"/>
          <w:szCs w:val="24"/>
          <w:vertAlign w:val="superscript"/>
        </w:rPr>
        <w:footnoteReference w:id="3"/>
      </w:r>
      <w:r w:rsidRPr="00AF7443">
        <w:rPr>
          <w:rFonts w:ascii="Arial" w:hAnsi="Arial" w:cs="Arial"/>
          <w:sz w:val="24"/>
          <w:szCs w:val="24"/>
        </w:rPr>
        <w:t xml:space="preserve"> la maximum 10%</w:t>
      </w:r>
      <w:r w:rsidRPr="00A766FD">
        <w:rPr>
          <w:rFonts w:ascii="Arial" w:hAnsi="Arial" w:cs="Arial"/>
          <w:sz w:val="24"/>
          <w:szCs w:val="24"/>
          <w:vertAlign w:val="superscript"/>
        </w:rPr>
        <w:footnoteReference w:id="4"/>
      </w:r>
      <w:r w:rsidRPr="00AF7443">
        <w:rPr>
          <w:rFonts w:ascii="Arial" w:hAnsi="Arial" w:cs="Arial"/>
          <w:sz w:val="24"/>
          <w:szCs w:val="24"/>
        </w:rPr>
        <w:t xml:space="preserve"> și creșterea procentului persoanelor cu vârsta cuprinsă între 30 și 34 de ani cu studii de nivel terțiar la cel puțin 40%</w:t>
      </w:r>
      <w:r w:rsidRPr="00A766FD">
        <w:rPr>
          <w:rFonts w:ascii="Arial" w:hAnsi="Arial" w:cs="Arial"/>
          <w:sz w:val="24"/>
          <w:szCs w:val="24"/>
          <w:vertAlign w:val="superscript"/>
        </w:rPr>
        <w:footnoteReference w:id="5"/>
      </w:r>
      <w:r w:rsidRPr="00AF7443">
        <w:rPr>
          <w:rFonts w:ascii="Arial" w:hAnsi="Arial" w:cs="Arial"/>
          <w:sz w:val="24"/>
          <w:szCs w:val="24"/>
        </w:rPr>
        <w:t xml:space="preserve"> în 2020;</w:t>
      </w:r>
    </w:p>
    <w:p w:rsidR="00DD2534" w:rsidRPr="00AF7443" w:rsidRDefault="00DD2534" w:rsidP="00445724">
      <w:pPr>
        <w:numPr>
          <w:ilvl w:val="0"/>
          <w:numId w:val="16"/>
        </w:numPr>
        <w:autoSpaceDE w:val="0"/>
        <w:autoSpaceDN w:val="0"/>
        <w:adjustRightInd w:val="0"/>
        <w:spacing w:after="0" w:line="240" w:lineRule="auto"/>
        <w:ind w:left="851" w:hanging="284"/>
        <w:jc w:val="both"/>
        <w:rPr>
          <w:rFonts w:ascii="Arial" w:hAnsi="Arial" w:cs="Arial"/>
          <w:sz w:val="24"/>
          <w:szCs w:val="24"/>
        </w:rPr>
      </w:pPr>
      <w:r w:rsidRPr="00AF7443">
        <w:rPr>
          <w:rFonts w:ascii="Arial" w:hAnsi="Arial" w:cs="Arial"/>
          <w:sz w:val="24"/>
          <w:szCs w:val="24"/>
        </w:rPr>
        <w:t>reducerea la nivelul UE 28 a numărului de persoane în risc de sărăcie sau excluziune socială cu 20 de milioane de persoane până anul 2020 comparativ cu anul 2008</w:t>
      </w:r>
      <w:r w:rsidRPr="00AF7443">
        <w:rPr>
          <w:rStyle w:val="FootnoteReference"/>
          <w:rFonts w:ascii="Arial" w:hAnsi="Arial" w:cs="Arial"/>
          <w:sz w:val="24"/>
          <w:szCs w:val="24"/>
        </w:rPr>
        <w:footnoteReference w:id="6"/>
      </w:r>
      <w:r w:rsidRPr="00AF7443">
        <w:rPr>
          <w:rFonts w:ascii="Arial" w:hAnsi="Arial" w:cs="Arial"/>
          <w:sz w:val="24"/>
          <w:szCs w:val="24"/>
        </w:rPr>
        <w:t>.</w:t>
      </w:r>
    </w:p>
    <w:p w:rsidR="00DD2534" w:rsidRPr="00AF7443" w:rsidRDefault="00DD2534" w:rsidP="000C6A67">
      <w:pPr>
        <w:spacing w:after="0" w:line="240" w:lineRule="auto"/>
        <w:jc w:val="both"/>
        <w:rPr>
          <w:rFonts w:ascii="Arial" w:hAnsi="Arial" w:cs="Arial"/>
          <w:b/>
          <w:sz w:val="24"/>
          <w:szCs w:val="24"/>
        </w:rPr>
      </w:pPr>
      <w:r w:rsidRPr="00AF7443">
        <w:rPr>
          <w:rFonts w:ascii="Arial" w:hAnsi="Arial" w:cs="Arial"/>
          <w:b/>
          <w:sz w:val="24"/>
          <w:szCs w:val="24"/>
        </w:rPr>
        <w:t>2. Țintele strategice pentru anul 2020</w:t>
      </w:r>
      <w:r w:rsidRPr="00AF7443">
        <w:rPr>
          <w:rFonts w:ascii="Arial" w:hAnsi="Arial" w:cs="Arial"/>
          <w:sz w:val="24"/>
          <w:szCs w:val="24"/>
        </w:rPr>
        <w:t>, adoptate în cadrul ET 2020 sunt următoarele:</w:t>
      </w:r>
    </w:p>
    <w:p w:rsidR="00DD2534" w:rsidRPr="00AF7443" w:rsidRDefault="00DD2534" w:rsidP="000C6A67">
      <w:pPr>
        <w:tabs>
          <w:tab w:val="left" w:pos="851"/>
        </w:tabs>
        <w:spacing w:after="0" w:line="240" w:lineRule="auto"/>
        <w:ind w:left="851" w:hanging="284"/>
        <w:jc w:val="both"/>
        <w:rPr>
          <w:rFonts w:ascii="Arial" w:hAnsi="Arial" w:cs="Arial"/>
          <w:sz w:val="24"/>
          <w:szCs w:val="24"/>
        </w:rPr>
      </w:pPr>
      <w:r w:rsidRPr="00AF7443">
        <w:rPr>
          <w:rFonts w:ascii="Arial" w:hAnsi="Arial" w:cs="Arial"/>
          <w:sz w:val="24"/>
          <w:szCs w:val="24"/>
        </w:rPr>
        <w:t>1) până în 2020, în medie, cel puțin 15 % dintre adulți ar trebui să participe la programele de învățare de-a lungul vieții</w:t>
      </w:r>
      <w:r w:rsidRPr="00AF7443">
        <w:rPr>
          <w:rStyle w:val="FootnoteReference"/>
          <w:rFonts w:ascii="Arial" w:hAnsi="Arial" w:cs="Arial"/>
          <w:sz w:val="24"/>
          <w:szCs w:val="24"/>
        </w:rPr>
        <w:footnoteReference w:id="7"/>
      </w:r>
      <w:r w:rsidRPr="00AF7443">
        <w:rPr>
          <w:rFonts w:ascii="Arial" w:hAnsi="Arial" w:cs="Arial"/>
          <w:sz w:val="24"/>
          <w:szCs w:val="24"/>
        </w:rPr>
        <w:t>;</w:t>
      </w:r>
    </w:p>
    <w:p w:rsidR="00DD2534" w:rsidRPr="00AF7443" w:rsidRDefault="00DD2534" w:rsidP="000C6A67">
      <w:pPr>
        <w:tabs>
          <w:tab w:val="left" w:pos="851"/>
        </w:tabs>
        <w:spacing w:after="0" w:line="240" w:lineRule="auto"/>
        <w:ind w:left="851" w:hanging="284"/>
        <w:jc w:val="both"/>
        <w:rPr>
          <w:rFonts w:ascii="Arial" w:hAnsi="Arial" w:cs="Arial"/>
          <w:sz w:val="24"/>
          <w:szCs w:val="24"/>
        </w:rPr>
      </w:pPr>
      <w:r w:rsidRPr="00AF7443">
        <w:rPr>
          <w:rFonts w:ascii="Arial" w:hAnsi="Arial" w:cs="Arial"/>
          <w:sz w:val="24"/>
          <w:szCs w:val="24"/>
        </w:rPr>
        <w:t>2) până în 2020, procentul persoanelor cu vârsta de 15 ani, cu competențe scăzute de citire, matematică și științe exacte</w:t>
      </w:r>
      <w:r w:rsidRPr="00AF7443">
        <w:rPr>
          <w:rStyle w:val="FootnoteReference"/>
          <w:rFonts w:ascii="Arial" w:hAnsi="Arial" w:cs="Arial"/>
          <w:sz w:val="24"/>
          <w:szCs w:val="24"/>
        </w:rPr>
        <w:footnoteReference w:id="8"/>
      </w:r>
      <w:r w:rsidRPr="00AF7443">
        <w:rPr>
          <w:rFonts w:ascii="Arial" w:hAnsi="Arial" w:cs="Arial"/>
          <w:sz w:val="24"/>
          <w:szCs w:val="24"/>
        </w:rPr>
        <w:t>,</w:t>
      </w:r>
      <w:r w:rsidR="00A766FD">
        <w:rPr>
          <w:rFonts w:ascii="Arial" w:hAnsi="Arial" w:cs="Arial"/>
          <w:sz w:val="24"/>
          <w:szCs w:val="24"/>
        </w:rPr>
        <w:t xml:space="preserve"> ar trebui să fie mai mic de 15</w:t>
      </w:r>
      <w:r w:rsidRPr="00AF7443">
        <w:rPr>
          <w:rFonts w:ascii="Arial" w:hAnsi="Arial" w:cs="Arial"/>
          <w:sz w:val="24"/>
          <w:szCs w:val="24"/>
        </w:rPr>
        <w:t>%;</w:t>
      </w:r>
    </w:p>
    <w:p w:rsidR="00DD2534" w:rsidRPr="00AF7443" w:rsidRDefault="00DD2534" w:rsidP="000C6A67">
      <w:pPr>
        <w:tabs>
          <w:tab w:val="left" w:pos="851"/>
        </w:tabs>
        <w:spacing w:after="0" w:line="240" w:lineRule="auto"/>
        <w:ind w:left="851" w:hanging="284"/>
        <w:jc w:val="both"/>
        <w:rPr>
          <w:rFonts w:ascii="Arial" w:hAnsi="Arial" w:cs="Arial"/>
          <w:sz w:val="24"/>
          <w:szCs w:val="24"/>
        </w:rPr>
      </w:pPr>
      <w:r w:rsidRPr="00AF7443">
        <w:rPr>
          <w:rFonts w:ascii="Arial" w:hAnsi="Arial" w:cs="Arial"/>
          <w:sz w:val="24"/>
          <w:szCs w:val="24"/>
        </w:rPr>
        <w:t>3) până în 2020, proporția persoanelor de 30-34 de ani, care au absolvit învățământul terțiar</w:t>
      </w:r>
      <w:r w:rsidRPr="00AF7443">
        <w:rPr>
          <w:rStyle w:val="FootnoteReference"/>
          <w:rFonts w:ascii="Arial" w:hAnsi="Arial" w:cs="Arial"/>
          <w:sz w:val="24"/>
          <w:szCs w:val="24"/>
        </w:rPr>
        <w:footnoteReference w:id="9"/>
      </w:r>
      <w:r w:rsidRPr="00AF7443">
        <w:rPr>
          <w:rFonts w:ascii="Arial" w:hAnsi="Arial" w:cs="Arial"/>
          <w:sz w:val="24"/>
          <w:szCs w:val="24"/>
        </w:rPr>
        <w:t>, ar trebui să fie de cel puțin 40 %;</w:t>
      </w:r>
    </w:p>
    <w:p w:rsidR="00DD2534" w:rsidRPr="00AF7443" w:rsidRDefault="00DD2534" w:rsidP="000C6A67">
      <w:pPr>
        <w:tabs>
          <w:tab w:val="left" w:pos="851"/>
        </w:tabs>
        <w:spacing w:after="0" w:line="240" w:lineRule="auto"/>
        <w:ind w:left="851" w:hanging="284"/>
        <w:jc w:val="both"/>
        <w:rPr>
          <w:rFonts w:ascii="Arial" w:hAnsi="Arial" w:cs="Arial"/>
          <w:sz w:val="24"/>
          <w:szCs w:val="24"/>
        </w:rPr>
      </w:pPr>
      <w:r w:rsidRPr="00AF7443">
        <w:rPr>
          <w:rFonts w:ascii="Arial" w:hAnsi="Arial" w:cs="Arial"/>
          <w:sz w:val="24"/>
          <w:szCs w:val="24"/>
        </w:rPr>
        <w:t>4) până în 2020, proporția părăsirii timpurii a școlii</w:t>
      </w:r>
      <w:r w:rsidRPr="00AF7443">
        <w:rPr>
          <w:rStyle w:val="FootnoteReference"/>
          <w:rFonts w:ascii="Arial" w:hAnsi="Arial" w:cs="Arial"/>
          <w:sz w:val="24"/>
          <w:szCs w:val="24"/>
        </w:rPr>
        <w:footnoteReference w:id="10"/>
      </w:r>
      <w:r w:rsidRPr="00AF7443">
        <w:rPr>
          <w:rFonts w:ascii="Arial" w:hAnsi="Arial" w:cs="Arial"/>
          <w:sz w:val="24"/>
          <w:szCs w:val="24"/>
        </w:rPr>
        <w:t xml:space="preserve"> din sistemele de educație și formare, ar trebui să fie sub 10 %;</w:t>
      </w:r>
    </w:p>
    <w:p w:rsidR="00DD2534" w:rsidRPr="00AF7443" w:rsidRDefault="00DD2534" w:rsidP="000C6A67">
      <w:pPr>
        <w:tabs>
          <w:tab w:val="left" w:pos="851"/>
        </w:tabs>
        <w:spacing w:after="0" w:line="240" w:lineRule="auto"/>
        <w:ind w:left="851" w:hanging="284"/>
        <w:jc w:val="both"/>
        <w:rPr>
          <w:rFonts w:ascii="Arial" w:hAnsi="Arial" w:cs="Arial"/>
          <w:sz w:val="24"/>
          <w:szCs w:val="24"/>
        </w:rPr>
      </w:pPr>
      <w:r w:rsidRPr="00AF7443">
        <w:rPr>
          <w:rFonts w:ascii="Arial" w:hAnsi="Arial" w:cs="Arial"/>
          <w:sz w:val="24"/>
          <w:szCs w:val="24"/>
        </w:rPr>
        <w:t>5) până în 2020, cel puțin 95 % dintre copiii cu vârsta cuprinsă între 4 ani și vârsta pentru înscrierea obligatorie la școala primară, ar trebui să beneficieze de educație preșcolară;</w:t>
      </w:r>
    </w:p>
    <w:p w:rsidR="00DD2534" w:rsidRPr="00AF7443" w:rsidRDefault="00DD2534" w:rsidP="000C6A67">
      <w:pPr>
        <w:tabs>
          <w:tab w:val="left" w:pos="851"/>
        </w:tabs>
        <w:spacing w:after="0" w:line="240" w:lineRule="auto"/>
        <w:ind w:left="851" w:hanging="284"/>
        <w:jc w:val="both"/>
        <w:rPr>
          <w:rFonts w:ascii="Arial" w:hAnsi="Arial" w:cs="Arial"/>
          <w:bCs/>
          <w:sz w:val="24"/>
          <w:szCs w:val="24"/>
        </w:rPr>
      </w:pPr>
      <w:r w:rsidRPr="00AF7443">
        <w:rPr>
          <w:rFonts w:ascii="Arial" w:hAnsi="Arial" w:cs="Arial"/>
          <w:bCs/>
          <w:sz w:val="24"/>
          <w:szCs w:val="24"/>
        </w:rPr>
        <w:t>6) până în 2020, proporția de absolvenți angajați</w:t>
      </w:r>
      <w:r w:rsidRPr="00AF7443">
        <w:rPr>
          <w:rStyle w:val="FootnoteReference"/>
          <w:rFonts w:ascii="Arial" w:hAnsi="Arial" w:cs="Arial"/>
          <w:bCs/>
          <w:sz w:val="24"/>
          <w:szCs w:val="24"/>
        </w:rPr>
        <w:footnoteReference w:id="11"/>
      </w:r>
      <w:r w:rsidRPr="00AF7443">
        <w:rPr>
          <w:rFonts w:ascii="Arial" w:hAnsi="Arial" w:cs="Arial"/>
          <w:bCs/>
          <w:sz w:val="24"/>
          <w:szCs w:val="24"/>
        </w:rPr>
        <w:t xml:space="preserve"> cu vârste cuprinse în 20 și 34 de ani, care au finalizat sistemul de educație și de formare profesională cu cel</w:t>
      </w:r>
      <w:r w:rsidR="003B4ADC">
        <w:rPr>
          <w:rFonts w:ascii="Arial" w:hAnsi="Arial" w:cs="Arial"/>
          <w:bCs/>
          <w:sz w:val="24"/>
          <w:szCs w:val="24"/>
        </w:rPr>
        <w:t xml:space="preserve"> </w:t>
      </w:r>
      <w:r w:rsidRPr="00AF7443">
        <w:rPr>
          <w:rFonts w:ascii="Arial" w:hAnsi="Arial" w:cs="Arial"/>
          <w:bCs/>
          <w:sz w:val="24"/>
          <w:szCs w:val="24"/>
        </w:rPr>
        <w:lastRenderedPageBreak/>
        <w:t>mult trei ani înaintea anului de referință, ar trebui să fie de cel puțin 82 %, comparativ cu 76,5 % în 2010</w:t>
      </w:r>
      <w:r w:rsidRPr="00AF7443">
        <w:rPr>
          <w:rStyle w:val="FootnoteReference"/>
          <w:rFonts w:ascii="Arial" w:hAnsi="Arial" w:cs="Arial"/>
          <w:bCs/>
          <w:sz w:val="24"/>
          <w:szCs w:val="24"/>
        </w:rPr>
        <w:footnoteReference w:id="12"/>
      </w:r>
      <w:r w:rsidRPr="00AF7443">
        <w:rPr>
          <w:rFonts w:ascii="Arial" w:hAnsi="Arial" w:cs="Arial"/>
          <w:bCs/>
          <w:sz w:val="24"/>
          <w:szCs w:val="24"/>
        </w:rPr>
        <w:t>.</w:t>
      </w:r>
    </w:p>
    <w:p w:rsidR="00DD2534" w:rsidRPr="00AF7443" w:rsidRDefault="00DD2534" w:rsidP="000C6A67">
      <w:pPr>
        <w:pStyle w:val="Header"/>
        <w:jc w:val="both"/>
        <w:rPr>
          <w:rFonts w:ascii="Arial" w:hAnsi="Arial" w:cs="Arial"/>
          <w:b/>
          <w:bCs/>
          <w:sz w:val="24"/>
          <w:szCs w:val="24"/>
        </w:rPr>
      </w:pPr>
      <w:r w:rsidRPr="00AF7443">
        <w:rPr>
          <w:rFonts w:ascii="Arial" w:hAnsi="Arial" w:cs="Arial"/>
          <w:b/>
          <w:bCs/>
          <w:sz w:val="24"/>
          <w:szCs w:val="24"/>
        </w:rPr>
        <w:t>3. Pentru obiectivele strategice care vizează educația și formarea profesională, derivate din cadrul strategic ET 2020 și Strategia Europa 2020, sunt prezentate, în continuare, comparativ, evoluția indicatorilor în cazul României şi a Uniunii Europene, 28 de state:</w:t>
      </w:r>
    </w:p>
    <w:p w:rsidR="00FB4004" w:rsidRDefault="00FB4004" w:rsidP="000C6A67">
      <w:pPr>
        <w:pStyle w:val="Header"/>
        <w:jc w:val="both"/>
        <w:rPr>
          <w:rFonts w:ascii="Arial" w:hAnsi="Arial" w:cs="Arial"/>
          <w:bCs/>
          <w:sz w:val="24"/>
          <w:szCs w:val="24"/>
        </w:rPr>
      </w:pPr>
    </w:p>
    <w:p w:rsidR="00FB4004" w:rsidRPr="00CC697C" w:rsidRDefault="00FB4004" w:rsidP="000C6A67">
      <w:pPr>
        <w:pStyle w:val="Header"/>
        <w:jc w:val="both"/>
        <w:rPr>
          <w:rFonts w:ascii="Arial" w:hAnsi="Arial" w:cs="Arial"/>
          <w:bCs/>
        </w:rPr>
      </w:pPr>
      <w:r w:rsidRPr="00CC697C">
        <w:rPr>
          <w:rFonts w:ascii="Arial" w:hAnsi="Arial" w:cs="Arial"/>
          <w:bCs/>
        </w:rPr>
        <w:t xml:space="preserve">Tabelul nr.1. Evoluția indicatorilor aferenți obiectivelor strategice UE și România </w:t>
      </w:r>
    </w:p>
    <w:tbl>
      <w:tblPr>
        <w:tblW w:w="0" w:type="auto"/>
        <w:jc w:val="center"/>
        <w:tblLayout w:type="fixed"/>
        <w:tblLook w:val="04A0" w:firstRow="1" w:lastRow="0" w:firstColumn="1" w:lastColumn="0" w:noHBand="0" w:noVBand="1"/>
      </w:tblPr>
      <w:tblGrid>
        <w:gridCol w:w="1278"/>
        <w:gridCol w:w="930"/>
        <w:gridCol w:w="1088"/>
        <w:gridCol w:w="501"/>
        <w:gridCol w:w="501"/>
        <w:gridCol w:w="501"/>
        <w:gridCol w:w="501"/>
        <w:gridCol w:w="501"/>
        <w:gridCol w:w="501"/>
        <w:gridCol w:w="501"/>
        <w:gridCol w:w="955"/>
        <w:gridCol w:w="876"/>
        <w:gridCol w:w="694"/>
      </w:tblGrid>
      <w:tr w:rsidR="00FB4004" w:rsidRPr="007F4928" w:rsidTr="0077485E">
        <w:trPr>
          <w:trHeight w:val="757"/>
          <w:jc w:val="center"/>
        </w:trPr>
        <w:tc>
          <w:tcPr>
            <w:tcW w:w="1278" w:type="dxa"/>
            <w:vMerge w:val="restart"/>
            <w:tcBorders>
              <w:top w:val="single" w:sz="8" w:space="0" w:color="auto"/>
              <w:left w:val="single" w:sz="8" w:space="0" w:color="auto"/>
              <w:bottom w:val="single" w:sz="4" w:space="0" w:color="auto"/>
              <w:right w:val="single" w:sz="4" w:space="0" w:color="auto"/>
            </w:tcBorders>
            <w:shd w:val="clear" w:color="auto" w:fill="FFFFFF" w:themeFill="background1"/>
            <w:vAlign w:val="center"/>
            <w:hideMark/>
          </w:tcPr>
          <w:p w:rsidR="00FB4004" w:rsidRPr="00FE749F" w:rsidRDefault="00FB4004" w:rsidP="000C6A67">
            <w:pPr>
              <w:spacing w:after="0" w:line="240" w:lineRule="auto"/>
              <w:ind w:left="-71"/>
              <w:jc w:val="center"/>
              <w:rPr>
                <w:rFonts w:ascii="Arial" w:eastAsia="Times New Roman" w:hAnsi="Arial" w:cs="Arial"/>
                <w:b/>
                <w:bCs/>
                <w:sz w:val="20"/>
                <w:szCs w:val="20"/>
              </w:rPr>
            </w:pPr>
            <w:r w:rsidRPr="00FE749F">
              <w:rPr>
                <w:rFonts w:ascii="Arial" w:eastAsia="Times New Roman" w:hAnsi="Arial" w:cs="Arial"/>
                <w:b/>
                <w:bCs/>
                <w:sz w:val="20"/>
                <w:szCs w:val="20"/>
              </w:rPr>
              <w:t>Indicatori</w:t>
            </w:r>
          </w:p>
        </w:tc>
        <w:tc>
          <w:tcPr>
            <w:tcW w:w="2018" w:type="dxa"/>
            <w:gridSpan w:val="2"/>
            <w:vMerge w:val="restart"/>
            <w:tcBorders>
              <w:top w:val="single" w:sz="8" w:space="0" w:color="auto"/>
              <w:left w:val="nil"/>
              <w:bottom w:val="single" w:sz="4" w:space="0" w:color="auto"/>
              <w:right w:val="single" w:sz="4" w:space="0" w:color="auto"/>
            </w:tcBorders>
            <w:shd w:val="clear" w:color="auto" w:fill="FFFFFF" w:themeFill="background1"/>
            <w:noWrap/>
            <w:vAlign w:val="center"/>
            <w:hideMark/>
          </w:tcPr>
          <w:p w:rsidR="00FB4004" w:rsidRPr="00FE749F" w:rsidRDefault="00FB4004" w:rsidP="000C6A67">
            <w:pPr>
              <w:spacing w:after="0" w:line="240" w:lineRule="auto"/>
              <w:jc w:val="center"/>
              <w:rPr>
                <w:rFonts w:ascii="Arial" w:eastAsia="Times New Roman" w:hAnsi="Arial" w:cs="Arial"/>
                <w:b/>
                <w:bCs/>
                <w:sz w:val="20"/>
                <w:szCs w:val="20"/>
              </w:rPr>
            </w:pPr>
            <w:r w:rsidRPr="00FE749F">
              <w:rPr>
                <w:rFonts w:ascii="Arial" w:eastAsia="Times New Roman" w:hAnsi="Arial" w:cs="Arial"/>
                <w:b/>
                <w:bCs/>
                <w:sz w:val="20"/>
                <w:szCs w:val="20"/>
              </w:rPr>
              <w:t>Unitate</w:t>
            </w:r>
          </w:p>
        </w:tc>
        <w:tc>
          <w:tcPr>
            <w:tcW w:w="3507" w:type="dxa"/>
            <w:gridSpan w:val="7"/>
            <w:tcBorders>
              <w:top w:val="single" w:sz="8" w:space="0" w:color="auto"/>
              <w:left w:val="single" w:sz="4" w:space="0" w:color="auto"/>
              <w:bottom w:val="single" w:sz="4" w:space="0" w:color="auto"/>
              <w:right w:val="single" w:sz="4" w:space="0" w:color="auto"/>
            </w:tcBorders>
            <w:shd w:val="clear" w:color="auto" w:fill="FFFFFF" w:themeFill="background1"/>
            <w:noWrap/>
            <w:vAlign w:val="center"/>
            <w:hideMark/>
          </w:tcPr>
          <w:p w:rsidR="00FB4004" w:rsidRPr="00FE749F" w:rsidRDefault="00FB4004" w:rsidP="000C6A67">
            <w:pPr>
              <w:spacing w:after="0" w:line="240" w:lineRule="auto"/>
              <w:jc w:val="center"/>
              <w:rPr>
                <w:rFonts w:ascii="Arial" w:eastAsia="Times New Roman" w:hAnsi="Arial" w:cs="Arial"/>
                <w:b/>
                <w:bCs/>
                <w:sz w:val="20"/>
                <w:szCs w:val="20"/>
              </w:rPr>
            </w:pPr>
            <w:r w:rsidRPr="00FE749F">
              <w:rPr>
                <w:rFonts w:ascii="Arial" w:eastAsia="Times New Roman" w:hAnsi="Arial" w:cs="Arial"/>
                <w:b/>
                <w:bCs/>
                <w:sz w:val="20"/>
                <w:szCs w:val="20"/>
              </w:rPr>
              <w:t>România</w:t>
            </w:r>
          </w:p>
          <w:p w:rsidR="00FB4004" w:rsidRPr="00FE749F" w:rsidRDefault="00FB4004" w:rsidP="000C6A67">
            <w:pPr>
              <w:spacing w:after="0" w:line="240" w:lineRule="auto"/>
              <w:jc w:val="center"/>
              <w:rPr>
                <w:rFonts w:ascii="Arial" w:eastAsia="Times New Roman" w:hAnsi="Arial" w:cs="Arial"/>
                <w:b/>
                <w:bCs/>
                <w:sz w:val="20"/>
                <w:szCs w:val="20"/>
              </w:rPr>
            </w:pPr>
            <w:r w:rsidRPr="00FE749F">
              <w:rPr>
                <w:rFonts w:ascii="Arial" w:eastAsia="Times New Roman" w:hAnsi="Arial" w:cs="Arial"/>
                <w:b/>
                <w:bCs/>
                <w:sz w:val="20"/>
                <w:szCs w:val="20"/>
              </w:rPr>
              <w:t xml:space="preserve">Perioada de referinţă </w:t>
            </w:r>
          </w:p>
        </w:tc>
        <w:tc>
          <w:tcPr>
            <w:tcW w:w="955"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rsidR="00FB4004" w:rsidRPr="00FE749F" w:rsidRDefault="00FB4004" w:rsidP="000C6A67">
            <w:pPr>
              <w:spacing w:after="0" w:line="240" w:lineRule="auto"/>
              <w:jc w:val="center"/>
              <w:rPr>
                <w:rFonts w:ascii="Arial" w:eastAsia="Times New Roman" w:hAnsi="Arial" w:cs="Arial"/>
                <w:b/>
                <w:bCs/>
                <w:sz w:val="20"/>
                <w:szCs w:val="20"/>
              </w:rPr>
            </w:pPr>
            <w:r w:rsidRPr="00FE749F">
              <w:rPr>
                <w:rFonts w:ascii="Arial" w:eastAsia="Times New Roman" w:hAnsi="Arial" w:cs="Arial"/>
                <w:b/>
                <w:bCs/>
                <w:sz w:val="20"/>
                <w:szCs w:val="20"/>
              </w:rPr>
              <w:t>Media UE-28</w:t>
            </w:r>
          </w:p>
        </w:tc>
        <w:tc>
          <w:tcPr>
            <w:tcW w:w="876" w:type="dxa"/>
            <w:tcBorders>
              <w:top w:val="single" w:sz="8" w:space="0" w:color="auto"/>
              <w:left w:val="single" w:sz="4" w:space="0" w:color="auto"/>
              <w:bottom w:val="single" w:sz="4" w:space="0" w:color="auto"/>
              <w:right w:val="single" w:sz="8" w:space="0" w:color="auto"/>
            </w:tcBorders>
            <w:shd w:val="clear" w:color="auto" w:fill="E5DFEC" w:themeFill="accent4" w:themeFillTint="33"/>
            <w:noWrap/>
            <w:vAlign w:val="center"/>
            <w:hideMark/>
          </w:tcPr>
          <w:p w:rsidR="00FB4004" w:rsidRPr="00FE749F" w:rsidRDefault="00FB4004" w:rsidP="000C6A67">
            <w:pPr>
              <w:spacing w:after="0" w:line="240" w:lineRule="auto"/>
              <w:jc w:val="center"/>
              <w:rPr>
                <w:rFonts w:ascii="Arial" w:eastAsia="Times New Roman" w:hAnsi="Arial" w:cs="Arial"/>
                <w:b/>
                <w:bCs/>
                <w:sz w:val="20"/>
                <w:szCs w:val="20"/>
              </w:rPr>
            </w:pPr>
            <w:r w:rsidRPr="00FE749F">
              <w:rPr>
                <w:rFonts w:ascii="Arial" w:eastAsia="Times New Roman" w:hAnsi="Arial" w:cs="Arial"/>
                <w:b/>
                <w:bCs/>
                <w:sz w:val="20"/>
                <w:szCs w:val="20"/>
              </w:rPr>
              <w:t>Ținta RO</w:t>
            </w:r>
          </w:p>
        </w:tc>
        <w:tc>
          <w:tcPr>
            <w:tcW w:w="694" w:type="dxa"/>
            <w:tcBorders>
              <w:top w:val="single" w:sz="8" w:space="0" w:color="auto"/>
              <w:left w:val="nil"/>
              <w:bottom w:val="single" w:sz="4" w:space="0" w:color="auto"/>
              <w:right w:val="single" w:sz="8" w:space="0" w:color="auto"/>
            </w:tcBorders>
            <w:shd w:val="clear" w:color="auto" w:fill="DDD9C3" w:themeFill="background2" w:themeFillShade="E6"/>
            <w:vAlign w:val="center"/>
            <w:hideMark/>
          </w:tcPr>
          <w:p w:rsidR="00FB4004" w:rsidRPr="00FE749F" w:rsidRDefault="00FB4004" w:rsidP="000C6A67">
            <w:pPr>
              <w:spacing w:after="0" w:line="240" w:lineRule="auto"/>
              <w:jc w:val="center"/>
              <w:rPr>
                <w:rFonts w:ascii="Arial" w:eastAsia="Times New Roman" w:hAnsi="Arial" w:cs="Arial"/>
                <w:b/>
                <w:bCs/>
                <w:sz w:val="20"/>
                <w:szCs w:val="20"/>
              </w:rPr>
            </w:pPr>
            <w:r w:rsidRPr="00FE749F">
              <w:rPr>
                <w:rFonts w:ascii="Arial" w:eastAsia="Times New Roman" w:hAnsi="Arial" w:cs="Arial"/>
                <w:b/>
                <w:bCs/>
                <w:sz w:val="20"/>
                <w:szCs w:val="20"/>
              </w:rPr>
              <w:t>Ținta UE</w:t>
            </w:r>
          </w:p>
        </w:tc>
      </w:tr>
      <w:tr w:rsidR="00FB4004" w:rsidRPr="007F4928" w:rsidTr="0077485E">
        <w:trPr>
          <w:trHeight w:val="551"/>
          <w:jc w:val="center"/>
        </w:trPr>
        <w:tc>
          <w:tcPr>
            <w:tcW w:w="1278" w:type="dxa"/>
            <w:vMerge/>
            <w:tcBorders>
              <w:top w:val="single" w:sz="8" w:space="0" w:color="auto"/>
              <w:left w:val="single" w:sz="8" w:space="0" w:color="auto"/>
              <w:bottom w:val="single" w:sz="4" w:space="0" w:color="auto"/>
              <w:right w:val="single" w:sz="4" w:space="0" w:color="auto"/>
            </w:tcBorders>
            <w:shd w:val="clear" w:color="auto" w:fill="FFFFFF" w:themeFill="background1"/>
            <w:vAlign w:val="center"/>
            <w:hideMark/>
          </w:tcPr>
          <w:p w:rsidR="00FB4004" w:rsidRPr="00FE749F" w:rsidRDefault="00FB4004" w:rsidP="000C6A67">
            <w:pPr>
              <w:spacing w:after="0" w:line="240" w:lineRule="auto"/>
              <w:rPr>
                <w:rFonts w:ascii="Arial" w:eastAsia="Times New Roman" w:hAnsi="Arial" w:cs="Arial"/>
                <w:b/>
                <w:bCs/>
                <w:sz w:val="20"/>
                <w:szCs w:val="20"/>
              </w:rPr>
            </w:pPr>
          </w:p>
        </w:tc>
        <w:tc>
          <w:tcPr>
            <w:tcW w:w="2018" w:type="dxa"/>
            <w:gridSpan w:val="2"/>
            <w:vMerge/>
            <w:tcBorders>
              <w:top w:val="single" w:sz="8" w:space="0" w:color="auto"/>
              <w:left w:val="nil"/>
              <w:bottom w:val="single" w:sz="4" w:space="0" w:color="auto"/>
              <w:right w:val="single" w:sz="4" w:space="0" w:color="auto"/>
            </w:tcBorders>
            <w:shd w:val="clear" w:color="auto" w:fill="FFFFFF" w:themeFill="background1"/>
            <w:vAlign w:val="center"/>
            <w:hideMark/>
          </w:tcPr>
          <w:p w:rsidR="00FB4004" w:rsidRPr="00FE749F" w:rsidRDefault="00FB4004" w:rsidP="000C6A67">
            <w:pPr>
              <w:spacing w:after="0" w:line="240" w:lineRule="auto"/>
              <w:rPr>
                <w:rFonts w:ascii="Arial" w:eastAsia="Times New Roman" w:hAnsi="Arial" w:cs="Arial"/>
                <w:b/>
                <w:bCs/>
                <w:sz w:val="20"/>
                <w:szCs w:val="20"/>
              </w:rPr>
            </w:pPr>
          </w:p>
        </w:tc>
        <w:tc>
          <w:tcPr>
            <w:tcW w:w="501" w:type="dxa"/>
            <w:tcBorders>
              <w:top w:val="nil"/>
              <w:left w:val="single" w:sz="4" w:space="0" w:color="auto"/>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2005</w:t>
            </w:r>
          </w:p>
        </w:tc>
        <w:tc>
          <w:tcPr>
            <w:tcW w:w="501" w:type="dxa"/>
            <w:tcBorders>
              <w:top w:val="nil"/>
              <w:left w:val="nil"/>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2009</w:t>
            </w:r>
          </w:p>
        </w:tc>
        <w:tc>
          <w:tcPr>
            <w:tcW w:w="501" w:type="dxa"/>
            <w:tcBorders>
              <w:top w:val="nil"/>
              <w:left w:val="nil"/>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2010</w:t>
            </w:r>
          </w:p>
        </w:tc>
        <w:tc>
          <w:tcPr>
            <w:tcW w:w="501" w:type="dxa"/>
            <w:tcBorders>
              <w:top w:val="nil"/>
              <w:left w:val="nil"/>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2011</w:t>
            </w:r>
          </w:p>
        </w:tc>
        <w:tc>
          <w:tcPr>
            <w:tcW w:w="501" w:type="dxa"/>
            <w:tcBorders>
              <w:top w:val="nil"/>
              <w:left w:val="nil"/>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2012</w:t>
            </w:r>
          </w:p>
        </w:tc>
        <w:tc>
          <w:tcPr>
            <w:tcW w:w="501" w:type="dxa"/>
            <w:tcBorders>
              <w:top w:val="nil"/>
              <w:left w:val="nil"/>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2013</w:t>
            </w:r>
          </w:p>
        </w:tc>
        <w:tc>
          <w:tcPr>
            <w:tcW w:w="501" w:type="dxa"/>
            <w:tcBorders>
              <w:top w:val="single" w:sz="4" w:space="0" w:color="auto"/>
              <w:left w:val="nil"/>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Cs/>
                <w:sz w:val="20"/>
                <w:szCs w:val="20"/>
              </w:rPr>
            </w:pPr>
            <w:r w:rsidRPr="00FE749F">
              <w:rPr>
                <w:rFonts w:ascii="Arial" w:eastAsia="Times New Roman" w:hAnsi="Arial" w:cs="Arial"/>
                <w:bCs/>
                <w:sz w:val="20"/>
                <w:szCs w:val="20"/>
              </w:rPr>
              <w:t>2014</w:t>
            </w:r>
          </w:p>
        </w:tc>
        <w:tc>
          <w:tcPr>
            <w:tcW w:w="955" w:type="dxa"/>
            <w:tcBorders>
              <w:top w:val="single" w:sz="4" w:space="0" w:color="auto"/>
              <w:left w:val="single" w:sz="4" w:space="0" w:color="auto"/>
              <w:bottom w:val="single" w:sz="4" w:space="0" w:color="auto"/>
              <w:right w:val="single" w:sz="4" w:space="0" w:color="auto"/>
            </w:tcBorders>
            <w:shd w:val="clear" w:color="auto" w:fill="DAEEF3" w:themeFill="accent5" w:themeFillTint="33"/>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
                <w:bCs/>
                <w:sz w:val="20"/>
                <w:szCs w:val="20"/>
              </w:rPr>
            </w:pPr>
            <w:r w:rsidRPr="00FE749F">
              <w:rPr>
                <w:rFonts w:ascii="Arial" w:eastAsia="Times New Roman" w:hAnsi="Arial" w:cs="Arial"/>
                <w:b/>
                <w:bCs/>
                <w:sz w:val="20"/>
                <w:szCs w:val="20"/>
              </w:rPr>
              <w:t>2014</w:t>
            </w:r>
          </w:p>
        </w:tc>
        <w:tc>
          <w:tcPr>
            <w:tcW w:w="876" w:type="dxa"/>
            <w:tcBorders>
              <w:top w:val="nil"/>
              <w:left w:val="single" w:sz="4" w:space="0" w:color="auto"/>
              <w:bottom w:val="single" w:sz="4" w:space="0" w:color="auto"/>
              <w:right w:val="single" w:sz="8" w:space="0" w:color="auto"/>
            </w:tcBorders>
            <w:shd w:val="clear" w:color="auto" w:fill="E5DFEC" w:themeFill="accent4" w:themeFillTint="33"/>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
                <w:bCs/>
                <w:sz w:val="20"/>
                <w:szCs w:val="20"/>
              </w:rPr>
            </w:pPr>
            <w:r w:rsidRPr="00FE749F">
              <w:rPr>
                <w:rFonts w:ascii="Arial" w:eastAsia="Times New Roman" w:hAnsi="Arial" w:cs="Arial"/>
                <w:b/>
                <w:bCs/>
                <w:sz w:val="20"/>
                <w:szCs w:val="20"/>
              </w:rPr>
              <w:t>2020</w:t>
            </w:r>
          </w:p>
        </w:tc>
        <w:tc>
          <w:tcPr>
            <w:tcW w:w="694" w:type="dxa"/>
            <w:tcBorders>
              <w:top w:val="nil"/>
              <w:left w:val="nil"/>
              <w:bottom w:val="single" w:sz="4" w:space="0" w:color="auto"/>
              <w:right w:val="single" w:sz="8" w:space="0" w:color="auto"/>
            </w:tcBorders>
            <w:shd w:val="clear" w:color="auto" w:fill="DDD9C3" w:themeFill="background2" w:themeFillShade="E6"/>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
                <w:bCs/>
                <w:sz w:val="20"/>
                <w:szCs w:val="20"/>
              </w:rPr>
            </w:pPr>
            <w:r w:rsidRPr="00FE749F">
              <w:rPr>
                <w:rFonts w:ascii="Arial" w:eastAsia="Times New Roman" w:hAnsi="Arial" w:cs="Arial"/>
                <w:b/>
                <w:bCs/>
                <w:sz w:val="20"/>
                <w:szCs w:val="20"/>
              </w:rPr>
              <w:t>2020</w:t>
            </w:r>
          </w:p>
        </w:tc>
      </w:tr>
      <w:tr w:rsidR="00FB4004" w:rsidRPr="007F4928" w:rsidTr="0077485E">
        <w:trPr>
          <w:trHeight w:val="600"/>
          <w:jc w:val="center"/>
        </w:trPr>
        <w:tc>
          <w:tcPr>
            <w:tcW w:w="127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B4004" w:rsidRPr="00FE749F" w:rsidRDefault="00FB4004" w:rsidP="000C6A67">
            <w:pPr>
              <w:spacing w:after="0" w:line="240" w:lineRule="auto"/>
              <w:ind w:left="9"/>
              <w:rPr>
                <w:rFonts w:ascii="Arial" w:eastAsia="Times New Roman" w:hAnsi="Arial" w:cs="Arial"/>
                <w:sz w:val="20"/>
                <w:szCs w:val="20"/>
              </w:rPr>
            </w:pPr>
            <w:r w:rsidRPr="00FE749F">
              <w:rPr>
                <w:rFonts w:ascii="Arial" w:eastAsia="Times New Roman" w:hAnsi="Arial" w:cs="Arial"/>
                <w:sz w:val="20"/>
                <w:szCs w:val="20"/>
              </w:rPr>
              <w:t>Rata de părăsire timpurie a şcolii</w:t>
            </w:r>
            <w:r w:rsidRPr="00FE749F">
              <w:rPr>
                <w:rStyle w:val="FootnoteReference"/>
                <w:rFonts w:ascii="Arial" w:eastAsia="Times New Roman" w:hAnsi="Arial" w:cs="Arial"/>
                <w:sz w:val="20"/>
                <w:szCs w:val="20"/>
              </w:rPr>
              <w:footnoteReference w:id="13"/>
            </w:r>
          </w:p>
        </w:tc>
        <w:tc>
          <w:tcPr>
            <w:tcW w:w="2018"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w:t>
            </w:r>
          </w:p>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(18-24ani)</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19,6</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16,6</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19,3</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18,1</w:t>
            </w: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sz w:val="20"/>
                <w:szCs w:val="20"/>
              </w:rPr>
            </w:pPr>
            <w:r w:rsidRPr="002A61B3">
              <w:rPr>
                <w:rFonts w:ascii="Arial" w:eastAsia="Times New Roman" w:hAnsi="Arial" w:cs="Arial"/>
                <w:sz w:val="20"/>
                <w:szCs w:val="20"/>
              </w:rPr>
              <w:t>17,8</w:t>
            </w: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sz w:val="20"/>
                <w:szCs w:val="20"/>
              </w:rPr>
            </w:pPr>
            <w:r w:rsidRPr="002A61B3">
              <w:rPr>
                <w:rFonts w:ascii="Arial" w:eastAsia="Times New Roman" w:hAnsi="Arial" w:cs="Arial"/>
                <w:sz w:val="20"/>
                <w:szCs w:val="20"/>
              </w:rPr>
              <w:t>17,3</w:t>
            </w: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bCs/>
                <w:sz w:val="20"/>
                <w:szCs w:val="20"/>
              </w:rPr>
            </w:pPr>
            <w:r w:rsidRPr="002A61B3">
              <w:rPr>
                <w:rFonts w:ascii="Arial" w:eastAsia="Times New Roman" w:hAnsi="Arial" w:cs="Arial"/>
                <w:bCs/>
                <w:sz w:val="20"/>
                <w:szCs w:val="20"/>
              </w:rPr>
              <w:t>18,1</w:t>
            </w:r>
          </w:p>
        </w:tc>
        <w:tc>
          <w:tcPr>
            <w:tcW w:w="955" w:type="dxa"/>
            <w:tcBorders>
              <w:top w:val="single" w:sz="4" w:space="0" w:color="auto"/>
              <w:left w:val="single" w:sz="4" w:space="0" w:color="auto"/>
              <w:bottom w:val="single" w:sz="4" w:space="0" w:color="auto"/>
              <w:right w:val="single" w:sz="4" w:space="0" w:color="auto"/>
            </w:tcBorders>
            <w:shd w:val="clear" w:color="auto" w:fill="DAEEF3" w:themeFill="accent5" w:themeFillTint="33"/>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
                <w:bCs/>
                <w:sz w:val="20"/>
                <w:szCs w:val="20"/>
              </w:rPr>
            </w:pPr>
            <w:r w:rsidRPr="00FE749F">
              <w:rPr>
                <w:rFonts w:ascii="Arial" w:eastAsia="Times New Roman" w:hAnsi="Arial" w:cs="Arial"/>
                <w:b/>
                <w:bCs/>
                <w:sz w:val="20"/>
                <w:szCs w:val="20"/>
              </w:rPr>
              <w:t>11,1</w:t>
            </w:r>
          </w:p>
        </w:tc>
        <w:tc>
          <w:tcPr>
            <w:tcW w:w="876" w:type="dxa"/>
            <w:tcBorders>
              <w:top w:val="single" w:sz="4" w:space="0" w:color="auto"/>
              <w:left w:val="single" w:sz="4" w:space="0" w:color="auto"/>
              <w:bottom w:val="single" w:sz="4" w:space="0" w:color="auto"/>
              <w:right w:val="single" w:sz="4" w:space="0" w:color="auto"/>
            </w:tcBorders>
            <w:shd w:val="clear" w:color="auto" w:fill="E5DFEC" w:themeFill="accent4" w:themeFillTint="33"/>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
                <w:bCs/>
                <w:sz w:val="20"/>
                <w:szCs w:val="20"/>
              </w:rPr>
            </w:pPr>
            <w:r w:rsidRPr="00FE749F">
              <w:rPr>
                <w:rFonts w:ascii="Arial" w:eastAsia="Times New Roman" w:hAnsi="Arial" w:cs="Arial"/>
                <w:b/>
                <w:bCs/>
                <w:sz w:val="20"/>
                <w:szCs w:val="20"/>
              </w:rPr>
              <w:t>11,3</w:t>
            </w:r>
          </w:p>
        </w:tc>
        <w:tc>
          <w:tcPr>
            <w:tcW w:w="694" w:type="dxa"/>
            <w:tcBorders>
              <w:top w:val="single" w:sz="4" w:space="0" w:color="auto"/>
              <w:left w:val="single" w:sz="4" w:space="0" w:color="auto"/>
              <w:bottom w:val="single" w:sz="4" w:space="0" w:color="auto"/>
              <w:right w:val="single" w:sz="4" w:space="0" w:color="auto"/>
            </w:tcBorders>
            <w:shd w:val="clear" w:color="auto" w:fill="DDD9C3" w:themeFill="background2" w:themeFillShade="E6"/>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
                <w:bCs/>
                <w:sz w:val="20"/>
                <w:szCs w:val="20"/>
              </w:rPr>
            </w:pPr>
            <w:r w:rsidRPr="00FE749F">
              <w:rPr>
                <w:rFonts w:ascii="Arial" w:eastAsia="Times New Roman" w:hAnsi="Arial" w:cs="Arial"/>
                <w:b/>
                <w:bCs/>
                <w:sz w:val="20"/>
                <w:szCs w:val="20"/>
              </w:rPr>
              <w:t>10</w:t>
            </w:r>
          </w:p>
        </w:tc>
      </w:tr>
      <w:tr w:rsidR="00FB4004" w:rsidRPr="007F4928" w:rsidTr="0077485E">
        <w:trPr>
          <w:trHeight w:val="600"/>
          <w:jc w:val="center"/>
        </w:trPr>
        <w:tc>
          <w:tcPr>
            <w:tcW w:w="127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B4004" w:rsidRPr="00FE749F" w:rsidRDefault="00FB4004" w:rsidP="000C6A67">
            <w:pPr>
              <w:spacing w:after="0" w:line="240" w:lineRule="auto"/>
              <w:ind w:left="9"/>
              <w:rPr>
                <w:rFonts w:ascii="Arial" w:eastAsia="Times New Roman" w:hAnsi="Arial" w:cs="Arial"/>
                <w:sz w:val="20"/>
                <w:szCs w:val="20"/>
              </w:rPr>
            </w:pPr>
            <w:r w:rsidRPr="00FE749F">
              <w:rPr>
                <w:rFonts w:ascii="Arial" w:eastAsia="Times New Roman" w:hAnsi="Arial" w:cs="Arial"/>
                <w:sz w:val="20"/>
                <w:szCs w:val="20"/>
              </w:rPr>
              <w:t>Ponderea absolvenților de învățământ terțiar</w:t>
            </w:r>
            <w:r w:rsidRPr="00FE749F">
              <w:rPr>
                <w:rStyle w:val="FootnoteReference"/>
                <w:rFonts w:ascii="Arial" w:eastAsia="Times New Roman" w:hAnsi="Arial" w:cs="Arial"/>
                <w:sz w:val="20"/>
                <w:szCs w:val="20"/>
              </w:rPr>
              <w:footnoteReference w:id="14"/>
            </w:r>
          </w:p>
        </w:tc>
        <w:tc>
          <w:tcPr>
            <w:tcW w:w="2018"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w:t>
            </w:r>
          </w:p>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(30-34 ani)</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11,4</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16,8</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18,3</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20,3</w:t>
            </w: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sz w:val="20"/>
                <w:szCs w:val="20"/>
              </w:rPr>
            </w:pPr>
            <w:r w:rsidRPr="002A61B3">
              <w:rPr>
                <w:rFonts w:ascii="Arial" w:eastAsia="Times New Roman" w:hAnsi="Arial" w:cs="Arial"/>
                <w:sz w:val="20"/>
                <w:szCs w:val="20"/>
              </w:rPr>
              <w:t>21,7</w:t>
            </w: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sz w:val="20"/>
                <w:szCs w:val="20"/>
              </w:rPr>
            </w:pPr>
            <w:r w:rsidRPr="002A61B3">
              <w:rPr>
                <w:rFonts w:ascii="Arial" w:eastAsia="Times New Roman" w:hAnsi="Arial" w:cs="Arial"/>
                <w:sz w:val="20"/>
                <w:szCs w:val="20"/>
              </w:rPr>
              <w:t>22,9</w:t>
            </w: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bCs/>
                <w:sz w:val="20"/>
                <w:szCs w:val="20"/>
              </w:rPr>
            </w:pPr>
            <w:r w:rsidRPr="002A61B3">
              <w:rPr>
                <w:rFonts w:ascii="Arial" w:eastAsia="Times New Roman" w:hAnsi="Arial" w:cs="Arial"/>
                <w:bCs/>
                <w:sz w:val="20"/>
                <w:szCs w:val="20"/>
              </w:rPr>
              <w:t>25,0</w:t>
            </w:r>
          </w:p>
        </w:tc>
        <w:tc>
          <w:tcPr>
            <w:tcW w:w="955" w:type="dxa"/>
            <w:tcBorders>
              <w:top w:val="single" w:sz="4" w:space="0" w:color="auto"/>
              <w:left w:val="single" w:sz="4" w:space="0" w:color="auto"/>
              <w:bottom w:val="single" w:sz="4" w:space="0" w:color="auto"/>
              <w:right w:val="single" w:sz="4" w:space="0" w:color="auto"/>
            </w:tcBorders>
            <w:shd w:val="clear" w:color="auto" w:fill="DAEEF3" w:themeFill="accent5" w:themeFillTint="33"/>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
                <w:bCs/>
                <w:sz w:val="20"/>
                <w:szCs w:val="20"/>
              </w:rPr>
            </w:pPr>
            <w:r w:rsidRPr="00FE749F">
              <w:rPr>
                <w:rFonts w:ascii="Arial" w:eastAsia="Times New Roman" w:hAnsi="Arial" w:cs="Arial"/>
                <w:b/>
                <w:bCs/>
                <w:sz w:val="20"/>
                <w:szCs w:val="20"/>
              </w:rPr>
              <w:t>37,9</w:t>
            </w:r>
          </w:p>
        </w:tc>
        <w:tc>
          <w:tcPr>
            <w:tcW w:w="876" w:type="dxa"/>
            <w:tcBorders>
              <w:top w:val="single" w:sz="4" w:space="0" w:color="auto"/>
              <w:left w:val="single" w:sz="4" w:space="0" w:color="auto"/>
              <w:bottom w:val="single" w:sz="4" w:space="0" w:color="auto"/>
              <w:right w:val="single" w:sz="4" w:space="0" w:color="auto"/>
            </w:tcBorders>
            <w:shd w:val="clear" w:color="auto" w:fill="E5DFEC" w:themeFill="accent4" w:themeFillTint="33"/>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
                <w:bCs/>
                <w:sz w:val="20"/>
                <w:szCs w:val="20"/>
              </w:rPr>
            </w:pPr>
            <w:r w:rsidRPr="00FE749F">
              <w:rPr>
                <w:rFonts w:ascii="Arial" w:eastAsia="Times New Roman" w:hAnsi="Arial" w:cs="Arial"/>
                <w:b/>
                <w:bCs/>
                <w:sz w:val="20"/>
                <w:szCs w:val="20"/>
              </w:rPr>
              <w:t>26,7</w:t>
            </w:r>
          </w:p>
        </w:tc>
        <w:tc>
          <w:tcPr>
            <w:tcW w:w="694" w:type="dxa"/>
            <w:tcBorders>
              <w:top w:val="single" w:sz="4" w:space="0" w:color="auto"/>
              <w:left w:val="single" w:sz="4" w:space="0" w:color="auto"/>
              <w:bottom w:val="single" w:sz="4" w:space="0" w:color="auto"/>
              <w:right w:val="single" w:sz="4" w:space="0" w:color="auto"/>
            </w:tcBorders>
            <w:shd w:val="clear" w:color="auto" w:fill="DDD9C3" w:themeFill="background2" w:themeFillShade="E6"/>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
                <w:bCs/>
                <w:sz w:val="20"/>
                <w:szCs w:val="20"/>
              </w:rPr>
            </w:pPr>
            <w:r w:rsidRPr="00FE749F">
              <w:rPr>
                <w:rFonts w:ascii="Arial" w:eastAsia="Times New Roman" w:hAnsi="Arial" w:cs="Arial"/>
                <w:b/>
                <w:bCs/>
                <w:sz w:val="20"/>
                <w:szCs w:val="20"/>
              </w:rPr>
              <w:t>40</w:t>
            </w:r>
          </w:p>
        </w:tc>
      </w:tr>
      <w:tr w:rsidR="00FB4004" w:rsidRPr="007F4928" w:rsidTr="0077485E">
        <w:trPr>
          <w:trHeight w:val="476"/>
          <w:jc w:val="center"/>
        </w:trPr>
        <w:tc>
          <w:tcPr>
            <w:tcW w:w="1278"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B4004" w:rsidRPr="00FE749F" w:rsidRDefault="00FB4004" w:rsidP="000C6A67">
            <w:pPr>
              <w:spacing w:after="0" w:line="240" w:lineRule="auto"/>
              <w:ind w:left="9"/>
              <w:rPr>
                <w:rFonts w:ascii="Arial" w:eastAsia="Times New Roman" w:hAnsi="Arial" w:cs="Arial"/>
                <w:sz w:val="20"/>
                <w:szCs w:val="20"/>
              </w:rPr>
            </w:pPr>
            <w:r w:rsidRPr="00FE749F">
              <w:rPr>
                <w:rFonts w:ascii="Arial" w:hAnsi="Arial" w:cs="Arial"/>
                <w:sz w:val="20"/>
                <w:szCs w:val="20"/>
              </w:rPr>
              <w:t xml:space="preserve">Procentul </w:t>
            </w:r>
            <w:r w:rsidR="00016460">
              <w:rPr>
                <w:rFonts w:ascii="Arial" w:hAnsi="Arial" w:cs="Arial"/>
                <w:sz w:val="20"/>
                <w:szCs w:val="20"/>
              </w:rPr>
              <w:t>celor</w:t>
            </w:r>
            <w:r w:rsidRPr="00FE749F">
              <w:rPr>
                <w:rFonts w:ascii="Arial" w:hAnsi="Arial" w:cs="Arial"/>
                <w:sz w:val="20"/>
                <w:szCs w:val="20"/>
              </w:rPr>
              <w:t xml:space="preserve"> cu competențe scăzute de citire, matematică și științe exacte</w:t>
            </w:r>
            <w:r w:rsidRPr="00FE749F">
              <w:rPr>
                <w:rStyle w:val="FootnoteReference"/>
                <w:rFonts w:ascii="Arial" w:hAnsi="Arial" w:cs="Arial"/>
                <w:sz w:val="20"/>
                <w:szCs w:val="20"/>
              </w:rPr>
              <w:footnoteReference w:id="15"/>
            </w:r>
          </w:p>
        </w:tc>
        <w:tc>
          <w:tcPr>
            <w:tcW w:w="930" w:type="dxa"/>
            <w:vMerge w:val="restart"/>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w:t>
            </w:r>
          </w:p>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(15 ani)</w:t>
            </w:r>
          </w:p>
        </w:tc>
        <w:tc>
          <w:tcPr>
            <w:tcW w:w="10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Citire</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tcPr>
          <w:p w:rsidR="00FB4004" w:rsidRPr="00FE749F" w:rsidRDefault="00FB4004" w:rsidP="000C6A67">
            <w:pPr>
              <w:spacing w:after="0" w:line="240" w:lineRule="auto"/>
              <w:jc w:val="center"/>
              <w:rPr>
                <w:rFonts w:ascii="Arial" w:eastAsia="Times New Roman" w:hAnsi="Arial" w:cs="Arial"/>
                <w:sz w:val="20"/>
                <w:szCs w:val="20"/>
              </w:rPr>
            </w:pP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40,4</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tcPr>
          <w:p w:rsidR="00FB4004" w:rsidRPr="00FE749F" w:rsidRDefault="00FB4004" w:rsidP="000C6A67">
            <w:pPr>
              <w:spacing w:after="0" w:line="240" w:lineRule="auto"/>
              <w:jc w:val="center"/>
              <w:rPr>
                <w:rFonts w:ascii="Arial" w:eastAsia="Times New Roman" w:hAnsi="Arial" w:cs="Arial"/>
                <w:sz w:val="20"/>
                <w:szCs w:val="20"/>
              </w:rPr>
            </w:pP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tcPr>
          <w:p w:rsidR="00FB4004" w:rsidRPr="00FE749F" w:rsidRDefault="00FB4004" w:rsidP="000C6A67">
            <w:pPr>
              <w:spacing w:after="0" w:line="240" w:lineRule="auto"/>
              <w:jc w:val="center"/>
              <w:rPr>
                <w:rFonts w:ascii="Arial" w:eastAsia="Times New Roman" w:hAnsi="Arial" w:cs="Arial"/>
                <w:sz w:val="20"/>
                <w:szCs w:val="20"/>
              </w:rPr>
            </w:pP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sz w:val="20"/>
                <w:szCs w:val="20"/>
              </w:rPr>
            </w:pPr>
            <w:r w:rsidRPr="002A61B3">
              <w:rPr>
                <w:rFonts w:ascii="Arial" w:eastAsia="Times New Roman" w:hAnsi="Arial" w:cs="Arial"/>
                <w:sz w:val="20"/>
                <w:szCs w:val="20"/>
              </w:rPr>
              <w:t>37,3</w:t>
            </w: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28" w:type="dxa"/>
              <w:bottom w:w="0" w:type="dxa"/>
              <w:right w:w="28" w:type="dxa"/>
            </w:tcMar>
            <w:vAlign w:val="center"/>
          </w:tcPr>
          <w:p w:rsidR="00FB4004" w:rsidRPr="002A61B3" w:rsidRDefault="00FB4004" w:rsidP="000C6A67">
            <w:pPr>
              <w:spacing w:after="0" w:line="240" w:lineRule="auto"/>
              <w:jc w:val="center"/>
              <w:rPr>
                <w:rFonts w:ascii="Arial" w:eastAsia="Times New Roman" w:hAnsi="Arial" w:cs="Arial"/>
                <w:sz w:val="20"/>
                <w:szCs w:val="20"/>
              </w:rPr>
            </w:pP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tcPr>
          <w:p w:rsidR="00FB4004" w:rsidRPr="002A61B3" w:rsidRDefault="00FB4004" w:rsidP="000C6A67">
            <w:pPr>
              <w:spacing w:after="0" w:line="240" w:lineRule="auto"/>
              <w:jc w:val="center"/>
              <w:rPr>
                <w:rFonts w:ascii="Arial" w:eastAsia="Times New Roman" w:hAnsi="Arial" w:cs="Arial"/>
                <w:bCs/>
                <w:sz w:val="20"/>
                <w:szCs w:val="20"/>
              </w:rPr>
            </w:pPr>
          </w:p>
        </w:tc>
        <w:tc>
          <w:tcPr>
            <w:tcW w:w="955" w:type="dxa"/>
            <w:tcBorders>
              <w:top w:val="single" w:sz="4" w:space="0" w:color="auto"/>
              <w:left w:val="single" w:sz="4" w:space="0" w:color="auto"/>
              <w:bottom w:val="single" w:sz="4" w:space="0" w:color="auto"/>
              <w:right w:val="single" w:sz="4" w:space="0" w:color="auto"/>
            </w:tcBorders>
            <w:shd w:val="clear" w:color="auto" w:fill="DAEEF3" w:themeFill="accent5" w:themeFillTint="33"/>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Cs/>
                <w:sz w:val="20"/>
                <w:szCs w:val="20"/>
              </w:rPr>
            </w:pPr>
            <w:r w:rsidRPr="00FE749F">
              <w:rPr>
                <w:rFonts w:ascii="Arial" w:eastAsia="Times New Roman" w:hAnsi="Arial" w:cs="Arial"/>
                <w:bCs/>
                <w:sz w:val="20"/>
                <w:szCs w:val="20"/>
              </w:rPr>
              <w:t>17,8</w:t>
            </w:r>
          </w:p>
        </w:tc>
        <w:tc>
          <w:tcPr>
            <w:tcW w:w="876" w:type="dxa"/>
            <w:tcBorders>
              <w:top w:val="single" w:sz="4" w:space="0" w:color="auto"/>
              <w:left w:val="single" w:sz="4" w:space="0" w:color="auto"/>
              <w:bottom w:val="single" w:sz="4" w:space="0" w:color="auto"/>
              <w:right w:val="single" w:sz="4" w:space="0" w:color="auto"/>
            </w:tcBorders>
            <w:shd w:val="clear" w:color="auto" w:fill="E5DFEC" w:themeFill="accent4" w:themeFillTint="33"/>
            <w:noWrap/>
            <w:tcMar>
              <w:top w:w="0" w:type="dxa"/>
              <w:left w:w="28" w:type="dxa"/>
              <w:bottom w:w="0" w:type="dxa"/>
              <w:right w:w="28" w:type="dxa"/>
            </w:tcMar>
            <w:vAlign w:val="center"/>
          </w:tcPr>
          <w:p w:rsidR="00FB4004" w:rsidRPr="00FE749F" w:rsidRDefault="00FB4004" w:rsidP="000C6A67">
            <w:pPr>
              <w:spacing w:after="0" w:line="240" w:lineRule="auto"/>
              <w:jc w:val="center"/>
              <w:rPr>
                <w:rFonts w:ascii="Arial" w:eastAsia="Times New Roman" w:hAnsi="Arial" w:cs="Arial"/>
                <w:bCs/>
                <w:sz w:val="20"/>
                <w:szCs w:val="20"/>
              </w:rPr>
            </w:pPr>
          </w:p>
        </w:tc>
        <w:tc>
          <w:tcPr>
            <w:tcW w:w="694" w:type="dxa"/>
            <w:tcBorders>
              <w:top w:val="single" w:sz="4" w:space="0" w:color="auto"/>
              <w:left w:val="single" w:sz="4" w:space="0" w:color="auto"/>
              <w:bottom w:val="single" w:sz="4" w:space="0" w:color="auto"/>
              <w:right w:val="single" w:sz="4" w:space="0" w:color="auto"/>
            </w:tcBorders>
            <w:shd w:val="clear" w:color="auto" w:fill="DDD9C3" w:themeFill="background2" w:themeFillShade="E6"/>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Cs/>
                <w:sz w:val="20"/>
                <w:szCs w:val="20"/>
              </w:rPr>
            </w:pPr>
            <w:r w:rsidRPr="00FE749F">
              <w:rPr>
                <w:rFonts w:ascii="Arial" w:eastAsia="Times New Roman" w:hAnsi="Arial" w:cs="Arial"/>
                <w:bCs/>
                <w:sz w:val="20"/>
                <w:szCs w:val="20"/>
              </w:rPr>
              <w:t>15,0</w:t>
            </w:r>
          </w:p>
        </w:tc>
      </w:tr>
      <w:tr w:rsidR="00FB4004" w:rsidRPr="007F4928" w:rsidTr="0077485E">
        <w:trPr>
          <w:trHeight w:val="600"/>
          <w:jc w:val="center"/>
        </w:trPr>
        <w:tc>
          <w:tcPr>
            <w:tcW w:w="1278" w:type="dxa"/>
            <w:vMerge/>
            <w:tcBorders>
              <w:top w:val="single" w:sz="4" w:space="0" w:color="auto"/>
              <w:left w:val="single" w:sz="4" w:space="0" w:color="auto"/>
              <w:bottom w:val="single" w:sz="4" w:space="0" w:color="auto"/>
              <w:right w:val="single" w:sz="4" w:space="0" w:color="auto"/>
            </w:tcBorders>
            <w:vAlign w:val="center"/>
            <w:hideMark/>
          </w:tcPr>
          <w:p w:rsidR="00FB4004" w:rsidRPr="00FE749F" w:rsidRDefault="00FB4004" w:rsidP="000C6A67">
            <w:pPr>
              <w:spacing w:after="0" w:line="240" w:lineRule="auto"/>
              <w:rPr>
                <w:rFonts w:ascii="Arial" w:eastAsia="Times New Roman" w:hAnsi="Arial" w:cs="Arial"/>
                <w:sz w:val="20"/>
                <w:szCs w:val="20"/>
              </w:rPr>
            </w:pPr>
          </w:p>
        </w:tc>
        <w:tc>
          <w:tcPr>
            <w:tcW w:w="930" w:type="dxa"/>
            <w:vMerge/>
            <w:tcBorders>
              <w:top w:val="single" w:sz="4" w:space="0" w:color="auto"/>
              <w:left w:val="single" w:sz="4" w:space="0" w:color="auto"/>
              <w:bottom w:val="single" w:sz="4" w:space="0" w:color="auto"/>
              <w:right w:val="single" w:sz="4" w:space="0" w:color="auto"/>
            </w:tcBorders>
            <w:vAlign w:val="center"/>
            <w:hideMark/>
          </w:tcPr>
          <w:p w:rsidR="00FB4004" w:rsidRPr="00FE749F" w:rsidRDefault="00FB4004" w:rsidP="000C6A67">
            <w:pPr>
              <w:spacing w:after="0" w:line="240" w:lineRule="auto"/>
              <w:rPr>
                <w:rFonts w:ascii="Arial" w:eastAsia="Times New Roman" w:hAnsi="Arial" w:cs="Arial"/>
                <w:sz w:val="20"/>
                <w:szCs w:val="20"/>
              </w:rPr>
            </w:pPr>
          </w:p>
        </w:tc>
        <w:tc>
          <w:tcPr>
            <w:tcW w:w="10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Matematică</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tcPr>
          <w:p w:rsidR="00FB4004" w:rsidRPr="00FE749F" w:rsidRDefault="00FB4004" w:rsidP="000C6A67">
            <w:pPr>
              <w:spacing w:after="0" w:line="240" w:lineRule="auto"/>
              <w:jc w:val="center"/>
              <w:rPr>
                <w:rFonts w:ascii="Arial" w:eastAsia="Times New Roman" w:hAnsi="Arial" w:cs="Arial"/>
                <w:sz w:val="20"/>
                <w:szCs w:val="20"/>
              </w:rPr>
            </w:pP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47,0</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tcPr>
          <w:p w:rsidR="00FB4004" w:rsidRPr="00FE749F" w:rsidRDefault="00FB4004" w:rsidP="000C6A67">
            <w:pPr>
              <w:spacing w:after="0" w:line="240" w:lineRule="auto"/>
              <w:jc w:val="center"/>
              <w:rPr>
                <w:rFonts w:ascii="Arial" w:eastAsia="Times New Roman" w:hAnsi="Arial" w:cs="Arial"/>
                <w:sz w:val="20"/>
                <w:szCs w:val="20"/>
              </w:rPr>
            </w:pP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tcPr>
          <w:p w:rsidR="00FB4004" w:rsidRPr="00FE749F" w:rsidRDefault="00FB4004" w:rsidP="000C6A67">
            <w:pPr>
              <w:spacing w:after="0" w:line="240" w:lineRule="auto"/>
              <w:jc w:val="center"/>
              <w:rPr>
                <w:rFonts w:ascii="Arial" w:eastAsia="Times New Roman" w:hAnsi="Arial" w:cs="Arial"/>
                <w:sz w:val="20"/>
                <w:szCs w:val="20"/>
              </w:rPr>
            </w:pP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sz w:val="20"/>
                <w:szCs w:val="20"/>
              </w:rPr>
            </w:pPr>
            <w:r w:rsidRPr="002A61B3">
              <w:rPr>
                <w:rFonts w:ascii="Arial" w:eastAsia="Times New Roman" w:hAnsi="Arial" w:cs="Arial"/>
                <w:sz w:val="20"/>
                <w:szCs w:val="20"/>
              </w:rPr>
              <w:t>40,8</w:t>
            </w: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28" w:type="dxa"/>
              <w:bottom w:w="0" w:type="dxa"/>
              <w:right w:w="28" w:type="dxa"/>
            </w:tcMar>
            <w:vAlign w:val="center"/>
          </w:tcPr>
          <w:p w:rsidR="00FB4004" w:rsidRPr="002A61B3" w:rsidRDefault="00FB4004" w:rsidP="000C6A67">
            <w:pPr>
              <w:spacing w:after="0" w:line="240" w:lineRule="auto"/>
              <w:jc w:val="center"/>
              <w:rPr>
                <w:rFonts w:ascii="Arial" w:eastAsia="Times New Roman" w:hAnsi="Arial" w:cs="Arial"/>
                <w:sz w:val="20"/>
                <w:szCs w:val="20"/>
              </w:rPr>
            </w:pP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tcPr>
          <w:p w:rsidR="00FB4004" w:rsidRPr="002A61B3" w:rsidRDefault="00FB4004" w:rsidP="000C6A67">
            <w:pPr>
              <w:spacing w:after="0" w:line="240" w:lineRule="auto"/>
              <w:jc w:val="center"/>
              <w:rPr>
                <w:rFonts w:ascii="Arial" w:eastAsia="Times New Roman" w:hAnsi="Arial" w:cs="Arial"/>
                <w:bCs/>
                <w:sz w:val="20"/>
                <w:szCs w:val="20"/>
              </w:rPr>
            </w:pPr>
          </w:p>
        </w:tc>
        <w:tc>
          <w:tcPr>
            <w:tcW w:w="955" w:type="dxa"/>
            <w:tcBorders>
              <w:top w:val="single" w:sz="4" w:space="0" w:color="auto"/>
              <w:left w:val="single" w:sz="4" w:space="0" w:color="auto"/>
              <w:bottom w:val="single" w:sz="4" w:space="0" w:color="auto"/>
              <w:right w:val="single" w:sz="4" w:space="0" w:color="auto"/>
            </w:tcBorders>
            <w:shd w:val="clear" w:color="auto" w:fill="DAEEF3" w:themeFill="accent5" w:themeFillTint="33"/>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Cs/>
                <w:sz w:val="20"/>
                <w:szCs w:val="20"/>
              </w:rPr>
            </w:pPr>
            <w:r w:rsidRPr="00FE749F">
              <w:rPr>
                <w:rFonts w:ascii="Arial" w:eastAsia="Times New Roman" w:hAnsi="Arial" w:cs="Arial"/>
                <w:bCs/>
                <w:sz w:val="20"/>
                <w:szCs w:val="20"/>
              </w:rPr>
              <w:t>22,1</w:t>
            </w:r>
          </w:p>
        </w:tc>
        <w:tc>
          <w:tcPr>
            <w:tcW w:w="876" w:type="dxa"/>
            <w:tcBorders>
              <w:top w:val="single" w:sz="4" w:space="0" w:color="auto"/>
              <w:left w:val="single" w:sz="4" w:space="0" w:color="auto"/>
              <w:bottom w:val="single" w:sz="4" w:space="0" w:color="auto"/>
              <w:right w:val="single" w:sz="4" w:space="0" w:color="auto"/>
            </w:tcBorders>
            <w:shd w:val="clear" w:color="auto" w:fill="E5DFEC" w:themeFill="accent4" w:themeFillTint="33"/>
            <w:noWrap/>
            <w:tcMar>
              <w:top w:w="0" w:type="dxa"/>
              <w:left w:w="28" w:type="dxa"/>
              <w:bottom w:w="0" w:type="dxa"/>
              <w:right w:w="28" w:type="dxa"/>
            </w:tcMar>
            <w:vAlign w:val="center"/>
          </w:tcPr>
          <w:p w:rsidR="00FB4004" w:rsidRPr="00FE749F" w:rsidRDefault="00FB4004" w:rsidP="000C6A67">
            <w:pPr>
              <w:spacing w:after="0" w:line="240" w:lineRule="auto"/>
              <w:jc w:val="center"/>
              <w:rPr>
                <w:rFonts w:ascii="Arial" w:eastAsia="Times New Roman" w:hAnsi="Arial" w:cs="Arial"/>
                <w:bCs/>
                <w:sz w:val="20"/>
                <w:szCs w:val="20"/>
              </w:rPr>
            </w:pPr>
          </w:p>
        </w:tc>
        <w:tc>
          <w:tcPr>
            <w:tcW w:w="694" w:type="dxa"/>
            <w:tcBorders>
              <w:top w:val="single" w:sz="4" w:space="0" w:color="auto"/>
              <w:left w:val="single" w:sz="4" w:space="0" w:color="auto"/>
              <w:bottom w:val="single" w:sz="4" w:space="0" w:color="auto"/>
              <w:right w:val="single" w:sz="4" w:space="0" w:color="auto"/>
            </w:tcBorders>
            <w:shd w:val="clear" w:color="auto" w:fill="DDD9C3" w:themeFill="background2" w:themeFillShade="E6"/>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Cs/>
                <w:sz w:val="20"/>
                <w:szCs w:val="20"/>
              </w:rPr>
            </w:pPr>
            <w:r w:rsidRPr="00FE749F">
              <w:rPr>
                <w:rFonts w:ascii="Arial" w:eastAsia="Times New Roman" w:hAnsi="Arial" w:cs="Arial"/>
                <w:bCs/>
                <w:sz w:val="20"/>
                <w:szCs w:val="20"/>
              </w:rPr>
              <w:t>15,0</w:t>
            </w:r>
          </w:p>
        </w:tc>
      </w:tr>
      <w:tr w:rsidR="00FB4004" w:rsidRPr="007F4928" w:rsidTr="0077485E">
        <w:trPr>
          <w:trHeight w:val="467"/>
          <w:jc w:val="center"/>
        </w:trPr>
        <w:tc>
          <w:tcPr>
            <w:tcW w:w="1278" w:type="dxa"/>
            <w:vMerge/>
            <w:tcBorders>
              <w:top w:val="single" w:sz="4" w:space="0" w:color="auto"/>
              <w:left w:val="single" w:sz="4" w:space="0" w:color="auto"/>
              <w:bottom w:val="single" w:sz="4" w:space="0" w:color="auto"/>
              <w:right w:val="single" w:sz="4" w:space="0" w:color="auto"/>
            </w:tcBorders>
            <w:vAlign w:val="center"/>
            <w:hideMark/>
          </w:tcPr>
          <w:p w:rsidR="00FB4004" w:rsidRPr="00FE749F" w:rsidRDefault="00FB4004" w:rsidP="000C6A67">
            <w:pPr>
              <w:spacing w:after="0" w:line="240" w:lineRule="auto"/>
              <w:rPr>
                <w:rFonts w:ascii="Arial" w:eastAsia="Times New Roman" w:hAnsi="Arial" w:cs="Arial"/>
                <w:sz w:val="20"/>
                <w:szCs w:val="20"/>
              </w:rPr>
            </w:pPr>
          </w:p>
        </w:tc>
        <w:tc>
          <w:tcPr>
            <w:tcW w:w="930" w:type="dxa"/>
            <w:vMerge/>
            <w:tcBorders>
              <w:top w:val="single" w:sz="4" w:space="0" w:color="auto"/>
              <w:left w:val="single" w:sz="4" w:space="0" w:color="auto"/>
              <w:bottom w:val="single" w:sz="4" w:space="0" w:color="auto"/>
              <w:right w:val="single" w:sz="4" w:space="0" w:color="auto"/>
            </w:tcBorders>
            <w:vAlign w:val="center"/>
            <w:hideMark/>
          </w:tcPr>
          <w:p w:rsidR="00FB4004" w:rsidRPr="00FE749F" w:rsidRDefault="00FB4004" w:rsidP="000C6A67">
            <w:pPr>
              <w:spacing w:after="0" w:line="240" w:lineRule="auto"/>
              <w:rPr>
                <w:rFonts w:ascii="Arial" w:eastAsia="Times New Roman" w:hAnsi="Arial" w:cs="Arial"/>
                <w:sz w:val="20"/>
                <w:szCs w:val="20"/>
              </w:rPr>
            </w:pPr>
          </w:p>
        </w:tc>
        <w:tc>
          <w:tcPr>
            <w:tcW w:w="10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 xml:space="preserve">Științe </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tcPr>
          <w:p w:rsidR="00FB4004" w:rsidRPr="00FE749F" w:rsidRDefault="00FB4004" w:rsidP="000C6A67">
            <w:pPr>
              <w:spacing w:after="0" w:line="240" w:lineRule="auto"/>
              <w:jc w:val="center"/>
              <w:rPr>
                <w:rFonts w:ascii="Arial" w:eastAsia="Times New Roman" w:hAnsi="Arial" w:cs="Arial"/>
                <w:sz w:val="20"/>
                <w:szCs w:val="20"/>
              </w:rPr>
            </w:pP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41,4</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tcPr>
          <w:p w:rsidR="00FB4004" w:rsidRPr="00FE749F" w:rsidRDefault="00FB4004" w:rsidP="000C6A67">
            <w:pPr>
              <w:spacing w:after="0" w:line="240" w:lineRule="auto"/>
              <w:jc w:val="center"/>
              <w:rPr>
                <w:rFonts w:ascii="Arial" w:eastAsia="Times New Roman" w:hAnsi="Arial" w:cs="Arial"/>
                <w:sz w:val="20"/>
                <w:szCs w:val="20"/>
              </w:rPr>
            </w:pP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tcPr>
          <w:p w:rsidR="00FB4004" w:rsidRPr="00FE749F" w:rsidRDefault="00FB4004" w:rsidP="000C6A67">
            <w:pPr>
              <w:spacing w:after="0" w:line="240" w:lineRule="auto"/>
              <w:jc w:val="center"/>
              <w:rPr>
                <w:rFonts w:ascii="Arial" w:eastAsia="Times New Roman" w:hAnsi="Arial" w:cs="Arial"/>
                <w:sz w:val="20"/>
                <w:szCs w:val="20"/>
              </w:rPr>
            </w:pP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sz w:val="20"/>
                <w:szCs w:val="20"/>
              </w:rPr>
            </w:pPr>
            <w:r w:rsidRPr="002A61B3">
              <w:rPr>
                <w:rFonts w:ascii="Arial" w:eastAsia="Times New Roman" w:hAnsi="Arial" w:cs="Arial"/>
                <w:sz w:val="20"/>
                <w:szCs w:val="20"/>
              </w:rPr>
              <w:t>37,3</w:t>
            </w: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28" w:type="dxa"/>
              <w:bottom w:w="0" w:type="dxa"/>
              <w:right w:w="28" w:type="dxa"/>
            </w:tcMar>
            <w:vAlign w:val="center"/>
          </w:tcPr>
          <w:p w:rsidR="00FB4004" w:rsidRPr="002A61B3" w:rsidRDefault="00FB4004" w:rsidP="000C6A67">
            <w:pPr>
              <w:spacing w:after="0" w:line="240" w:lineRule="auto"/>
              <w:jc w:val="center"/>
              <w:rPr>
                <w:rFonts w:ascii="Arial" w:eastAsia="Times New Roman" w:hAnsi="Arial" w:cs="Arial"/>
                <w:sz w:val="20"/>
                <w:szCs w:val="20"/>
              </w:rPr>
            </w:pP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tcPr>
          <w:p w:rsidR="00FB4004" w:rsidRPr="002A61B3" w:rsidRDefault="00FB4004" w:rsidP="000C6A67">
            <w:pPr>
              <w:spacing w:after="0" w:line="240" w:lineRule="auto"/>
              <w:jc w:val="center"/>
              <w:rPr>
                <w:rFonts w:ascii="Arial" w:eastAsia="Times New Roman" w:hAnsi="Arial" w:cs="Arial"/>
                <w:bCs/>
                <w:sz w:val="20"/>
                <w:szCs w:val="20"/>
              </w:rPr>
            </w:pPr>
          </w:p>
        </w:tc>
        <w:tc>
          <w:tcPr>
            <w:tcW w:w="955" w:type="dxa"/>
            <w:tcBorders>
              <w:top w:val="single" w:sz="4" w:space="0" w:color="auto"/>
              <w:left w:val="single" w:sz="4" w:space="0" w:color="auto"/>
              <w:bottom w:val="single" w:sz="4" w:space="0" w:color="auto"/>
              <w:right w:val="single" w:sz="4" w:space="0" w:color="auto"/>
            </w:tcBorders>
            <w:shd w:val="clear" w:color="auto" w:fill="DAEEF3" w:themeFill="accent5" w:themeFillTint="33"/>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Cs/>
                <w:sz w:val="20"/>
                <w:szCs w:val="20"/>
              </w:rPr>
            </w:pPr>
            <w:r w:rsidRPr="00FE749F">
              <w:rPr>
                <w:rFonts w:ascii="Arial" w:eastAsia="Times New Roman" w:hAnsi="Arial" w:cs="Arial"/>
                <w:bCs/>
                <w:sz w:val="20"/>
                <w:szCs w:val="20"/>
              </w:rPr>
              <w:t>16,6</w:t>
            </w:r>
          </w:p>
        </w:tc>
        <w:tc>
          <w:tcPr>
            <w:tcW w:w="876" w:type="dxa"/>
            <w:tcBorders>
              <w:top w:val="single" w:sz="4" w:space="0" w:color="auto"/>
              <w:left w:val="single" w:sz="4" w:space="0" w:color="auto"/>
              <w:bottom w:val="single" w:sz="4" w:space="0" w:color="auto"/>
              <w:right w:val="single" w:sz="4" w:space="0" w:color="auto"/>
            </w:tcBorders>
            <w:shd w:val="clear" w:color="auto" w:fill="E5DFEC" w:themeFill="accent4" w:themeFillTint="33"/>
            <w:noWrap/>
            <w:tcMar>
              <w:top w:w="0" w:type="dxa"/>
              <w:left w:w="28" w:type="dxa"/>
              <w:bottom w:w="0" w:type="dxa"/>
              <w:right w:w="28" w:type="dxa"/>
            </w:tcMar>
            <w:vAlign w:val="center"/>
          </w:tcPr>
          <w:p w:rsidR="00FB4004" w:rsidRPr="00FE749F" w:rsidRDefault="00FB4004" w:rsidP="000C6A67">
            <w:pPr>
              <w:spacing w:after="0" w:line="240" w:lineRule="auto"/>
              <w:jc w:val="center"/>
              <w:rPr>
                <w:rFonts w:ascii="Arial" w:eastAsia="Times New Roman" w:hAnsi="Arial" w:cs="Arial"/>
                <w:bCs/>
                <w:sz w:val="20"/>
                <w:szCs w:val="20"/>
              </w:rPr>
            </w:pPr>
          </w:p>
        </w:tc>
        <w:tc>
          <w:tcPr>
            <w:tcW w:w="694" w:type="dxa"/>
            <w:tcBorders>
              <w:top w:val="single" w:sz="4" w:space="0" w:color="auto"/>
              <w:left w:val="single" w:sz="4" w:space="0" w:color="auto"/>
              <w:bottom w:val="single" w:sz="4" w:space="0" w:color="auto"/>
              <w:right w:val="single" w:sz="4" w:space="0" w:color="auto"/>
            </w:tcBorders>
            <w:shd w:val="clear" w:color="auto" w:fill="DDD9C3" w:themeFill="background2" w:themeFillShade="E6"/>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Cs/>
                <w:sz w:val="20"/>
                <w:szCs w:val="20"/>
              </w:rPr>
            </w:pPr>
            <w:r w:rsidRPr="00FE749F">
              <w:rPr>
                <w:rFonts w:ascii="Arial" w:eastAsia="Times New Roman" w:hAnsi="Arial" w:cs="Arial"/>
                <w:bCs/>
                <w:sz w:val="20"/>
                <w:szCs w:val="20"/>
              </w:rPr>
              <w:t>15,0</w:t>
            </w:r>
          </w:p>
        </w:tc>
      </w:tr>
      <w:tr w:rsidR="00FB4004" w:rsidRPr="007F4928" w:rsidTr="0077485E">
        <w:trPr>
          <w:trHeight w:val="611"/>
          <w:jc w:val="center"/>
        </w:trPr>
        <w:tc>
          <w:tcPr>
            <w:tcW w:w="127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B4004" w:rsidRPr="00FE749F" w:rsidRDefault="00FB4004" w:rsidP="000C6A67">
            <w:pPr>
              <w:spacing w:after="0" w:line="240" w:lineRule="auto"/>
              <w:ind w:left="9"/>
              <w:rPr>
                <w:rFonts w:ascii="Arial" w:eastAsia="Times New Roman" w:hAnsi="Arial" w:cs="Arial"/>
                <w:sz w:val="20"/>
                <w:szCs w:val="20"/>
              </w:rPr>
            </w:pPr>
            <w:r w:rsidRPr="00FE749F">
              <w:rPr>
                <w:rFonts w:ascii="Arial" w:eastAsia="Times New Roman" w:hAnsi="Arial" w:cs="Arial"/>
                <w:sz w:val="20"/>
                <w:szCs w:val="20"/>
              </w:rPr>
              <w:t>Participarea adulților în ÎPV</w:t>
            </w:r>
            <w:r w:rsidRPr="00FE749F">
              <w:rPr>
                <w:rStyle w:val="FootnoteReference"/>
                <w:rFonts w:ascii="Arial" w:eastAsia="Times New Roman" w:hAnsi="Arial" w:cs="Arial"/>
                <w:sz w:val="20"/>
                <w:szCs w:val="20"/>
              </w:rPr>
              <w:footnoteReference w:id="16"/>
            </w:r>
            <w:r w:rsidRPr="00FE749F">
              <w:rPr>
                <w:rFonts w:ascii="Arial" w:eastAsia="Times New Roman" w:hAnsi="Arial" w:cs="Arial"/>
                <w:sz w:val="20"/>
                <w:szCs w:val="20"/>
              </w:rPr>
              <w:t xml:space="preserve"> </w:t>
            </w:r>
          </w:p>
        </w:tc>
        <w:tc>
          <w:tcPr>
            <w:tcW w:w="2018"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w:t>
            </w:r>
          </w:p>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(25-64 ani)</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1,6</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1,5</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1,2</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1,4</w:t>
            </w: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sz w:val="20"/>
                <w:szCs w:val="20"/>
              </w:rPr>
            </w:pPr>
            <w:r w:rsidRPr="002A61B3">
              <w:rPr>
                <w:rFonts w:ascii="Arial" w:eastAsia="Times New Roman" w:hAnsi="Arial" w:cs="Arial"/>
                <w:sz w:val="20"/>
                <w:szCs w:val="20"/>
              </w:rPr>
              <w:t>1,2</w:t>
            </w: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sz w:val="20"/>
                <w:szCs w:val="20"/>
              </w:rPr>
            </w:pPr>
            <w:r w:rsidRPr="002A61B3">
              <w:rPr>
                <w:rFonts w:ascii="Arial" w:eastAsia="Times New Roman" w:hAnsi="Arial" w:cs="Arial"/>
                <w:sz w:val="20"/>
                <w:szCs w:val="20"/>
              </w:rPr>
              <w:t>1,8</w:t>
            </w: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bCs/>
                <w:sz w:val="20"/>
                <w:szCs w:val="20"/>
              </w:rPr>
            </w:pPr>
            <w:r w:rsidRPr="002A61B3">
              <w:rPr>
                <w:rFonts w:ascii="Arial" w:eastAsia="Times New Roman" w:hAnsi="Arial" w:cs="Arial"/>
                <w:bCs/>
                <w:sz w:val="20"/>
                <w:szCs w:val="20"/>
              </w:rPr>
              <w:t>1,5</w:t>
            </w:r>
          </w:p>
        </w:tc>
        <w:tc>
          <w:tcPr>
            <w:tcW w:w="955" w:type="dxa"/>
            <w:tcBorders>
              <w:top w:val="single" w:sz="4" w:space="0" w:color="auto"/>
              <w:left w:val="single" w:sz="4" w:space="0" w:color="auto"/>
              <w:bottom w:val="single" w:sz="4" w:space="0" w:color="auto"/>
              <w:right w:val="single" w:sz="4" w:space="0" w:color="auto"/>
            </w:tcBorders>
            <w:shd w:val="clear" w:color="auto" w:fill="DAEEF3" w:themeFill="accent5" w:themeFillTint="33"/>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Cs/>
                <w:sz w:val="20"/>
                <w:szCs w:val="20"/>
              </w:rPr>
            </w:pPr>
            <w:r w:rsidRPr="00FE749F">
              <w:rPr>
                <w:rFonts w:ascii="Arial" w:eastAsia="Times New Roman" w:hAnsi="Arial" w:cs="Arial"/>
                <w:bCs/>
                <w:sz w:val="20"/>
                <w:szCs w:val="20"/>
              </w:rPr>
              <w:t>10,6</w:t>
            </w:r>
          </w:p>
        </w:tc>
        <w:tc>
          <w:tcPr>
            <w:tcW w:w="876" w:type="dxa"/>
            <w:tcBorders>
              <w:top w:val="single" w:sz="4" w:space="0" w:color="auto"/>
              <w:left w:val="single" w:sz="4" w:space="0" w:color="auto"/>
              <w:bottom w:val="single" w:sz="4" w:space="0" w:color="auto"/>
              <w:right w:val="single" w:sz="4" w:space="0" w:color="auto"/>
            </w:tcBorders>
            <w:shd w:val="clear" w:color="auto" w:fill="E5DFEC" w:themeFill="accent4" w:themeFillTint="33"/>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Cs/>
                <w:sz w:val="20"/>
                <w:szCs w:val="20"/>
              </w:rPr>
            </w:pPr>
            <w:r w:rsidRPr="00FE749F">
              <w:rPr>
                <w:rFonts w:ascii="Arial" w:eastAsia="Times New Roman" w:hAnsi="Arial" w:cs="Arial"/>
                <w:bCs/>
                <w:sz w:val="20"/>
                <w:szCs w:val="20"/>
              </w:rPr>
              <w:t>10</w:t>
            </w:r>
          </w:p>
        </w:tc>
        <w:tc>
          <w:tcPr>
            <w:tcW w:w="694" w:type="dxa"/>
            <w:tcBorders>
              <w:top w:val="single" w:sz="4" w:space="0" w:color="auto"/>
              <w:left w:val="single" w:sz="4" w:space="0" w:color="auto"/>
              <w:bottom w:val="single" w:sz="4" w:space="0" w:color="auto"/>
              <w:right w:val="single" w:sz="4" w:space="0" w:color="auto"/>
            </w:tcBorders>
            <w:shd w:val="clear" w:color="auto" w:fill="DDD9C3" w:themeFill="background2" w:themeFillShade="E6"/>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Cs/>
                <w:sz w:val="20"/>
                <w:szCs w:val="20"/>
              </w:rPr>
            </w:pPr>
            <w:r w:rsidRPr="00FE749F">
              <w:rPr>
                <w:rFonts w:ascii="Arial" w:eastAsia="Times New Roman" w:hAnsi="Arial" w:cs="Arial"/>
                <w:bCs/>
                <w:sz w:val="20"/>
                <w:szCs w:val="20"/>
              </w:rPr>
              <w:t>15</w:t>
            </w:r>
          </w:p>
        </w:tc>
      </w:tr>
      <w:tr w:rsidR="00FB4004" w:rsidRPr="007F4928" w:rsidTr="0077485E">
        <w:trPr>
          <w:trHeight w:val="326"/>
          <w:jc w:val="center"/>
        </w:trPr>
        <w:tc>
          <w:tcPr>
            <w:tcW w:w="1278"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B4004" w:rsidRPr="00FE749F" w:rsidRDefault="00FB4004" w:rsidP="000C6A67">
            <w:pPr>
              <w:spacing w:after="0" w:line="240" w:lineRule="auto"/>
              <w:ind w:left="9"/>
              <w:rPr>
                <w:rFonts w:ascii="Arial" w:eastAsia="Times New Roman" w:hAnsi="Arial" w:cs="Arial"/>
                <w:sz w:val="20"/>
                <w:szCs w:val="20"/>
              </w:rPr>
            </w:pPr>
            <w:r w:rsidRPr="00FE749F">
              <w:rPr>
                <w:rFonts w:ascii="Arial" w:eastAsia="Times New Roman" w:hAnsi="Arial" w:cs="Arial"/>
                <w:sz w:val="20"/>
                <w:szCs w:val="20"/>
              </w:rPr>
              <w:t>Rata de ocupare a absolvenților (ISCED 3-6)</w:t>
            </w:r>
            <w:r w:rsidRPr="00FE749F">
              <w:rPr>
                <w:rStyle w:val="FootnoteReference"/>
                <w:rFonts w:ascii="Arial" w:eastAsia="Times New Roman" w:hAnsi="Arial" w:cs="Arial"/>
                <w:sz w:val="20"/>
                <w:szCs w:val="20"/>
              </w:rPr>
              <w:footnoteReference w:id="17"/>
            </w:r>
          </w:p>
        </w:tc>
        <w:tc>
          <w:tcPr>
            <w:tcW w:w="930" w:type="dxa"/>
            <w:vMerge w:val="restart"/>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w:t>
            </w:r>
          </w:p>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(20-34 ani)</w:t>
            </w:r>
          </w:p>
        </w:tc>
        <w:tc>
          <w:tcPr>
            <w:tcW w:w="10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ISCED 3-8</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72,0</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77,7</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71,2</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70,8</w:t>
            </w: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sz w:val="20"/>
                <w:szCs w:val="20"/>
              </w:rPr>
            </w:pPr>
            <w:r w:rsidRPr="002A61B3">
              <w:rPr>
                <w:rFonts w:ascii="Arial" w:eastAsia="Times New Roman" w:hAnsi="Arial" w:cs="Arial"/>
                <w:sz w:val="20"/>
                <w:szCs w:val="20"/>
              </w:rPr>
              <w:t>70,1</w:t>
            </w: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sz w:val="20"/>
                <w:szCs w:val="20"/>
              </w:rPr>
            </w:pPr>
            <w:r w:rsidRPr="002A61B3">
              <w:rPr>
                <w:rFonts w:ascii="Arial" w:eastAsia="Times New Roman" w:hAnsi="Arial" w:cs="Arial"/>
                <w:sz w:val="20"/>
                <w:szCs w:val="20"/>
              </w:rPr>
              <w:t>67,2</w:t>
            </w: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bCs/>
                <w:sz w:val="20"/>
                <w:szCs w:val="20"/>
              </w:rPr>
            </w:pPr>
            <w:r w:rsidRPr="002A61B3">
              <w:rPr>
                <w:rFonts w:ascii="Arial" w:eastAsia="Times New Roman" w:hAnsi="Arial" w:cs="Arial"/>
                <w:bCs/>
                <w:sz w:val="20"/>
                <w:szCs w:val="20"/>
              </w:rPr>
              <w:t>66,2</w:t>
            </w:r>
          </w:p>
        </w:tc>
        <w:tc>
          <w:tcPr>
            <w:tcW w:w="955" w:type="dxa"/>
            <w:tcBorders>
              <w:top w:val="single" w:sz="4" w:space="0" w:color="auto"/>
              <w:left w:val="single" w:sz="4" w:space="0" w:color="auto"/>
              <w:bottom w:val="single" w:sz="4" w:space="0" w:color="auto"/>
              <w:right w:val="single" w:sz="4" w:space="0" w:color="auto"/>
            </w:tcBorders>
            <w:shd w:val="clear" w:color="auto" w:fill="DAEEF3" w:themeFill="accent5" w:themeFillTint="33"/>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Cs/>
                <w:sz w:val="20"/>
                <w:szCs w:val="20"/>
              </w:rPr>
            </w:pPr>
            <w:r w:rsidRPr="00FE749F">
              <w:rPr>
                <w:rFonts w:ascii="Arial" w:eastAsia="Times New Roman" w:hAnsi="Arial" w:cs="Arial"/>
                <w:bCs/>
                <w:sz w:val="20"/>
                <w:szCs w:val="20"/>
              </w:rPr>
              <w:t>76,2</w:t>
            </w:r>
          </w:p>
        </w:tc>
        <w:tc>
          <w:tcPr>
            <w:tcW w:w="876" w:type="dxa"/>
            <w:tcBorders>
              <w:top w:val="single" w:sz="4" w:space="0" w:color="auto"/>
              <w:left w:val="single" w:sz="4" w:space="0" w:color="auto"/>
              <w:bottom w:val="single" w:sz="4" w:space="0" w:color="auto"/>
              <w:right w:val="single" w:sz="4" w:space="0" w:color="auto"/>
            </w:tcBorders>
            <w:shd w:val="clear" w:color="auto" w:fill="E5DFEC" w:themeFill="accent4" w:themeFillTint="33"/>
            <w:noWrap/>
            <w:tcMar>
              <w:top w:w="0" w:type="dxa"/>
              <w:left w:w="28" w:type="dxa"/>
              <w:bottom w:w="0" w:type="dxa"/>
              <w:right w:w="28" w:type="dxa"/>
            </w:tcMar>
            <w:vAlign w:val="center"/>
          </w:tcPr>
          <w:p w:rsidR="00FB4004" w:rsidRPr="00FE749F" w:rsidRDefault="00FB4004" w:rsidP="000C6A67">
            <w:pPr>
              <w:spacing w:after="0" w:line="240" w:lineRule="auto"/>
              <w:jc w:val="center"/>
              <w:rPr>
                <w:rFonts w:ascii="Arial" w:eastAsia="Times New Roman" w:hAnsi="Arial" w:cs="Arial"/>
                <w:bCs/>
                <w:sz w:val="20"/>
                <w:szCs w:val="20"/>
              </w:rPr>
            </w:pPr>
          </w:p>
        </w:tc>
        <w:tc>
          <w:tcPr>
            <w:tcW w:w="694" w:type="dxa"/>
            <w:tcBorders>
              <w:top w:val="single" w:sz="4" w:space="0" w:color="auto"/>
              <w:left w:val="single" w:sz="4" w:space="0" w:color="auto"/>
              <w:bottom w:val="single" w:sz="4" w:space="0" w:color="auto"/>
              <w:right w:val="single" w:sz="4" w:space="0" w:color="auto"/>
            </w:tcBorders>
            <w:shd w:val="clear" w:color="auto" w:fill="DDD9C3" w:themeFill="background2" w:themeFillShade="E6"/>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Cs/>
                <w:sz w:val="20"/>
                <w:szCs w:val="20"/>
              </w:rPr>
            </w:pPr>
            <w:r w:rsidRPr="00FE749F">
              <w:rPr>
                <w:rFonts w:ascii="Arial" w:eastAsia="Times New Roman" w:hAnsi="Arial" w:cs="Arial"/>
                <w:bCs/>
                <w:sz w:val="20"/>
                <w:szCs w:val="20"/>
              </w:rPr>
              <w:t>82</w:t>
            </w:r>
          </w:p>
        </w:tc>
      </w:tr>
      <w:tr w:rsidR="00FB4004" w:rsidRPr="007F4928" w:rsidTr="0077485E">
        <w:trPr>
          <w:trHeight w:val="278"/>
          <w:jc w:val="center"/>
        </w:trPr>
        <w:tc>
          <w:tcPr>
            <w:tcW w:w="1278" w:type="dxa"/>
            <w:vMerge/>
            <w:tcBorders>
              <w:top w:val="single" w:sz="4" w:space="0" w:color="auto"/>
              <w:left w:val="single" w:sz="4" w:space="0" w:color="auto"/>
              <w:bottom w:val="single" w:sz="4" w:space="0" w:color="auto"/>
              <w:right w:val="single" w:sz="4" w:space="0" w:color="auto"/>
            </w:tcBorders>
            <w:vAlign w:val="center"/>
            <w:hideMark/>
          </w:tcPr>
          <w:p w:rsidR="00FB4004" w:rsidRPr="00FE749F" w:rsidRDefault="00FB4004" w:rsidP="000C6A67">
            <w:pPr>
              <w:spacing w:after="0" w:line="240" w:lineRule="auto"/>
              <w:rPr>
                <w:rFonts w:ascii="Arial" w:eastAsia="Times New Roman" w:hAnsi="Arial" w:cs="Arial"/>
                <w:sz w:val="20"/>
                <w:szCs w:val="20"/>
              </w:rPr>
            </w:pPr>
          </w:p>
        </w:tc>
        <w:tc>
          <w:tcPr>
            <w:tcW w:w="930" w:type="dxa"/>
            <w:vMerge/>
            <w:tcBorders>
              <w:top w:val="single" w:sz="4" w:space="0" w:color="auto"/>
              <w:left w:val="single" w:sz="4" w:space="0" w:color="auto"/>
              <w:bottom w:val="single" w:sz="4" w:space="0" w:color="auto"/>
              <w:right w:val="single" w:sz="4" w:space="0" w:color="auto"/>
            </w:tcBorders>
            <w:vAlign w:val="center"/>
            <w:hideMark/>
          </w:tcPr>
          <w:p w:rsidR="00FB4004" w:rsidRPr="00FE749F" w:rsidRDefault="00FB4004" w:rsidP="000C6A67">
            <w:pPr>
              <w:spacing w:after="0" w:line="240" w:lineRule="auto"/>
              <w:rPr>
                <w:rFonts w:ascii="Arial" w:eastAsia="Times New Roman" w:hAnsi="Arial" w:cs="Arial"/>
                <w:sz w:val="20"/>
                <w:szCs w:val="20"/>
              </w:rPr>
            </w:pPr>
          </w:p>
        </w:tc>
        <w:tc>
          <w:tcPr>
            <w:tcW w:w="10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ISCED 3-4</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62,7</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69,1</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60,8</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58,9</w:t>
            </w: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sz w:val="20"/>
                <w:szCs w:val="20"/>
              </w:rPr>
            </w:pPr>
            <w:r w:rsidRPr="002A61B3">
              <w:rPr>
                <w:rFonts w:ascii="Arial" w:eastAsia="Times New Roman" w:hAnsi="Arial" w:cs="Arial"/>
                <w:sz w:val="20"/>
                <w:szCs w:val="20"/>
              </w:rPr>
              <w:t>59,3</w:t>
            </w: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sz w:val="20"/>
                <w:szCs w:val="20"/>
              </w:rPr>
            </w:pPr>
            <w:r w:rsidRPr="002A61B3">
              <w:rPr>
                <w:rFonts w:ascii="Arial" w:eastAsia="Times New Roman" w:hAnsi="Arial" w:cs="Arial"/>
                <w:sz w:val="20"/>
                <w:szCs w:val="20"/>
              </w:rPr>
              <w:t>55,0</w:t>
            </w: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bCs/>
                <w:sz w:val="20"/>
                <w:szCs w:val="20"/>
              </w:rPr>
            </w:pPr>
            <w:r w:rsidRPr="002A61B3">
              <w:rPr>
                <w:rFonts w:ascii="Arial" w:eastAsia="Times New Roman" w:hAnsi="Arial" w:cs="Arial"/>
                <w:bCs/>
                <w:sz w:val="20"/>
                <w:szCs w:val="20"/>
              </w:rPr>
              <w:t>57,2</w:t>
            </w:r>
          </w:p>
        </w:tc>
        <w:tc>
          <w:tcPr>
            <w:tcW w:w="955" w:type="dxa"/>
            <w:tcBorders>
              <w:top w:val="single" w:sz="4" w:space="0" w:color="auto"/>
              <w:left w:val="single" w:sz="4" w:space="0" w:color="auto"/>
              <w:bottom w:val="single" w:sz="4" w:space="0" w:color="auto"/>
              <w:right w:val="single" w:sz="4" w:space="0" w:color="auto"/>
            </w:tcBorders>
            <w:shd w:val="clear" w:color="auto" w:fill="DAEEF3" w:themeFill="accent5" w:themeFillTint="33"/>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Cs/>
                <w:sz w:val="20"/>
                <w:szCs w:val="20"/>
              </w:rPr>
            </w:pPr>
            <w:r w:rsidRPr="00FE749F">
              <w:rPr>
                <w:rFonts w:ascii="Arial" w:eastAsia="Times New Roman" w:hAnsi="Arial" w:cs="Arial"/>
                <w:bCs/>
                <w:sz w:val="20"/>
                <w:szCs w:val="20"/>
              </w:rPr>
              <w:t>70,6</w:t>
            </w:r>
          </w:p>
        </w:tc>
        <w:tc>
          <w:tcPr>
            <w:tcW w:w="876" w:type="dxa"/>
            <w:tcBorders>
              <w:top w:val="single" w:sz="4" w:space="0" w:color="auto"/>
              <w:left w:val="single" w:sz="4" w:space="0" w:color="auto"/>
              <w:bottom w:val="single" w:sz="4" w:space="0" w:color="auto"/>
              <w:right w:val="single" w:sz="4" w:space="0" w:color="auto"/>
            </w:tcBorders>
            <w:shd w:val="clear" w:color="auto" w:fill="E5DFEC" w:themeFill="accent4" w:themeFillTint="33"/>
            <w:noWrap/>
            <w:tcMar>
              <w:top w:w="0" w:type="dxa"/>
              <w:left w:w="28" w:type="dxa"/>
              <w:bottom w:w="0" w:type="dxa"/>
              <w:right w:w="28" w:type="dxa"/>
            </w:tcMar>
            <w:vAlign w:val="center"/>
          </w:tcPr>
          <w:p w:rsidR="00FB4004" w:rsidRPr="00FE749F" w:rsidRDefault="00FB4004" w:rsidP="000C6A67">
            <w:pPr>
              <w:spacing w:after="0" w:line="240" w:lineRule="auto"/>
              <w:jc w:val="center"/>
              <w:rPr>
                <w:rFonts w:ascii="Arial" w:eastAsia="Times New Roman" w:hAnsi="Arial" w:cs="Arial"/>
                <w:bCs/>
                <w:sz w:val="20"/>
                <w:szCs w:val="20"/>
              </w:rPr>
            </w:pPr>
          </w:p>
        </w:tc>
        <w:tc>
          <w:tcPr>
            <w:tcW w:w="694" w:type="dxa"/>
            <w:tcBorders>
              <w:top w:val="single" w:sz="4" w:space="0" w:color="auto"/>
              <w:left w:val="single" w:sz="4" w:space="0" w:color="auto"/>
              <w:bottom w:val="single" w:sz="4" w:space="0" w:color="auto"/>
              <w:right w:val="single" w:sz="4" w:space="0" w:color="auto"/>
            </w:tcBorders>
            <w:shd w:val="clear" w:color="auto" w:fill="DDD9C3" w:themeFill="background2" w:themeFillShade="E6"/>
            <w:tcMar>
              <w:top w:w="0" w:type="dxa"/>
              <w:left w:w="28" w:type="dxa"/>
              <w:bottom w:w="0" w:type="dxa"/>
              <w:right w:w="28" w:type="dxa"/>
            </w:tcMar>
            <w:vAlign w:val="center"/>
          </w:tcPr>
          <w:p w:rsidR="00FB4004" w:rsidRPr="00FE749F" w:rsidRDefault="00FB4004" w:rsidP="000C6A67">
            <w:pPr>
              <w:spacing w:after="0" w:line="240" w:lineRule="auto"/>
              <w:jc w:val="center"/>
              <w:rPr>
                <w:rFonts w:ascii="Arial" w:eastAsia="Times New Roman" w:hAnsi="Arial" w:cs="Arial"/>
                <w:bCs/>
                <w:sz w:val="20"/>
                <w:szCs w:val="20"/>
              </w:rPr>
            </w:pPr>
          </w:p>
        </w:tc>
      </w:tr>
      <w:tr w:rsidR="00FB4004" w:rsidRPr="007F4928" w:rsidTr="0077485E">
        <w:trPr>
          <w:trHeight w:val="102"/>
          <w:jc w:val="center"/>
        </w:trPr>
        <w:tc>
          <w:tcPr>
            <w:tcW w:w="1278" w:type="dxa"/>
            <w:vMerge/>
            <w:tcBorders>
              <w:top w:val="single" w:sz="4" w:space="0" w:color="auto"/>
              <w:left w:val="single" w:sz="4" w:space="0" w:color="auto"/>
              <w:bottom w:val="single" w:sz="4" w:space="0" w:color="auto"/>
              <w:right w:val="single" w:sz="4" w:space="0" w:color="auto"/>
            </w:tcBorders>
            <w:vAlign w:val="center"/>
            <w:hideMark/>
          </w:tcPr>
          <w:p w:rsidR="00FB4004" w:rsidRPr="00FE749F" w:rsidRDefault="00FB4004" w:rsidP="000C6A67">
            <w:pPr>
              <w:spacing w:after="0" w:line="240" w:lineRule="auto"/>
              <w:rPr>
                <w:rFonts w:ascii="Arial" w:eastAsia="Times New Roman" w:hAnsi="Arial" w:cs="Arial"/>
                <w:sz w:val="20"/>
                <w:szCs w:val="20"/>
              </w:rPr>
            </w:pPr>
          </w:p>
        </w:tc>
        <w:tc>
          <w:tcPr>
            <w:tcW w:w="930" w:type="dxa"/>
            <w:vMerge/>
            <w:tcBorders>
              <w:top w:val="single" w:sz="4" w:space="0" w:color="auto"/>
              <w:left w:val="single" w:sz="4" w:space="0" w:color="auto"/>
              <w:bottom w:val="single" w:sz="4" w:space="0" w:color="auto"/>
              <w:right w:val="single" w:sz="4" w:space="0" w:color="auto"/>
            </w:tcBorders>
            <w:vAlign w:val="center"/>
            <w:hideMark/>
          </w:tcPr>
          <w:p w:rsidR="00FB4004" w:rsidRPr="00FE749F" w:rsidRDefault="00FB4004" w:rsidP="000C6A67">
            <w:pPr>
              <w:spacing w:after="0" w:line="240" w:lineRule="auto"/>
              <w:rPr>
                <w:rFonts w:ascii="Arial" w:eastAsia="Times New Roman" w:hAnsi="Arial" w:cs="Arial"/>
                <w:sz w:val="20"/>
                <w:szCs w:val="20"/>
              </w:rPr>
            </w:pPr>
          </w:p>
        </w:tc>
        <w:tc>
          <w:tcPr>
            <w:tcW w:w="10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ISCED 5-8</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84,7</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85,9</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82,4</w:t>
            </w:r>
          </w:p>
        </w:tc>
        <w:tc>
          <w:tcPr>
            <w:tcW w:w="501" w:type="dxa"/>
            <w:tcBorders>
              <w:top w:val="single" w:sz="4" w:space="0" w:color="auto"/>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81,3</w:t>
            </w: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sz w:val="20"/>
                <w:szCs w:val="20"/>
              </w:rPr>
            </w:pPr>
            <w:r w:rsidRPr="002A61B3">
              <w:rPr>
                <w:rFonts w:ascii="Arial" w:eastAsia="Times New Roman" w:hAnsi="Arial" w:cs="Arial"/>
                <w:sz w:val="20"/>
                <w:szCs w:val="20"/>
              </w:rPr>
              <w:t>79,0</w:t>
            </w: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sz w:val="20"/>
                <w:szCs w:val="20"/>
              </w:rPr>
            </w:pPr>
            <w:r w:rsidRPr="002A61B3">
              <w:rPr>
                <w:rFonts w:ascii="Arial" w:eastAsia="Times New Roman" w:hAnsi="Arial" w:cs="Arial"/>
                <w:sz w:val="20"/>
                <w:szCs w:val="20"/>
              </w:rPr>
              <w:t>77,1</w:t>
            </w:r>
          </w:p>
        </w:tc>
        <w:tc>
          <w:tcPr>
            <w:tcW w:w="501"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bCs/>
                <w:sz w:val="20"/>
                <w:szCs w:val="20"/>
              </w:rPr>
            </w:pPr>
            <w:r w:rsidRPr="002A61B3">
              <w:rPr>
                <w:rFonts w:ascii="Arial" w:eastAsia="Times New Roman" w:hAnsi="Arial" w:cs="Arial"/>
                <w:bCs/>
                <w:sz w:val="20"/>
                <w:szCs w:val="20"/>
              </w:rPr>
              <w:t>74,2</w:t>
            </w:r>
          </w:p>
        </w:tc>
        <w:tc>
          <w:tcPr>
            <w:tcW w:w="955" w:type="dxa"/>
            <w:tcBorders>
              <w:top w:val="single" w:sz="4" w:space="0" w:color="auto"/>
              <w:left w:val="single" w:sz="4" w:space="0" w:color="auto"/>
              <w:bottom w:val="single" w:sz="4" w:space="0" w:color="auto"/>
              <w:right w:val="single" w:sz="4" w:space="0" w:color="auto"/>
            </w:tcBorders>
            <w:shd w:val="clear" w:color="auto" w:fill="DAEEF3" w:themeFill="accent5" w:themeFillTint="33"/>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Cs/>
                <w:sz w:val="20"/>
                <w:szCs w:val="20"/>
              </w:rPr>
            </w:pPr>
            <w:r w:rsidRPr="00FE749F">
              <w:rPr>
                <w:rFonts w:ascii="Arial" w:eastAsia="Times New Roman" w:hAnsi="Arial" w:cs="Arial"/>
                <w:bCs/>
                <w:sz w:val="20"/>
                <w:szCs w:val="20"/>
              </w:rPr>
              <w:t>80,9</w:t>
            </w:r>
          </w:p>
        </w:tc>
        <w:tc>
          <w:tcPr>
            <w:tcW w:w="876" w:type="dxa"/>
            <w:tcBorders>
              <w:top w:val="single" w:sz="4" w:space="0" w:color="auto"/>
              <w:left w:val="single" w:sz="4" w:space="0" w:color="auto"/>
              <w:bottom w:val="single" w:sz="4" w:space="0" w:color="auto"/>
              <w:right w:val="single" w:sz="4" w:space="0" w:color="auto"/>
            </w:tcBorders>
            <w:shd w:val="clear" w:color="auto" w:fill="E5DFEC" w:themeFill="accent4" w:themeFillTint="33"/>
            <w:noWrap/>
            <w:tcMar>
              <w:top w:w="0" w:type="dxa"/>
              <w:left w:w="28" w:type="dxa"/>
              <w:bottom w:w="0" w:type="dxa"/>
              <w:right w:w="28" w:type="dxa"/>
            </w:tcMar>
            <w:vAlign w:val="center"/>
          </w:tcPr>
          <w:p w:rsidR="00FB4004" w:rsidRPr="00FE749F" w:rsidRDefault="00FB4004" w:rsidP="000C6A67">
            <w:pPr>
              <w:spacing w:after="0" w:line="240" w:lineRule="auto"/>
              <w:jc w:val="center"/>
              <w:rPr>
                <w:rFonts w:ascii="Arial" w:eastAsia="Times New Roman" w:hAnsi="Arial" w:cs="Arial"/>
                <w:bCs/>
                <w:sz w:val="20"/>
                <w:szCs w:val="20"/>
              </w:rPr>
            </w:pPr>
          </w:p>
        </w:tc>
        <w:tc>
          <w:tcPr>
            <w:tcW w:w="694" w:type="dxa"/>
            <w:tcBorders>
              <w:top w:val="single" w:sz="4" w:space="0" w:color="auto"/>
              <w:left w:val="single" w:sz="4" w:space="0" w:color="auto"/>
              <w:bottom w:val="single" w:sz="4" w:space="0" w:color="auto"/>
              <w:right w:val="single" w:sz="4" w:space="0" w:color="auto"/>
            </w:tcBorders>
            <w:shd w:val="clear" w:color="auto" w:fill="DDD9C3" w:themeFill="background2" w:themeFillShade="E6"/>
            <w:tcMar>
              <w:top w:w="0" w:type="dxa"/>
              <w:left w:w="28" w:type="dxa"/>
              <w:bottom w:w="0" w:type="dxa"/>
              <w:right w:w="28" w:type="dxa"/>
            </w:tcMar>
            <w:vAlign w:val="center"/>
          </w:tcPr>
          <w:p w:rsidR="00FB4004" w:rsidRPr="00FE749F" w:rsidRDefault="00FB4004" w:rsidP="000C6A67">
            <w:pPr>
              <w:spacing w:after="0" w:line="240" w:lineRule="auto"/>
              <w:jc w:val="center"/>
              <w:rPr>
                <w:rFonts w:ascii="Arial" w:eastAsia="Times New Roman" w:hAnsi="Arial" w:cs="Arial"/>
                <w:bCs/>
                <w:sz w:val="20"/>
                <w:szCs w:val="20"/>
              </w:rPr>
            </w:pPr>
          </w:p>
        </w:tc>
      </w:tr>
      <w:tr w:rsidR="00FB4004" w:rsidRPr="00C85831" w:rsidTr="0077485E">
        <w:trPr>
          <w:trHeight w:val="367"/>
          <w:jc w:val="center"/>
        </w:trPr>
        <w:tc>
          <w:tcPr>
            <w:tcW w:w="1278" w:type="dxa"/>
            <w:tcBorders>
              <w:top w:val="single" w:sz="4" w:space="0" w:color="auto"/>
              <w:left w:val="single" w:sz="8" w:space="0" w:color="auto"/>
              <w:bottom w:val="single" w:sz="4" w:space="0" w:color="auto"/>
              <w:right w:val="single" w:sz="4" w:space="0" w:color="auto"/>
            </w:tcBorders>
            <w:tcMar>
              <w:top w:w="0" w:type="dxa"/>
              <w:left w:w="28" w:type="dxa"/>
              <w:bottom w:w="0" w:type="dxa"/>
              <w:right w:w="28" w:type="dxa"/>
            </w:tcMar>
            <w:vAlign w:val="center"/>
            <w:hideMark/>
          </w:tcPr>
          <w:p w:rsidR="00FB4004" w:rsidRPr="00FE749F" w:rsidRDefault="00FB4004" w:rsidP="000C6A67">
            <w:pPr>
              <w:spacing w:after="0" w:line="240" w:lineRule="auto"/>
              <w:ind w:left="9"/>
              <w:rPr>
                <w:rFonts w:ascii="Arial" w:eastAsia="Times New Roman" w:hAnsi="Arial" w:cs="Arial"/>
                <w:sz w:val="20"/>
                <w:szCs w:val="20"/>
              </w:rPr>
            </w:pPr>
            <w:r w:rsidRPr="00FE749F">
              <w:rPr>
                <w:rFonts w:ascii="Arial" w:eastAsia="Times New Roman" w:hAnsi="Arial" w:cs="Arial"/>
                <w:sz w:val="20"/>
                <w:szCs w:val="20"/>
              </w:rPr>
              <w:t>Rata de ocupare</w:t>
            </w:r>
            <w:r w:rsidRPr="00FE749F">
              <w:rPr>
                <w:rStyle w:val="FootnoteReference"/>
                <w:rFonts w:ascii="Arial" w:eastAsia="Times New Roman" w:hAnsi="Arial" w:cs="Arial"/>
                <w:sz w:val="20"/>
                <w:szCs w:val="20"/>
              </w:rPr>
              <w:footnoteReference w:id="18"/>
            </w:r>
          </w:p>
        </w:tc>
        <w:tc>
          <w:tcPr>
            <w:tcW w:w="2018" w:type="dxa"/>
            <w:gridSpan w:val="2"/>
            <w:tcBorders>
              <w:top w:val="nil"/>
              <w:left w:val="nil"/>
              <w:bottom w:val="single" w:sz="4" w:space="0" w:color="auto"/>
              <w:right w:val="single" w:sz="4" w:space="0" w:color="auto"/>
            </w:tcBorders>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w:t>
            </w:r>
          </w:p>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(20-64 ani)</w:t>
            </w:r>
          </w:p>
        </w:tc>
        <w:tc>
          <w:tcPr>
            <w:tcW w:w="501" w:type="dxa"/>
            <w:tcBorders>
              <w:top w:val="nil"/>
              <w:left w:val="single" w:sz="4" w:space="0" w:color="auto"/>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63,6</w:t>
            </w:r>
          </w:p>
        </w:tc>
        <w:tc>
          <w:tcPr>
            <w:tcW w:w="501"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63,5</w:t>
            </w:r>
          </w:p>
        </w:tc>
        <w:tc>
          <w:tcPr>
            <w:tcW w:w="501"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64,8</w:t>
            </w:r>
          </w:p>
        </w:tc>
        <w:tc>
          <w:tcPr>
            <w:tcW w:w="501" w:type="dxa"/>
            <w:tcBorders>
              <w:top w:val="nil"/>
              <w:left w:val="nil"/>
              <w:bottom w:val="single" w:sz="4" w:space="0" w:color="auto"/>
              <w:right w:val="single" w:sz="4" w:space="0" w:color="auto"/>
            </w:tcBorders>
            <w:shd w:val="clear" w:color="auto" w:fill="FFFFFF"/>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sz w:val="20"/>
                <w:szCs w:val="20"/>
              </w:rPr>
            </w:pPr>
            <w:r w:rsidRPr="00FE749F">
              <w:rPr>
                <w:rFonts w:ascii="Arial" w:eastAsia="Times New Roman" w:hAnsi="Arial" w:cs="Arial"/>
                <w:sz w:val="20"/>
                <w:szCs w:val="20"/>
              </w:rPr>
              <w:t>63,8</w:t>
            </w:r>
          </w:p>
        </w:tc>
        <w:tc>
          <w:tcPr>
            <w:tcW w:w="501" w:type="dxa"/>
            <w:tcBorders>
              <w:top w:val="nil"/>
              <w:left w:val="nil"/>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sz w:val="20"/>
                <w:szCs w:val="20"/>
              </w:rPr>
            </w:pPr>
            <w:r w:rsidRPr="002A61B3">
              <w:rPr>
                <w:rFonts w:ascii="Arial" w:eastAsia="Times New Roman" w:hAnsi="Arial" w:cs="Arial"/>
                <w:sz w:val="20"/>
                <w:szCs w:val="20"/>
              </w:rPr>
              <w:t>64,8</w:t>
            </w:r>
          </w:p>
        </w:tc>
        <w:tc>
          <w:tcPr>
            <w:tcW w:w="501" w:type="dxa"/>
            <w:tcBorders>
              <w:top w:val="nil"/>
              <w:left w:val="nil"/>
              <w:bottom w:val="single" w:sz="4" w:space="0" w:color="auto"/>
              <w:right w:val="single" w:sz="4" w:space="0" w:color="auto"/>
            </w:tcBorders>
            <w:shd w:val="clear" w:color="auto" w:fill="FFFFFF" w:themeFill="background1"/>
            <w:noWrap/>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sz w:val="20"/>
                <w:szCs w:val="20"/>
              </w:rPr>
            </w:pPr>
            <w:r w:rsidRPr="002A61B3">
              <w:rPr>
                <w:rFonts w:ascii="Arial" w:eastAsia="Times New Roman" w:hAnsi="Arial" w:cs="Arial"/>
                <w:sz w:val="20"/>
                <w:szCs w:val="20"/>
              </w:rPr>
              <w:t>64,7</w:t>
            </w:r>
          </w:p>
        </w:tc>
        <w:tc>
          <w:tcPr>
            <w:tcW w:w="501" w:type="dxa"/>
            <w:tcBorders>
              <w:top w:val="single" w:sz="4" w:space="0" w:color="auto"/>
              <w:left w:val="nil"/>
              <w:bottom w:val="single" w:sz="4" w:space="0" w:color="auto"/>
              <w:right w:val="single" w:sz="4" w:space="0" w:color="auto"/>
            </w:tcBorders>
            <w:shd w:val="clear" w:color="auto" w:fill="FFFFFF" w:themeFill="background1"/>
            <w:tcMar>
              <w:top w:w="0" w:type="dxa"/>
              <w:left w:w="28" w:type="dxa"/>
              <w:bottom w:w="0" w:type="dxa"/>
              <w:right w:w="28" w:type="dxa"/>
            </w:tcMar>
            <w:vAlign w:val="center"/>
            <w:hideMark/>
          </w:tcPr>
          <w:p w:rsidR="00FB4004" w:rsidRPr="002A61B3" w:rsidRDefault="00FB4004" w:rsidP="000C6A67">
            <w:pPr>
              <w:spacing w:after="0" w:line="240" w:lineRule="auto"/>
              <w:jc w:val="center"/>
              <w:rPr>
                <w:rFonts w:ascii="Arial" w:eastAsia="Times New Roman" w:hAnsi="Arial" w:cs="Arial"/>
                <w:b/>
                <w:bCs/>
                <w:sz w:val="20"/>
                <w:szCs w:val="20"/>
              </w:rPr>
            </w:pPr>
            <w:r w:rsidRPr="002A61B3">
              <w:rPr>
                <w:rFonts w:ascii="Arial" w:eastAsia="Times New Roman" w:hAnsi="Arial" w:cs="Arial"/>
                <w:b/>
                <w:bCs/>
                <w:sz w:val="20"/>
                <w:szCs w:val="20"/>
              </w:rPr>
              <w:t>65,7</w:t>
            </w:r>
          </w:p>
        </w:tc>
        <w:tc>
          <w:tcPr>
            <w:tcW w:w="955" w:type="dxa"/>
            <w:tcBorders>
              <w:top w:val="single" w:sz="4" w:space="0" w:color="auto"/>
              <w:left w:val="single" w:sz="4" w:space="0" w:color="auto"/>
              <w:bottom w:val="single" w:sz="4" w:space="0" w:color="auto"/>
              <w:right w:val="single" w:sz="4" w:space="0" w:color="auto"/>
            </w:tcBorders>
            <w:shd w:val="clear" w:color="auto" w:fill="DAEEF3" w:themeFill="accent5" w:themeFillTint="33"/>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
                <w:bCs/>
                <w:sz w:val="20"/>
                <w:szCs w:val="20"/>
              </w:rPr>
            </w:pPr>
            <w:r w:rsidRPr="00FE749F">
              <w:rPr>
                <w:rFonts w:ascii="Arial" w:eastAsia="Times New Roman" w:hAnsi="Arial" w:cs="Arial"/>
                <w:b/>
                <w:bCs/>
                <w:sz w:val="20"/>
                <w:szCs w:val="20"/>
              </w:rPr>
              <w:t>69,2</w:t>
            </w:r>
          </w:p>
        </w:tc>
        <w:tc>
          <w:tcPr>
            <w:tcW w:w="876" w:type="dxa"/>
            <w:tcBorders>
              <w:top w:val="nil"/>
              <w:left w:val="single" w:sz="4" w:space="0" w:color="auto"/>
              <w:bottom w:val="single" w:sz="4" w:space="0" w:color="auto"/>
              <w:right w:val="single" w:sz="8" w:space="0" w:color="auto"/>
            </w:tcBorders>
            <w:shd w:val="clear" w:color="auto" w:fill="E5DFEC" w:themeFill="accent4" w:themeFillTint="33"/>
            <w:noWrap/>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
                <w:bCs/>
                <w:sz w:val="20"/>
                <w:szCs w:val="20"/>
              </w:rPr>
            </w:pPr>
            <w:r w:rsidRPr="00FE749F">
              <w:rPr>
                <w:rFonts w:ascii="Arial" w:eastAsia="Times New Roman" w:hAnsi="Arial" w:cs="Arial"/>
                <w:b/>
                <w:bCs/>
                <w:sz w:val="20"/>
                <w:szCs w:val="20"/>
              </w:rPr>
              <w:t>70,0</w:t>
            </w:r>
          </w:p>
        </w:tc>
        <w:tc>
          <w:tcPr>
            <w:tcW w:w="694" w:type="dxa"/>
            <w:tcBorders>
              <w:top w:val="nil"/>
              <w:left w:val="nil"/>
              <w:bottom w:val="single" w:sz="4" w:space="0" w:color="auto"/>
              <w:right w:val="single" w:sz="8" w:space="0" w:color="auto"/>
            </w:tcBorders>
            <w:shd w:val="clear" w:color="auto" w:fill="DDD9C3" w:themeFill="background2" w:themeFillShade="E6"/>
            <w:tcMar>
              <w:top w:w="0" w:type="dxa"/>
              <w:left w:w="28" w:type="dxa"/>
              <w:bottom w:w="0" w:type="dxa"/>
              <w:right w:w="28" w:type="dxa"/>
            </w:tcMar>
            <w:vAlign w:val="center"/>
            <w:hideMark/>
          </w:tcPr>
          <w:p w:rsidR="00FB4004" w:rsidRPr="00FE749F" w:rsidRDefault="00FB4004" w:rsidP="000C6A67">
            <w:pPr>
              <w:spacing w:after="0" w:line="240" w:lineRule="auto"/>
              <w:jc w:val="center"/>
              <w:rPr>
                <w:rFonts w:ascii="Arial" w:eastAsia="Times New Roman" w:hAnsi="Arial" w:cs="Arial"/>
                <w:b/>
                <w:bCs/>
                <w:sz w:val="20"/>
                <w:szCs w:val="20"/>
              </w:rPr>
            </w:pPr>
            <w:r w:rsidRPr="00FE749F">
              <w:rPr>
                <w:rFonts w:ascii="Arial" w:eastAsia="Times New Roman" w:hAnsi="Arial" w:cs="Arial"/>
                <w:b/>
                <w:bCs/>
                <w:sz w:val="20"/>
                <w:szCs w:val="20"/>
              </w:rPr>
              <w:t>75</w:t>
            </w:r>
          </w:p>
        </w:tc>
      </w:tr>
    </w:tbl>
    <w:p w:rsidR="00FB4004" w:rsidRPr="00B90F63" w:rsidRDefault="00FB4004" w:rsidP="000C6A67">
      <w:pPr>
        <w:pStyle w:val="Header"/>
        <w:jc w:val="center"/>
        <w:rPr>
          <w:rFonts w:ascii="Arial" w:hAnsi="Arial" w:cs="Arial"/>
          <w:sz w:val="20"/>
          <w:szCs w:val="20"/>
        </w:rPr>
      </w:pPr>
      <w:r w:rsidRPr="00B90F63">
        <w:rPr>
          <w:rFonts w:ascii="Arial" w:eastAsia="Times New Roman" w:hAnsi="Arial" w:cs="Arial"/>
          <w:sz w:val="20"/>
          <w:szCs w:val="20"/>
        </w:rPr>
        <w:t>Sursa: Pentru datele Eurostat, baza de date online, actualizare: 12 octombrie 2015</w:t>
      </w:r>
    </w:p>
    <w:p w:rsidR="00C348CF" w:rsidRDefault="00C348CF" w:rsidP="000C6A67">
      <w:pPr>
        <w:pStyle w:val="Header"/>
        <w:jc w:val="both"/>
        <w:rPr>
          <w:rFonts w:ascii="Arial" w:hAnsi="Arial" w:cs="Arial"/>
          <w:b/>
          <w:sz w:val="24"/>
          <w:szCs w:val="24"/>
        </w:rPr>
      </w:pPr>
    </w:p>
    <w:p w:rsidR="00DD2534" w:rsidRPr="00D12B06" w:rsidRDefault="00DD2534" w:rsidP="000C6A67">
      <w:pPr>
        <w:pStyle w:val="Header"/>
        <w:jc w:val="both"/>
        <w:rPr>
          <w:rFonts w:ascii="Arial" w:hAnsi="Arial" w:cs="Arial"/>
          <w:b/>
          <w:sz w:val="24"/>
          <w:szCs w:val="24"/>
        </w:rPr>
      </w:pPr>
      <w:r w:rsidRPr="00AF7443">
        <w:rPr>
          <w:rFonts w:ascii="Arial" w:hAnsi="Arial" w:cs="Arial"/>
          <w:b/>
          <w:sz w:val="24"/>
          <w:szCs w:val="24"/>
        </w:rPr>
        <w:t xml:space="preserve">4. </w:t>
      </w:r>
      <w:r w:rsidRPr="00D12B06">
        <w:rPr>
          <w:rFonts w:ascii="Arial" w:hAnsi="Arial" w:cs="Arial"/>
          <w:b/>
          <w:sz w:val="24"/>
          <w:szCs w:val="24"/>
        </w:rPr>
        <w:t>Analizând evoluția indicatorilor de mai sus, comparativ cu media europeană și țintele asumate de România pentru 2020, rezultă următoarele constatări:</w:t>
      </w:r>
    </w:p>
    <w:p w:rsidR="00DD2534" w:rsidRPr="00D12B06" w:rsidRDefault="00DD2534" w:rsidP="00445724">
      <w:pPr>
        <w:pStyle w:val="Header"/>
        <w:numPr>
          <w:ilvl w:val="0"/>
          <w:numId w:val="17"/>
        </w:numPr>
        <w:tabs>
          <w:tab w:val="clear" w:pos="4680"/>
          <w:tab w:val="clear" w:pos="9360"/>
          <w:tab w:val="center" w:pos="709"/>
          <w:tab w:val="right" w:pos="9026"/>
        </w:tabs>
        <w:jc w:val="both"/>
        <w:rPr>
          <w:rFonts w:ascii="Arial" w:hAnsi="Arial" w:cs="Arial"/>
          <w:sz w:val="24"/>
          <w:szCs w:val="24"/>
        </w:rPr>
      </w:pPr>
      <w:r w:rsidRPr="00D12B06">
        <w:rPr>
          <w:rFonts w:ascii="Arial" w:hAnsi="Arial" w:cs="Arial"/>
          <w:sz w:val="24"/>
          <w:szCs w:val="24"/>
        </w:rPr>
        <w:t>rata părăsirii timpurii a școlii în România, 17,3% în 2015,  cu 5,3 puncte procentuale peste media europeană de 12%, este una din cele mai ridicate din Europa, cu o evoluţie sinuoasă, fără un progres semnificativ în direcția țintei naționale, de 11,3%, pentru anul 2020;</w:t>
      </w:r>
    </w:p>
    <w:p w:rsidR="00DD2534" w:rsidRPr="00D12B06" w:rsidRDefault="00DD2534" w:rsidP="00445724">
      <w:pPr>
        <w:pStyle w:val="Header"/>
        <w:numPr>
          <w:ilvl w:val="0"/>
          <w:numId w:val="17"/>
        </w:numPr>
        <w:tabs>
          <w:tab w:val="clear" w:pos="4680"/>
          <w:tab w:val="clear" w:pos="9360"/>
          <w:tab w:val="center" w:pos="709"/>
          <w:tab w:val="right" w:pos="9026"/>
        </w:tabs>
        <w:jc w:val="both"/>
        <w:rPr>
          <w:rFonts w:ascii="Arial" w:hAnsi="Arial" w:cs="Arial"/>
          <w:sz w:val="24"/>
          <w:szCs w:val="24"/>
        </w:rPr>
      </w:pPr>
      <w:r w:rsidRPr="00D12B06">
        <w:rPr>
          <w:rFonts w:ascii="Arial" w:hAnsi="Arial" w:cs="Arial"/>
          <w:sz w:val="24"/>
          <w:szCs w:val="24"/>
        </w:rPr>
        <w:lastRenderedPageBreak/>
        <w:t>ponderea absolvenților de învățământ terțiar a înregistrat un progres bun în direcția țintei naționale, de 26,7% pentru 2020, în creștere de la 16,8% în 2009, la 25,6% în 2015. Cu toate acestea, se constată un decalaj semnificativ între valorile indicatorului la nivel naţional şi cele la nivelul UE 28: media europeană de 38,7% în 2015, ţinta europeană de 40% pentru 2020.</w:t>
      </w:r>
    </w:p>
    <w:p w:rsidR="00DD2534" w:rsidRPr="00AF7443" w:rsidRDefault="00DD2534" w:rsidP="00445724">
      <w:pPr>
        <w:pStyle w:val="Header"/>
        <w:numPr>
          <w:ilvl w:val="0"/>
          <w:numId w:val="17"/>
        </w:numPr>
        <w:tabs>
          <w:tab w:val="clear" w:pos="4680"/>
          <w:tab w:val="clear" w:pos="9360"/>
          <w:tab w:val="center" w:pos="709"/>
          <w:tab w:val="right" w:pos="9026"/>
        </w:tabs>
        <w:jc w:val="both"/>
        <w:rPr>
          <w:rFonts w:ascii="Arial" w:hAnsi="Arial" w:cs="Arial"/>
          <w:sz w:val="24"/>
          <w:szCs w:val="24"/>
        </w:rPr>
      </w:pPr>
      <w:r w:rsidRPr="00AF7443">
        <w:rPr>
          <w:rFonts w:ascii="Arial" w:hAnsi="Arial" w:cs="Arial"/>
          <w:sz w:val="24"/>
          <w:szCs w:val="24"/>
        </w:rPr>
        <w:t>impactul redus al serviciilor de orientare în carieră oferite elevilor de gimnaziu, care ar contribui semnificativ la informarea și conștientizarea abilităților native ale elevilor, atât de către aceștia, cât și de către familii și cadre didactice;</w:t>
      </w:r>
    </w:p>
    <w:p w:rsidR="00DD2534" w:rsidRPr="00AF7443" w:rsidRDefault="00DD2534" w:rsidP="00445724">
      <w:pPr>
        <w:pStyle w:val="Header"/>
        <w:numPr>
          <w:ilvl w:val="0"/>
          <w:numId w:val="17"/>
        </w:numPr>
        <w:tabs>
          <w:tab w:val="clear" w:pos="4680"/>
          <w:tab w:val="clear" w:pos="9360"/>
          <w:tab w:val="center" w:pos="709"/>
          <w:tab w:val="right" w:pos="9026"/>
        </w:tabs>
        <w:jc w:val="both"/>
        <w:rPr>
          <w:rFonts w:ascii="Arial" w:hAnsi="Arial" w:cs="Arial"/>
          <w:sz w:val="24"/>
          <w:szCs w:val="24"/>
        </w:rPr>
      </w:pPr>
      <w:r w:rsidRPr="00AF7443">
        <w:rPr>
          <w:rFonts w:ascii="Arial" w:hAnsi="Arial" w:cs="Arial"/>
          <w:sz w:val="24"/>
          <w:szCs w:val="24"/>
        </w:rPr>
        <w:t>România continuă să se situeze pe penultimul loc între țările europene participante în programul PISA</w:t>
      </w:r>
      <w:r w:rsidRPr="00AF7443">
        <w:rPr>
          <w:rStyle w:val="FootnoteReference"/>
          <w:rFonts w:ascii="Arial" w:hAnsi="Arial" w:cs="Arial"/>
          <w:sz w:val="24"/>
          <w:szCs w:val="24"/>
        </w:rPr>
        <w:footnoteReference w:id="19"/>
      </w:r>
      <w:r w:rsidRPr="00AF7443">
        <w:rPr>
          <w:rFonts w:ascii="Arial" w:hAnsi="Arial" w:cs="Arial"/>
          <w:sz w:val="24"/>
          <w:szCs w:val="24"/>
        </w:rPr>
        <w:t>. În ciuda unui progres bun înregistrat la testarea din 2015 faţă de testarea din 2012 la matematică, rezultatele tinerilor români, în vârstă de 15 ani,  indică un procent foarte ridicat al celor cu competențe scăzute, de 39,9%, în condițiile în care media europeană, în același an, a fost de 22,1%. În 2015 se înregistrează  o creştere a ponderii tinerilor cu competenţe scăzute  la citire şi la ştiinţe faţă de 2012.  La citire, 38,7% din tinerii din România au  un nivel scăzut, faţă de numai 19,7% cât este media la nivelul celor 28 de state europene.  La ştiinţe, 38,5% din tinerii din România au  un nivel scăzut, faţă de numai 23,5% cât este media la nivelul celor 28 de state europene</w:t>
      </w:r>
      <w:r w:rsidR="00B06E0D">
        <w:rPr>
          <w:rFonts w:ascii="Arial" w:hAnsi="Arial" w:cs="Arial"/>
          <w:sz w:val="24"/>
          <w:szCs w:val="24"/>
        </w:rPr>
        <w:t>.</w:t>
      </w:r>
      <w:r w:rsidRPr="00AF7443">
        <w:rPr>
          <w:rFonts w:ascii="Arial" w:hAnsi="Arial" w:cs="Arial"/>
          <w:sz w:val="24"/>
          <w:szCs w:val="24"/>
        </w:rPr>
        <w:t xml:space="preserve"> Ţinta din Cadrul strategic pentru cooperarea europeană în domeniul  educației și formării profesionale ET 2020 propusă la nivel european pentru anul 2020 este de 15% pentru toate cele 3 criterii, citire, matematică şi ştiinţe;</w:t>
      </w:r>
    </w:p>
    <w:p w:rsidR="00DD2534" w:rsidRPr="00AF7443" w:rsidRDefault="00DD2534" w:rsidP="00445724">
      <w:pPr>
        <w:pStyle w:val="Header"/>
        <w:numPr>
          <w:ilvl w:val="0"/>
          <w:numId w:val="17"/>
        </w:numPr>
        <w:tabs>
          <w:tab w:val="clear" w:pos="4680"/>
          <w:tab w:val="clear" w:pos="9360"/>
          <w:tab w:val="center" w:pos="709"/>
          <w:tab w:val="right" w:pos="9026"/>
        </w:tabs>
        <w:jc w:val="both"/>
        <w:rPr>
          <w:rFonts w:ascii="Arial" w:hAnsi="Arial" w:cs="Arial"/>
          <w:sz w:val="24"/>
          <w:szCs w:val="24"/>
        </w:rPr>
      </w:pPr>
      <w:r w:rsidRPr="00AF7443">
        <w:rPr>
          <w:rFonts w:ascii="Arial" w:hAnsi="Arial" w:cs="Arial"/>
          <w:sz w:val="24"/>
          <w:szCs w:val="24"/>
        </w:rPr>
        <w:t>în contextul crizei economice și financiare, rata de ocupare a absolvenților cu vârsta cuprinsă între 20 și 34 de ani, la cel mult 3 ani de la absolvire, a cunoscut o evoluție descrescătoare după anul 2009, cu o uşoară revenire în anul 2015. În cazul absolvenților de învățământ secundar superior ISCED 3-4, rata de ocupare în 2015 a fost de 59,8%, faţă de 69,1% în 2009 şi faţă de media UE 28 DE 70,9%. Cu o rată a ocupării absolvenților de 68,1% în anul 2015, pe ansamblul nivelurilor de educație ISCED 3-8, România se plasează cu peste 8 puncte procentuale sub media europeană, de 76,9% şi departe de ținta de 82%, propusă la nivel european pentru anul 2020;</w:t>
      </w:r>
    </w:p>
    <w:p w:rsidR="00DD2534" w:rsidRPr="00AF7443" w:rsidRDefault="00DD2534" w:rsidP="00445724">
      <w:pPr>
        <w:pStyle w:val="Header"/>
        <w:numPr>
          <w:ilvl w:val="0"/>
          <w:numId w:val="17"/>
        </w:numPr>
        <w:tabs>
          <w:tab w:val="clear" w:pos="4680"/>
          <w:tab w:val="clear" w:pos="9360"/>
          <w:tab w:val="center" w:pos="709"/>
          <w:tab w:val="right" w:pos="9026"/>
        </w:tabs>
        <w:jc w:val="both"/>
        <w:rPr>
          <w:rFonts w:ascii="Arial" w:hAnsi="Arial" w:cs="Arial"/>
          <w:sz w:val="24"/>
          <w:szCs w:val="24"/>
        </w:rPr>
      </w:pPr>
      <w:r w:rsidRPr="00AF7443">
        <w:rPr>
          <w:rFonts w:ascii="Arial" w:hAnsi="Arial" w:cs="Arial"/>
          <w:sz w:val="24"/>
          <w:szCs w:val="24"/>
        </w:rPr>
        <w:t>în ansamblul populației active, cu vârsta cuprinsă între 20 și 64 de ani, rata de ocupare în România a fost, în 2015, de 66% față de media europeană de 70,1%, fără progrese semnificative în perioada analizată, în raport cu ținta de 70%, asumată la nivel  național pentru anul 2020;</w:t>
      </w:r>
    </w:p>
    <w:p w:rsidR="00DD2534" w:rsidRPr="000C6A67" w:rsidRDefault="00DD2534" w:rsidP="00445724">
      <w:pPr>
        <w:pStyle w:val="NormalWeb"/>
        <w:widowControl w:val="0"/>
        <w:numPr>
          <w:ilvl w:val="0"/>
          <w:numId w:val="17"/>
        </w:numPr>
        <w:tabs>
          <w:tab w:val="center" w:pos="709"/>
        </w:tabs>
        <w:spacing w:after="0" w:line="240" w:lineRule="auto"/>
        <w:jc w:val="both"/>
        <w:rPr>
          <w:rFonts w:ascii="Arial" w:hAnsi="Arial" w:cs="Arial"/>
        </w:rPr>
      </w:pPr>
      <w:r w:rsidRPr="00AF7443">
        <w:rPr>
          <w:rFonts w:ascii="Arial" w:hAnsi="Arial" w:cs="Arial"/>
        </w:rPr>
        <w:t>rata de participare a adulților în programe de formare pe parcursul întregii vieți a fost, în 2015, de 1,3 %, în scădere în ultimii 3 ani, mult sub valoarea europeană de 10,7% și departe de ținta de 10% propusă de România pentru 2020.</w:t>
      </w:r>
    </w:p>
    <w:p w:rsidR="00FB4004" w:rsidRPr="00DD2534" w:rsidRDefault="00DD2534" w:rsidP="000C6A67">
      <w:pPr>
        <w:pStyle w:val="Header"/>
        <w:tabs>
          <w:tab w:val="left" w:pos="284"/>
          <w:tab w:val="right" w:pos="709"/>
        </w:tabs>
        <w:jc w:val="both"/>
        <w:rPr>
          <w:rFonts w:ascii="Arial" w:hAnsi="Arial" w:cs="Arial"/>
          <w:b/>
          <w:sz w:val="24"/>
          <w:szCs w:val="24"/>
        </w:rPr>
      </w:pPr>
      <w:r w:rsidRPr="00AF7443">
        <w:rPr>
          <w:rFonts w:ascii="Arial" w:hAnsi="Arial" w:cs="Arial"/>
          <w:b/>
          <w:sz w:val="24"/>
          <w:szCs w:val="24"/>
        </w:rPr>
        <w:t>5. Ponderea relativ bună a tinerilor înscriși în învățământul profesional și tehnic în totalul elevilor înscriși în învățământul secundar superio</w:t>
      </w:r>
      <w:r w:rsidR="005B3B58">
        <w:rPr>
          <w:rFonts w:ascii="Arial" w:hAnsi="Arial" w:cs="Arial"/>
          <w:b/>
          <w:sz w:val="24"/>
          <w:szCs w:val="24"/>
        </w:rPr>
        <w:t xml:space="preserve">r, ISCED 3, în 2015, de 56,3%, </w:t>
      </w:r>
      <w:r w:rsidRPr="00AF7443">
        <w:rPr>
          <w:rFonts w:ascii="Arial" w:hAnsi="Arial" w:cs="Arial"/>
          <w:b/>
          <w:sz w:val="24"/>
          <w:szCs w:val="24"/>
        </w:rPr>
        <w:t>în România, față de media UE-28 de 48,1%</w:t>
      </w:r>
      <w:r w:rsidRPr="00AF7443">
        <w:rPr>
          <w:rStyle w:val="FootnoteReference"/>
          <w:rFonts w:ascii="Arial" w:hAnsi="Arial" w:cs="Arial"/>
          <w:b/>
          <w:sz w:val="24"/>
          <w:szCs w:val="24"/>
        </w:rPr>
        <w:footnoteReference w:id="20"/>
      </w:r>
      <w:r w:rsidRPr="00AF7443">
        <w:rPr>
          <w:rFonts w:ascii="Arial" w:hAnsi="Arial" w:cs="Arial"/>
          <w:b/>
          <w:sz w:val="24"/>
          <w:szCs w:val="24"/>
        </w:rPr>
        <w:t>, demonstrează importanța formării profesionale inițiale pentru piața muncii din România. Cu toate acestea, în perioada 2013-2015 s-a înregistrat o scădere continuă a valorii indicatorului, de la 62,9% în 2013 la 56,3% în 2015.</w:t>
      </w:r>
    </w:p>
    <w:p w:rsidR="00FB4004" w:rsidRPr="00DD5F85" w:rsidRDefault="00FB4004" w:rsidP="000C6A67">
      <w:pPr>
        <w:spacing w:after="0" w:line="240" w:lineRule="auto"/>
        <w:jc w:val="both"/>
        <w:rPr>
          <w:rFonts w:ascii="Arial" w:hAnsi="Arial" w:cs="Arial"/>
          <w:sz w:val="24"/>
          <w:szCs w:val="24"/>
          <w:lang w:eastAsia="ro-RO"/>
        </w:rPr>
      </w:pPr>
    </w:p>
    <w:p w:rsidR="00BB2C3D" w:rsidRDefault="00BB2C3D" w:rsidP="00B46CD7">
      <w:pPr>
        <w:pStyle w:val="Heading2"/>
        <w:spacing w:before="0" w:after="240" w:line="240" w:lineRule="auto"/>
        <w:jc w:val="both"/>
        <w:rPr>
          <w:rFonts w:ascii="Arial" w:hAnsi="Arial" w:cs="Arial"/>
          <w:i/>
          <w:color w:val="auto"/>
          <w:sz w:val="24"/>
          <w:szCs w:val="24"/>
          <w:lang w:eastAsia="ro-RO"/>
        </w:rPr>
      </w:pPr>
      <w:bookmarkStart w:id="7" w:name="_Toc488066007"/>
    </w:p>
    <w:p w:rsidR="00B46CD7" w:rsidRPr="008E0724" w:rsidRDefault="00DA2E62" w:rsidP="00B46CD7">
      <w:pPr>
        <w:pStyle w:val="Heading2"/>
        <w:spacing w:before="0" w:after="240" w:line="240" w:lineRule="auto"/>
        <w:jc w:val="both"/>
        <w:rPr>
          <w:rFonts w:ascii="Arial" w:hAnsi="Arial" w:cs="Arial"/>
          <w:color w:val="auto"/>
          <w:sz w:val="24"/>
          <w:szCs w:val="24"/>
          <w:lang w:eastAsia="ro-RO"/>
        </w:rPr>
      </w:pPr>
      <w:r w:rsidRPr="008E0724">
        <w:rPr>
          <w:rFonts w:ascii="Arial" w:hAnsi="Arial" w:cs="Arial"/>
          <w:color w:val="auto"/>
          <w:sz w:val="24"/>
          <w:szCs w:val="24"/>
          <w:lang w:eastAsia="ro-RO"/>
        </w:rPr>
        <w:t>2.2</w:t>
      </w:r>
      <w:r w:rsidR="004E134F" w:rsidRPr="008E0724">
        <w:rPr>
          <w:rFonts w:ascii="Arial" w:hAnsi="Arial" w:cs="Arial"/>
          <w:color w:val="auto"/>
          <w:sz w:val="24"/>
          <w:szCs w:val="24"/>
          <w:lang w:eastAsia="ro-RO"/>
        </w:rPr>
        <w:t>. Contextul naţional</w:t>
      </w:r>
      <w:bookmarkEnd w:id="7"/>
    </w:p>
    <w:p w:rsidR="00570E43" w:rsidRDefault="00DD2534" w:rsidP="009D7B1D">
      <w:pPr>
        <w:spacing w:after="0" w:line="240" w:lineRule="auto"/>
        <w:jc w:val="both"/>
        <w:rPr>
          <w:rFonts w:ascii="Arial" w:hAnsi="Arial" w:cs="Arial"/>
          <w:sz w:val="24"/>
          <w:szCs w:val="24"/>
          <w:lang w:eastAsia="ro-RO"/>
        </w:rPr>
      </w:pPr>
      <w:r w:rsidRPr="00AF7443">
        <w:rPr>
          <w:rFonts w:ascii="Arial" w:hAnsi="Arial" w:cs="Arial"/>
          <w:b/>
          <w:sz w:val="24"/>
          <w:szCs w:val="24"/>
          <w:lang w:eastAsia="ro-RO"/>
        </w:rPr>
        <w:t>Contextul naţional este definit de o serie de strategii</w:t>
      </w:r>
      <w:r w:rsidRPr="00AF7443">
        <w:rPr>
          <w:rFonts w:ascii="Arial" w:hAnsi="Arial" w:cs="Arial"/>
          <w:sz w:val="24"/>
          <w:szCs w:val="24"/>
          <w:lang w:eastAsia="ro-RO"/>
        </w:rPr>
        <w:t>, între care, de o relevanţă deosebită pentru educaţia şi formarea profesională se numără:</w:t>
      </w:r>
    </w:p>
    <w:p w:rsidR="00570E43" w:rsidRPr="00570E43" w:rsidRDefault="00DD2534" w:rsidP="00445724">
      <w:pPr>
        <w:pStyle w:val="ListParagraph"/>
        <w:numPr>
          <w:ilvl w:val="0"/>
          <w:numId w:val="18"/>
        </w:numPr>
        <w:tabs>
          <w:tab w:val="left" w:pos="90"/>
        </w:tabs>
        <w:ind w:left="360"/>
        <w:jc w:val="both"/>
        <w:rPr>
          <w:rFonts w:ascii="Arial" w:hAnsi="Arial" w:cs="Arial"/>
          <w:sz w:val="24"/>
          <w:szCs w:val="24"/>
          <w:lang w:eastAsia="ro-RO"/>
        </w:rPr>
      </w:pPr>
      <w:r w:rsidRPr="00570E43">
        <w:rPr>
          <w:rFonts w:ascii="Arial" w:hAnsi="Arial" w:cs="Arial"/>
          <w:bCs/>
          <w:color w:val="000000"/>
          <w:sz w:val="24"/>
          <w:szCs w:val="24"/>
        </w:rPr>
        <w:t>Strategia educaţiei şi formării profesionale din România pentru perioada 2014-2020;</w:t>
      </w:r>
    </w:p>
    <w:p w:rsidR="00570E43" w:rsidRPr="00570E43" w:rsidRDefault="00DD2534" w:rsidP="00445724">
      <w:pPr>
        <w:pStyle w:val="ListParagraph"/>
        <w:numPr>
          <w:ilvl w:val="0"/>
          <w:numId w:val="18"/>
        </w:numPr>
        <w:tabs>
          <w:tab w:val="left" w:pos="90"/>
        </w:tabs>
        <w:ind w:left="360"/>
        <w:jc w:val="both"/>
        <w:rPr>
          <w:rFonts w:ascii="Arial" w:hAnsi="Arial" w:cs="Arial"/>
          <w:sz w:val="24"/>
          <w:szCs w:val="24"/>
          <w:lang w:eastAsia="ro-RO"/>
        </w:rPr>
      </w:pPr>
      <w:r w:rsidRPr="00570E43">
        <w:rPr>
          <w:rFonts w:ascii="Arial" w:hAnsi="Arial" w:cs="Arial"/>
          <w:bCs/>
          <w:color w:val="000000"/>
          <w:sz w:val="24"/>
          <w:szCs w:val="24"/>
        </w:rPr>
        <w:t>Strategia națională de învăţare pe tot parcursul vieţii 2015 -2020;</w:t>
      </w:r>
    </w:p>
    <w:p w:rsidR="00570E43" w:rsidRDefault="00DD2534" w:rsidP="00445724">
      <w:pPr>
        <w:pStyle w:val="ListParagraph"/>
        <w:numPr>
          <w:ilvl w:val="0"/>
          <w:numId w:val="18"/>
        </w:numPr>
        <w:tabs>
          <w:tab w:val="left" w:pos="90"/>
        </w:tabs>
        <w:ind w:left="360"/>
        <w:jc w:val="both"/>
        <w:rPr>
          <w:rFonts w:ascii="Arial" w:hAnsi="Arial" w:cs="Arial"/>
          <w:sz w:val="24"/>
          <w:szCs w:val="24"/>
          <w:lang w:eastAsia="ro-RO"/>
        </w:rPr>
      </w:pPr>
      <w:r w:rsidRPr="00570E43">
        <w:rPr>
          <w:rFonts w:ascii="Arial" w:hAnsi="Arial" w:cs="Arial"/>
          <w:sz w:val="24"/>
          <w:szCs w:val="24"/>
        </w:rPr>
        <w:t>Strategia pentru Reducerea Părăsirii Timpurii a Școlii în România;</w:t>
      </w:r>
    </w:p>
    <w:p w:rsidR="00570E43" w:rsidRDefault="00DD2534" w:rsidP="00445724">
      <w:pPr>
        <w:pStyle w:val="ListParagraph"/>
        <w:numPr>
          <w:ilvl w:val="0"/>
          <w:numId w:val="18"/>
        </w:numPr>
        <w:tabs>
          <w:tab w:val="left" w:pos="90"/>
        </w:tabs>
        <w:ind w:left="360"/>
        <w:jc w:val="both"/>
        <w:rPr>
          <w:rFonts w:ascii="Arial" w:hAnsi="Arial" w:cs="Arial"/>
          <w:sz w:val="24"/>
          <w:szCs w:val="24"/>
          <w:lang w:eastAsia="ro-RO"/>
        </w:rPr>
      </w:pPr>
      <w:r w:rsidRPr="00570E43">
        <w:rPr>
          <w:rFonts w:ascii="Arial" w:hAnsi="Arial" w:cs="Arial"/>
          <w:sz w:val="24"/>
          <w:szCs w:val="24"/>
        </w:rPr>
        <w:t>Strategia națională pentru învățământ terțiar 2015-2020;</w:t>
      </w:r>
    </w:p>
    <w:p w:rsidR="00570E43" w:rsidRDefault="00DD2534" w:rsidP="00445724">
      <w:pPr>
        <w:pStyle w:val="ListParagraph"/>
        <w:numPr>
          <w:ilvl w:val="0"/>
          <w:numId w:val="18"/>
        </w:numPr>
        <w:tabs>
          <w:tab w:val="left" w:pos="90"/>
        </w:tabs>
        <w:ind w:left="360"/>
        <w:jc w:val="both"/>
        <w:rPr>
          <w:rFonts w:ascii="Arial" w:hAnsi="Arial" w:cs="Arial"/>
          <w:sz w:val="24"/>
          <w:szCs w:val="24"/>
          <w:lang w:eastAsia="ro-RO"/>
        </w:rPr>
      </w:pPr>
      <w:r w:rsidRPr="00570E43">
        <w:rPr>
          <w:rFonts w:ascii="Arial" w:hAnsi="Arial" w:cs="Arial"/>
          <w:sz w:val="24"/>
          <w:szCs w:val="24"/>
        </w:rPr>
        <w:t>Strategia Națională pentru Ocuparea Forței de Muncă 2014-2020;</w:t>
      </w:r>
    </w:p>
    <w:p w:rsidR="00570E43" w:rsidRDefault="00DD2534" w:rsidP="00445724">
      <w:pPr>
        <w:pStyle w:val="ListParagraph"/>
        <w:numPr>
          <w:ilvl w:val="0"/>
          <w:numId w:val="18"/>
        </w:numPr>
        <w:tabs>
          <w:tab w:val="left" w:pos="90"/>
        </w:tabs>
        <w:ind w:left="360"/>
        <w:jc w:val="both"/>
        <w:rPr>
          <w:rFonts w:ascii="Arial" w:hAnsi="Arial" w:cs="Arial"/>
          <w:sz w:val="24"/>
          <w:szCs w:val="24"/>
          <w:lang w:eastAsia="ro-RO"/>
        </w:rPr>
      </w:pPr>
      <w:r w:rsidRPr="00570E43">
        <w:rPr>
          <w:rFonts w:ascii="Arial" w:hAnsi="Arial" w:cs="Arial"/>
          <w:sz w:val="24"/>
          <w:szCs w:val="24"/>
        </w:rPr>
        <w:t>Strategia națională de cercetare, dezvoltare şi inovare 2014-2020;</w:t>
      </w:r>
    </w:p>
    <w:p w:rsidR="00570E43" w:rsidRDefault="00DD2534" w:rsidP="00445724">
      <w:pPr>
        <w:pStyle w:val="ListParagraph"/>
        <w:numPr>
          <w:ilvl w:val="0"/>
          <w:numId w:val="18"/>
        </w:numPr>
        <w:tabs>
          <w:tab w:val="left" w:pos="90"/>
        </w:tabs>
        <w:ind w:left="360"/>
        <w:jc w:val="both"/>
        <w:rPr>
          <w:rFonts w:ascii="Arial" w:hAnsi="Arial" w:cs="Arial"/>
          <w:sz w:val="24"/>
          <w:szCs w:val="24"/>
          <w:lang w:eastAsia="ro-RO"/>
        </w:rPr>
      </w:pPr>
      <w:r w:rsidRPr="00570E43">
        <w:rPr>
          <w:rFonts w:ascii="Arial" w:hAnsi="Arial" w:cs="Arial"/>
          <w:sz w:val="24"/>
          <w:szCs w:val="24"/>
        </w:rPr>
        <w:t>Strategia Naţională pentru Dezvoltare Durabilă a României Orizonturi 2013-2020-2030;</w:t>
      </w:r>
    </w:p>
    <w:p w:rsidR="00570E43" w:rsidRDefault="00DD2534" w:rsidP="00445724">
      <w:pPr>
        <w:pStyle w:val="ListParagraph"/>
        <w:numPr>
          <w:ilvl w:val="0"/>
          <w:numId w:val="18"/>
        </w:numPr>
        <w:tabs>
          <w:tab w:val="left" w:pos="90"/>
        </w:tabs>
        <w:ind w:left="360"/>
        <w:jc w:val="both"/>
        <w:rPr>
          <w:rFonts w:ascii="Arial" w:hAnsi="Arial" w:cs="Arial"/>
          <w:sz w:val="24"/>
          <w:szCs w:val="24"/>
          <w:lang w:eastAsia="ro-RO"/>
        </w:rPr>
      </w:pPr>
      <w:r w:rsidRPr="00570E43">
        <w:rPr>
          <w:rFonts w:ascii="Arial" w:hAnsi="Arial" w:cs="Arial"/>
          <w:sz w:val="24"/>
          <w:szCs w:val="24"/>
        </w:rPr>
        <w:t>Strategia naţ</w:t>
      </w:r>
      <w:r w:rsidRPr="00570E43">
        <w:rPr>
          <w:rFonts w:ascii="Arial" w:hAnsi="Arial" w:cs="Arial"/>
          <w:sz w:val="24"/>
          <w:szCs w:val="24"/>
        </w:rPr>
        <w:softHyphen/>
        <w:t>ionala privind incluziunea sociala si reducerea sărăciei 2015-2020;</w:t>
      </w:r>
    </w:p>
    <w:p w:rsidR="00570E43" w:rsidRDefault="00DD2534" w:rsidP="00445724">
      <w:pPr>
        <w:pStyle w:val="ListParagraph"/>
        <w:numPr>
          <w:ilvl w:val="0"/>
          <w:numId w:val="18"/>
        </w:numPr>
        <w:tabs>
          <w:tab w:val="left" w:pos="90"/>
        </w:tabs>
        <w:ind w:left="360"/>
        <w:jc w:val="both"/>
        <w:rPr>
          <w:rFonts w:ascii="Arial" w:hAnsi="Arial" w:cs="Arial"/>
          <w:sz w:val="24"/>
          <w:szCs w:val="24"/>
          <w:lang w:eastAsia="ro-RO"/>
        </w:rPr>
      </w:pPr>
      <w:r w:rsidRPr="00570E43">
        <w:rPr>
          <w:rFonts w:ascii="Arial" w:hAnsi="Arial" w:cs="Arial"/>
          <w:sz w:val="24"/>
          <w:szCs w:val="24"/>
        </w:rPr>
        <w:t>Strategia de dezvoltare teritorială a României - România policentrică 2035, Coeziune şi competitivitate teritorială, dezvoltare şi şanse egale pentru oameni;</w:t>
      </w:r>
    </w:p>
    <w:p w:rsidR="00570E43" w:rsidRDefault="00DD2534" w:rsidP="00445724">
      <w:pPr>
        <w:pStyle w:val="ListParagraph"/>
        <w:numPr>
          <w:ilvl w:val="0"/>
          <w:numId w:val="18"/>
        </w:numPr>
        <w:tabs>
          <w:tab w:val="left" w:pos="90"/>
        </w:tabs>
        <w:ind w:left="360"/>
        <w:jc w:val="both"/>
        <w:rPr>
          <w:rFonts w:ascii="Arial" w:hAnsi="Arial" w:cs="Arial"/>
          <w:sz w:val="24"/>
          <w:szCs w:val="24"/>
          <w:lang w:eastAsia="ro-RO"/>
        </w:rPr>
      </w:pPr>
      <w:r w:rsidRPr="00570E43">
        <w:rPr>
          <w:rFonts w:ascii="Arial" w:hAnsi="Arial" w:cs="Arial"/>
          <w:sz w:val="24"/>
          <w:szCs w:val="24"/>
        </w:rPr>
        <w:t>Strategia națională pentru competitivitate 2014-2020;</w:t>
      </w:r>
    </w:p>
    <w:p w:rsidR="00570E43" w:rsidRDefault="00DD2534" w:rsidP="00445724">
      <w:pPr>
        <w:pStyle w:val="ListParagraph"/>
        <w:numPr>
          <w:ilvl w:val="0"/>
          <w:numId w:val="18"/>
        </w:numPr>
        <w:tabs>
          <w:tab w:val="left" w:pos="90"/>
        </w:tabs>
        <w:ind w:left="360"/>
        <w:jc w:val="both"/>
        <w:rPr>
          <w:rFonts w:ascii="Arial" w:hAnsi="Arial" w:cs="Arial"/>
          <w:sz w:val="24"/>
          <w:szCs w:val="24"/>
          <w:lang w:eastAsia="ro-RO"/>
        </w:rPr>
      </w:pPr>
      <w:r w:rsidRPr="00570E43">
        <w:rPr>
          <w:rFonts w:ascii="Arial" w:hAnsi="Arial" w:cs="Arial"/>
          <w:sz w:val="24"/>
          <w:szCs w:val="24"/>
        </w:rPr>
        <w:t>Strategia guvernului României de incluziune a cetăţenilor români aparţinând minorităţii rome pentru perioada 2014-2020;</w:t>
      </w:r>
    </w:p>
    <w:p w:rsidR="00570E43" w:rsidRDefault="00DD2534" w:rsidP="00445724">
      <w:pPr>
        <w:pStyle w:val="ListParagraph"/>
        <w:numPr>
          <w:ilvl w:val="0"/>
          <w:numId w:val="18"/>
        </w:numPr>
        <w:tabs>
          <w:tab w:val="left" w:pos="90"/>
        </w:tabs>
        <w:ind w:left="360"/>
        <w:jc w:val="both"/>
        <w:rPr>
          <w:rFonts w:ascii="Arial" w:hAnsi="Arial" w:cs="Arial"/>
          <w:sz w:val="24"/>
          <w:szCs w:val="24"/>
          <w:lang w:eastAsia="ro-RO"/>
        </w:rPr>
      </w:pPr>
      <w:r w:rsidRPr="00570E43">
        <w:rPr>
          <w:rFonts w:ascii="Arial" w:hAnsi="Arial" w:cs="Arial"/>
          <w:sz w:val="24"/>
          <w:szCs w:val="24"/>
        </w:rPr>
        <w:t>Strategia Naţională privind Agenda Digitală pentru România 2020;</w:t>
      </w:r>
    </w:p>
    <w:p w:rsidR="00570E43" w:rsidRDefault="00DD2534" w:rsidP="00445724">
      <w:pPr>
        <w:pStyle w:val="ListParagraph"/>
        <w:numPr>
          <w:ilvl w:val="0"/>
          <w:numId w:val="18"/>
        </w:numPr>
        <w:tabs>
          <w:tab w:val="left" w:pos="90"/>
        </w:tabs>
        <w:ind w:left="360"/>
        <w:jc w:val="both"/>
        <w:rPr>
          <w:rFonts w:ascii="Arial" w:hAnsi="Arial" w:cs="Arial"/>
          <w:sz w:val="24"/>
          <w:szCs w:val="24"/>
          <w:lang w:eastAsia="ro-RO"/>
        </w:rPr>
      </w:pPr>
      <w:r w:rsidRPr="00570E43">
        <w:rPr>
          <w:rFonts w:ascii="Arial" w:hAnsi="Arial" w:cs="Arial"/>
          <w:sz w:val="24"/>
          <w:szCs w:val="24"/>
        </w:rPr>
        <w:t>Strategia Naţională a României privind Schimbările Climatice 2013-2020;</w:t>
      </w:r>
    </w:p>
    <w:p w:rsidR="00570E43" w:rsidRDefault="00DD2534" w:rsidP="00445724">
      <w:pPr>
        <w:pStyle w:val="ListParagraph"/>
        <w:numPr>
          <w:ilvl w:val="0"/>
          <w:numId w:val="18"/>
        </w:numPr>
        <w:tabs>
          <w:tab w:val="left" w:pos="90"/>
        </w:tabs>
        <w:ind w:left="360"/>
        <w:jc w:val="both"/>
        <w:rPr>
          <w:rFonts w:ascii="Arial" w:hAnsi="Arial" w:cs="Arial"/>
          <w:sz w:val="24"/>
          <w:szCs w:val="24"/>
          <w:lang w:eastAsia="ro-RO"/>
        </w:rPr>
      </w:pPr>
      <w:r w:rsidRPr="00570E43">
        <w:rPr>
          <w:rFonts w:ascii="Arial" w:hAnsi="Arial" w:cs="Arial"/>
          <w:color w:val="000010"/>
          <w:sz w:val="24"/>
          <w:szCs w:val="24"/>
        </w:rPr>
        <w:t>Strategia naţională de gestionare a deşeurilor 2014-2020;</w:t>
      </w:r>
    </w:p>
    <w:p w:rsidR="00570E43" w:rsidRDefault="00DD2534" w:rsidP="00445724">
      <w:pPr>
        <w:pStyle w:val="ListParagraph"/>
        <w:numPr>
          <w:ilvl w:val="0"/>
          <w:numId w:val="18"/>
        </w:numPr>
        <w:tabs>
          <w:tab w:val="left" w:pos="90"/>
        </w:tabs>
        <w:ind w:left="360"/>
        <w:jc w:val="both"/>
        <w:rPr>
          <w:rFonts w:ascii="Arial" w:hAnsi="Arial" w:cs="Arial"/>
          <w:sz w:val="24"/>
          <w:szCs w:val="24"/>
          <w:lang w:eastAsia="ro-RO"/>
        </w:rPr>
      </w:pPr>
      <w:r w:rsidRPr="00570E43">
        <w:rPr>
          <w:rFonts w:ascii="Arial" w:hAnsi="Arial" w:cs="Arial"/>
          <w:sz w:val="24"/>
          <w:szCs w:val="24"/>
        </w:rPr>
        <w:t>Strategia pentru dezvoltarea sectorului agroalimentar pe termen mediu și lung orizont 2020-2030;</w:t>
      </w:r>
    </w:p>
    <w:p w:rsidR="00570E43" w:rsidRDefault="00DD2534" w:rsidP="00445724">
      <w:pPr>
        <w:pStyle w:val="ListParagraph"/>
        <w:numPr>
          <w:ilvl w:val="0"/>
          <w:numId w:val="18"/>
        </w:numPr>
        <w:tabs>
          <w:tab w:val="left" w:pos="90"/>
        </w:tabs>
        <w:ind w:left="360"/>
        <w:jc w:val="both"/>
        <w:rPr>
          <w:rFonts w:ascii="Arial" w:hAnsi="Arial" w:cs="Arial"/>
          <w:sz w:val="24"/>
          <w:szCs w:val="24"/>
          <w:lang w:eastAsia="ro-RO"/>
        </w:rPr>
      </w:pPr>
      <w:r w:rsidRPr="00570E43">
        <w:rPr>
          <w:rFonts w:ascii="Arial" w:hAnsi="Arial" w:cs="Arial"/>
          <w:sz w:val="24"/>
          <w:szCs w:val="24"/>
        </w:rPr>
        <w:t>Planul strategic național multianual privind acvacultura 2014-2020;</w:t>
      </w:r>
    </w:p>
    <w:p w:rsidR="00570E43" w:rsidRDefault="00DD2534" w:rsidP="00445724">
      <w:pPr>
        <w:pStyle w:val="ListParagraph"/>
        <w:numPr>
          <w:ilvl w:val="0"/>
          <w:numId w:val="18"/>
        </w:numPr>
        <w:tabs>
          <w:tab w:val="left" w:pos="90"/>
        </w:tabs>
        <w:ind w:left="360"/>
        <w:jc w:val="both"/>
        <w:rPr>
          <w:rFonts w:ascii="Arial" w:hAnsi="Arial" w:cs="Arial"/>
          <w:sz w:val="24"/>
          <w:szCs w:val="24"/>
          <w:lang w:eastAsia="ro-RO"/>
        </w:rPr>
      </w:pPr>
      <w:r w:rsidRPr="00570E43">
        <w:rPr>
          <w:rFonts w:ascii="Arial" w:hAnsi="Arial" w:cs="Arial"/>
          <w:sz w:val="24"/>
          <w:szCs w:val="24"/>
        </w:rPr>
        <w:t>Strategia energetică a României pentru perioada 2007-2020 actualizată pentru perioada 2011-2020;</w:t>
      </w:r>
    </w:p>
    <w:p w:rsidR="00DD2534" w:rsidRPr="00570E43" w:rsidRDefault="00DD2534" w:rsidP="00445724">
      <w:pPr>
        <w:pStyle w:val="ListParagraph"/>
        <w:numPr>
          <w:ilvl w:val="0"/>
          <w:numId w:val="18"/>
        </w:numPr>
        <w:tabs>
          <w:tab w:val="left" w:pos="90"/>
        </w:tabs>
        <w:ind w:left="360"/>
        <w:jc w:val="both"/>
        <w:rPr>
          <w:rFonts w:ascii="Arial" w:hAnsi="Arial" w:cs="Arial"/>
          <w:sz w:val="24"/>
          <w:szCs w:val="24"/>
          <w:lang w:eastAsia="ro-RO"/>
        </w:rPr>
      </w:pPr>
      <w:r w:rsidRPr="00570E43">
        <w:rPr>
          <w:rFonts w:ascii="Arial" w:hAnsi="Arial" w:cs="Arial"/>
          <w:sz w:val="24"/>
          <w:szCs w:val="24"/>
        </w:rPr>
        <w:t>Strategia Naţională de Sănătate 2014-2020.</w:t>
      </w:r>
    </w:p>
    <w:p w:rsidR="00DD2534" w:rsidRPr="00AF7443" w:rsidRDefault="00DD2534" w:rsidP="000C6A67">
      <w:pPr>
        <w:pStyle w:val="Header"/>
        <w:tabs>
          <w:tab w:val="left" w:pos="284"/>
          <w:tab w:val="right" w:pos="709"/>
        </w:tabs>
        <w:jc w:val="both"/>
        <w:rPr>
          <w:rFonts w:ascii="Arial" w:hAnsi="Arial" w:cs="Arial"/>
          <w:b/>
          <w:bCs/>
          <w:color w:val="000000"/>
          <w:sz w:val="24"/>
          <w:szCs w:val="24"/>
        </w:rPr>
      </w:pPr>
      <w:r w:rsidRPr="00AF7443">
        <w:rPr>
          <w:rFonts w:ascii="Arial" w:hAnsi="Arial" w:cs="Arial"/>
          <w:b/>
          <w:bCs/>
          <w:color w:val="000000"/>
          <w:sz w:val="24"/>
          <w:szCs w:val="24"/>
        </w:rPr>
        <w:t xml:space="preserve">Strategia educaţiei şi formării profesionale din România pentru perioada 2014-2020 are următoarele obiectivele strategice şi direcţiile de acţiune: </w:t>
      </w:r>
    </w:p>
    <w:p w:rsidR="00DD2534" w:rsidRPr="00AF7443" w:rsidRDefault="00DD2534" w:rsidP="000C6A67">
      <w:pPr>
        <w:pStyle w:val="Header"/>
        <w:tabs>
          <w:tab w:val="left" w:pos="284"/>
          <w:tab w:val="right" w:pos="709"/>
        </w:tabs>
        <w:jc w:val="both"/>
        <w:rPr>
          <w:rFonts w:ascii="Arial" w:hAnsi="Arial" w:cs="Arial"/>
          <w:bCs/>
          <w:color w:val="000000"/>
          <w:sz w:val="24"/>
          <w:szCs w:val="24"/>
        </w:rPr>
      </w:pPr>
      <w:r w:rsidRPr="00AF7443">
        <w:rPr>
          <w:rFonts w:ascii="Arial" w:hAnsi="Arial" w:cs="Arial"/>
          <w:b/>
          <w:bCs/>
          <w:color w:val="000000"/>
          <w:sz w:val="24"/>
          <w:szCs w:val="24"/>
        </w:rPr>
        <w:t xml:space="preserve">Obiectivul strategic 1: Îmbunătăţirea relevanţei sistemelor de formare profesională pentru piaţa muncii, </w:t>
      </w:r>
      <w:r w:rsidRPr="00AF7443">
        <w:rPr>
          <w:rFonts w:ascii="Arial" w:hAnsi="Arial" w:cs="Arial"/>
          <w:bCs/>
          <w:color w:val="000000"/>
          <w:sz w:val="24"/>
          <w:szCs w:val="24"/>
        </w:rPr>
        <w:t>având ca țintă strategică</w:t>
      </w:r>
      <w:r w:rsidRPr="00AF7443">
        <w:rPr>
          <w:rFonts w:ascii="Arial" w:hAnsi="Arial" w:cs="Arial"/>
          <w:b/>
          <w:bCs/>
          <w:color w:val="000000"/>
          <w:sz w:val="24"/>
          <w:szCs w:val="24"/>
        </w:rPr>
        <w:t xml:space="preserve"> </w:t>
      </w:r>
      <w:r w:rsidRPr="00AF7443">
        <w:rPr>
          <w:rFonts w:ascii="Arial" w:hAnsi="Arial" w:cs="Arial"/>
          <w:bCs/>
          <w:color w:val="000000"/>
          <w:sz w:val="24"/>
          <w:szCs w:val="24"/>
        </w:rPr>
        <w:t xml:space="preserve">creşterea ratei de ocupare a tinerilor din grupa de vârstă 20-34 ani, necuprinşi în educaţie şi formare, cu nivel de educaţie ISCED 3 și 4 la 63% până în 2020, față de 57,2% în 2014 </w:t>
      </w:r>
    </w:p>
    <w:p w:rsidR="00DD2534" w:rsidRPr="00AF7443" w:rsidRDefault="00DD2534" w:rsidP="000C6A67">
      <w:pPr>
        <w:pStyle w:val="Header"/>
        <w:tabs>
          <w:tab w:val="left" w:pos="284"/>
          <w:tab w:val="right" w:pos="709"/>
        </w:tabs>
        <w:jc w:val="both"/>
        <w:rPr>
          <w:rFonts w:ascii="Arial" w:hAnsi="Arial" w:cs="Arial"/>
          <w:bCs/>
          <w:color w:val="000000"/>
          <w:sz w:val="24"/>
          <w:szCs w:val="24"/>
        </w:rPr>
      </w:pPr>
      <w:r w:rsidRPr="00AF7443">
        <w:rPr>
          <w:rFonts w:ascii="Arial" w:hAnsi="Arial" w:cs="Arial"/>
          <w:bCs/>
          <w:color w:val="000000"/>
          <w:sz w:val="24"/>
          <w:szCs w:val="24"/>
        </w:rPr>
        <w:t>Pentru îndeplinirea acestui obiectiv strategic, sunt prevăzute următoarele direcţii de acţiune:</w:t>
      </w:r>
    </w:p>
    <w:p w:rsidR="00DD2534" w:rsidRPr="00AF7443" w:rsidRDefault="00DD2534" w:rsidP="0042281D">
      <w:pPr>
        <w:pStyle w:val="Header"/>
        <w:tabs>
          <w:tab w:val="right" w:pos="-90"/>
          <w:tab w:val="left" w:pos="0"/>
        </w:tabs>
        <w:ind w:left="566" w:hanging="283"/>
        <w:jc w:val="both"/>
        <w:rPr>
          <w:rFonts w:ascii="Arial" w:hAnsi="Arial" w:cs="Arial"/>
          <w:bCs/>
          <w:color w:val="000000"/>
          <w:sz w:val="24"/>
          <w:szCs w:val="24"/>
        </w:rPr>
      </w:pPr>
      <w:r w:rsidRPr="00AF7443">
        <w:rPr>
          <w:rFonts w:ascii="Arial" w:hAnsi="Arial" w:cs="Arial"/>
          <w:bCs/>
          <w:color w:val="000000"/>
          <w:sz w:val="24"/>
          <w:szCs w:val="24"/>
        </w:rPr>
        <w:t>1.</w:t>
      </w:r>
      <w:r w:rsidRPr="00AF7443">
        <w:rPr>
          <w:rFonts w:ascii="Arial" w:hAnsi="Arial" w:cs="Arial"/>
          <w:bCs/>
          <w:color w:val="000000"/>
          <w:sz w:val="24"/>
          <w:szCs w:val="24"/>
        </w:rPr>
        <w:tab/>
        <w:t>Actualizarea instrumentelor de descriere a ocupaţiilor şi calificărilor, a curriculumului şi a auxiliarelor curriculare, pe nivelurile de calificare stabilite prin Ca</w:t>
      </w:r>
      <w:r w:rsidR="0042281D">
        <w:rPr>
          <w:rFonts w:ascii="Arial" w:hAnsi="Arial" w:cs="Arial"/>
          <w:bCs/>
          <w:color w:val="000000"/>
          <w:sz w:val="24"/>
          <w:szCs w:val="24"/>
        </w:rPr>
        <w:t xml:space="preserve">drul național al calificărilor, </w:t>
      </w:r>
      <w:r w:rsidRPr="00AF7443">
        <w:rPr>
          <w:rFonts w:ascii="Arial" w:hAnsi="Arial" w:cs="Arial"/>
          <w:bCs/>
          <w:color w:val="000000"/>
          <w:sz w:val="24"/>
          <w:szCs w:val="24"/>
        </w:rPr>
        <w:t>pentru o mai bună articulare între subsisteme, pentru facilitarea mobilităţii în educaţie şi formare profesională și pentru creşterea</w:t>
      </w:r>
      <w:r>
        <w:rPr>
          <w:rFonts w:ascii="Arial" w:hAnsi="Arial" w:cs="Arial"/>
          <w:bCs/>
          <w:color w:val="000000"/>
          <w:sz w:val="24"/>
          <w:szCs w:val="24"/>
        </w:rPr>
        <w:t xml:space="preserve"> relevanţei pentru piaţa muncii;</w:t>
      </w:r>
    </w:p>
    <w:p w:rsidR="00DD2534" w:rsidRPr="00AF7443" w:rsidRDefault="00DD2534" w:rsidP="000C6A67">
      <w:pPr>
        <w:pStyle w:val="Header"/>
        <w:tabs>
          <w:tab w:val="left" w:pos="567"/>
          <w:tab w:val="right" w:pos="709"/>
        </w:tabs>
        <w:ind w:left="566" w:hanging="283"/>
        <w:jc w:val="both"/>
        <w:rPr>
          <w:rFonts w:ascii="Arial" w:hAnsi="Arial" w:cs="Arial"/>
          <w:bCs/>
          <w:color w:val="000000"/>
          <w:sz w:val="24"/>
          <w:szCs w:val="24"/>
        </w:rPr>
      </w:pPr>
      <w:r w:rsidRPr="00AF7443">
        <w:rPr>
          <w:rFonts w:ascii="Arial" w:hAnsi="Arial" w:cs="Arial"/>
          <w:bCs/>
          <w:color w:val="000000"/>
          <w:sz w:val="24"/>
          <w:szCs w:val="24"/>
        </w:rPr>
        <w:t>2.</w:t>
      </w:r>
      <w:r w:rsidRPr="00AF7443">
        <w:rPr>
          <w:rFonts w:ascii="Arial" w:hAnsi="Arial" w:cs="Arial"/>
          <w:bCs/>
          <w:color w:val="000000"/>
          <w:sz w:val="24"/>
          <w:szCs w:val="24"/>
        </w:rPr>
        <w:tab/>
        <w:t>Dezvoltarea mecanismelor pentru anticiparea competenţelor solicitate pe piaţa muncii, definirea profilurilor profesionale, în scopul dezvoltării/revizuirii calificărilor în concordanţă cu abilităţile şi cunoştinţele relevante pentru nevoile pieţei forţei de muncă şi adaptarea programelor de învăţământ la nevo</w:t>
      </w:r>
      <w:r>
        <w:rPr>
          <w:rFonts w:ascii="Arial" w:hAnsi="Arial" w:cs="Arial"/>
          <w:bCs/>
          <w:color w:val="000000"/>
          <w:sz w:val="24"/>
          <w:szCs w:val="24"/>
        </w:rPr>
        <w:t>ile şi tendinţele pieţei muncii;</w:t>
      </w:r>
    </w:p>
    <w:p w:rsidR="00DD2534" w:rsidRPr="00AF7443" w:rsidRDefault="00DD2534" w:rsidP="000C6A67">
      <w:pPr>
        <w:pStyle w:val="Header"/>
        <w:tabs>
          <w:tab w:val="left" w:pos="567"/>
          <w:tab w:val="right" w:pos="709"/>
        </w:tabs>
        <w:ind w:left="566" w:hanging="283"/>
        <w:jc w:val="both"/>
        <w:rPr>
          <w:rFonts w:ascii="Arial" w:hAnsi="Arial" w:cs="Arial"/>
          <w:bCs/>
          <w:color w:val="000000"/>
          <w:sz w:val="24"/>
          <w:szCs w:val="24"/>
        </w:rPr>
      </w:pPr>
      <w:r w:rsidRPr="00AF7443">
        <w:rPr>
          <w:rFonts w:ascii="Arial" w:hAnsi="Arial" w:cs="Arial"/>
          <w:bCs/>
          <w:color w:val="000000"/>
          <w:sz w:val="24"/>
          <w:szCs w:val="24"/>
        </w:rPr>
        <w:t>3.</w:t>
      </w:r>
      <w:r w:rsidRPr="00AF7443">
        <w:rPr>
          <w:rFonts w:ascii="Arial" w:hAnsi="Arial" w:cs="Arial"/>
          <w:bCs/>
          <w:color w:val="000000"/>
          <w:sz w:val="24"/>
          <w:szCs w:val="24"/>
        </w:rPr>
        <w:tab/>
        <w:t>Monitorizarea inserţiei profesionale a absol</w:t>
      </w:r>
      <w:r>
        <w:rPr>
          <w:rFonts w:ascii="Arial" w:hAnsi="Arial" w:cs="Arial"/>
          <w:bCs/>
          <w:color w:val="000000"/>
          <w:sz w:val="24"/>
          <w:szCs w:val="24"/>
        </w:rPr>
        <w:t>venţilor programelor de formare;</w:t>
      </w:r>
    </w:p>
    <w:p w:rsidR="00DD2534" w:rsidRPr="00AF7443" w:rsidRDefault="00DD2534" w:rsidP="000C6A67">
      <w:pPr>
        <w:pStyle w:val="Header"/>
        <w:tabs>
          <w:tab w:val="left" w:pos="567"/>
          <w:tab w:val="right" w:pos="709"/>
        </w:tabs>
        <w:ind w:left="566" w:hanging="283"/>
        <w:jc w:val="both"/>
        <w:rPr>
          <w:rFonts w:ascii="Arial" w:hAnsi="Arial" w:cs="Arial"/>
          <w:bCs/>
          <w:color w:val="000000"/>
          <w:sz w:val="24"/>
          <w:szCs w:val="24"/>
        </w:rPr>
      </w:pPr>
      <w:r w:rsidRPr="00AF7443">
        <w:rPr>
          <w:rFonts w:ascii="Arial" w:hAnsi="Arial" w:cs="Arial"/>
          <w:bCs/>
          <w:color w:val="000000"/>
          <w:sz w:val="24"/>
          <w:szCs w:val="24"/>
        </w:rPr>
        <w:t>4.</w:t>
      </w:r>
      <w:r w:rsidRPr="00AF7443">
        <w:rPr>
          <w:rFonts w:ascii="Arial" w:hAnsi="Arial" w:cs="Arial"/>
          <w:bCs/>
          <w:color w:val="000000"/>
          <w:sz w:val="24"/>
          <w:szCs w:val="24"/>
        </w:rPr>
        <w:tab/>
        <w:t>Îmbunătăţirea învăţării la locul de</w:t>
      </w:r>
      <w:r>
        <w:rPr>
          <w:rFonts w:ascii="Arial" w:hAnsi="Arial" w:cs="Arial"/>
          <w:bCs/>
          <w:color w:val="000000"/>
          <w:sz w:val="24"/>
          <w:szCs w:val="24"/>
        </w:rPr>
        <w:t xml:space="preserve"> muncă în formarea profesională;</w:t>
      </w:r>
    </w:p>
    <w:p w:rsidR="00DD2534" w:rsidRPr="00AF7443" w:rsidRDefault="00DD2534" w:rsidP="000C6A67">
      <w:pPr>
        <w:pStyle w:val="Header"/>
        <w:tabs>
          <w:tab w:val="left" w:pos="567"/>
          <w:tab w:val="right" w:pos="709"/>
        </w:tabs>
        <w:ind w:left="566" w:hanging="283"/>
        <w:jc w:val="both"/>
        <w:rPr>
          <w:rFonts w:ascii="Arial" w:hAnsi="Arial" w:cs="Arial"/>
          <w:bCs/>
          <w:color w:val="000000"/>
          <w:sz w:val="24"/>
          <w:szCs w:val="24"/>
        </w:rPr>
      </w:pPr>
      <w:r w:rsidRPr="00AF7443">
        <w:rPr>
          <w:rFonts w:ascii="Arial" w:hAnsi="Arial" w:cs="Arial"/>
          <w:bCs/>
          <w:color w:val="000000"/>
          <w:sz w:val="24"/>
          <w:szCs w:val="24"/>
        </w:rPr>
        <w:t>5.</w:t>
      </w:r>
      <w:r w:rsidRPr="00AF7443">
        <w:rPr>
          <w:rFonts w:ascii="Arial" w:hAnsi="Arial" w:cs="Arial"/>
          <w:bCs/>
          <w:color w:val="000000"/>
          <w:sz w:val="24"/>
          <w:szCs w:val="24"/>
        </w:rPr>
        <w:tab/>
        <w:t xml:space="preserve">Îmbunătăţirea mecanismelor de finanţare publică şi </w:t>
      </w:r>
      <w:r>
        <w:rPr>
          <w:rFonts w:ascii="Arial" w:hAnsi="Arial" w:cs="Arial"/>
          <w:bCs/>
          <w:color w:val="000000"/>
          <w:sz w:val="24"/>
          <w:szCs w:val="24"/>
        </w:rPr>
        <w:t>privată a formării profesionale;</w:t>
      </w:r>
    </w:p>
    <w:p w:rsidR="00DD2534" w:rsidRPr="000C6A67" w:rsidRDefault="00DD2534" w:rsidP="000C6A67">
      <w:pPr>
        <w:pStyle w:val="Header"/>
        <w:tabs>
          <w:tab w:val="left" w:pos="567"/>
          <w:tab w:val="right" w:pos="709"/>
        </w:tabs>
        <w:ind w:left="566" w:hanging="283"/>
        <w:jc w:val="both"/>
        <w:rPr>
          <w:rFonts w:ascii="Arial" w:hAnsi="Arial" w:cs="Arial"/>
          <w:bCs/>
          <w:color w:val="000000"/>
          <w:sz w:val="24"/>
          <w:szCs w:val="24"/>
        </w:rPr>
      </w:pPr>
      <w:r w:rsidRPr="00AF7443">
        <w:rPr>
          <w:rFonts w:ascii="Arial" w:hAnsi="Arial" w:cs="Arial"/>
          <w:bCs/>
          <w:color w:val="000000"/>
          <w:sz w:val="24"/>
          <w:szCs w:val="24"/>
        </w:rPr>
        <w:lastRenderedPageBreak/>
        <w:t>6.</w:t>
      </w:r>
      <w:r w:rsidRPr="00AF7443">
        <w:rPr>
          <w:rFonts w:ascii="Arial" w:hAnsi="Arial" w:cs="Arial"/>
          <w:bCs/>
          <w:color w:val="000000"/>
          <w:sz w:val="24"/>
          <w:szCs w:val="24"/>
        </w:rPr>
        <w:tab/>
        <w:t>Creşterea implicării partenerilor sociali în dezvoltarea sistemului de formare profesională.</w:t>
      </w:r>
    </w:p>
    <w:p w:rsidR="00DD2534" w:rsidRPr="00AF7443" w:rsidRDefault="00EB54A1" w:rsidP="000C6A67">
      <w:pPr>
        <w:pStyle w:val="Header"/>
        <w:tabs>
          <w:tab w:val="left" w:pos="284"/>
          <w:tab w:val="right" w:pos="709"/>
        </w:tabs>
        <w:jc w:val="both"/>
        <w:rPr>
          <w:rFonts w:ascii="Arial" w:hAnsi="Arial" w:cs="Arial"/>
          <w:bCs/>
          <w:color w:val="000000"/>
          <w:sz w:val="24"/>
          <w:szCs w:val="24"/>
        </w:rPr>
      </w:pPr>
      <w:r>
        <w:rPr>
          <w:rFonts w:ascii="Arial" w:hAnsi="Arial" w:cs="Arial"/>
          <w:b/>
          <w:bCs/>
          <w:color w:val="000000"/>
          <w:sz w:val="24"/>
          <w:szCs w:val="24"/>
        </w:rPr>
        <w:t xml:space="preserve">Obiectivul strategic </w:t>
      </w:r>
      <w:r w:rsidR="00DD2534" w:rsidRPr="00AF7443">
        <w:rPr>
          <w:rFonts w:ascii="Arial" w:hAnsi="Arial" w:cs="Arial"/>
          <w:b/>
          <w:bCs/>
          <w:color w:val="000000"/>
          <w:sz w:val="24"/>
          <w:szCs w:val="24"/>
        </w:rPr>
        <w:t xml:space="preserve">2: Creşterea participării şi facilitarea accesului la programele de formare profesională, </w:t>
      </w:r>
      <w:r w:rsidR="00DD2534" w:rsidRPr="00AF7443">
        <w:rPr>
          <w:rFonts w:ascii="Arial" w:hAnsi="Arial" w:cs="Arial"/>
          <w:bCs/>
          <w:color w:val="000000"/>
          <w:sz w:val="24"/>
          <w:szCs w:val="24"/>
        </w:rPr>
        <w:t>având ca ținte strategice:</w:t>
      </w:r>
    </w:p>
    <w:p w:rsidR="00DD2534" w:rsidRPr="00AF7443" w:rsidRDefault="00DD2534" w:rsidP="000C6A67">
      <w:pPr>
        <w:pStyle w:val="Header"/>
        <w:tabs>
          <w:tab w:val="left" w:pos="709"/>
        </w:tabs>
        <w:ind w:left="709" w:hanging="425"/>
        <w:jc w:val="both"/>
        <w:rPr>
          <w:rFonts w:ascii="Arial" w:hAnsi="Arial" w:cs="Arial"/>
          <w:bCs/>
          <w:color w:val="000000"/>
          <w:sz w:val="24"/>
          <w:szCs w:val="24"/>
        </w:rPr>
      </w:pPr>
      <w:r w:rsidRPr="00AF7443">
        <w:rPr>
          <w:rFonts w:ascii="Arial" w:hAnsi="Arial" w:cs="Arial"/>
          <w:bCs/>
          <w:color w:val="000000"/>
          <w:sz w:val="24"/>
          <w:szCs w:val="24"/>
        </w:rPr>
        <w:t>a)</w:t>
      </w:r>
      <w:r w:rsidRPr="00AF7443">
        <w:rPr>
          <w:rFonts w:ascii="Arial" w:hAnsi="Arial" w:cs="Arial"/>
          <w:bCs/>
          <w:color w:val="000000"/>
          <w:sz w:val="24"/>
          <w:szCs w:val="24"/>
        </w:rPr>
        <w:tab/>
        <w:t>Creşterea ponderii elevilor cuprinşi în învăţământul liceal tehnologic şi în învăţământul profesional la 60% în 2020, față de 49,8% în 2014</w:t>
      </w:r>
      <w:r>
        <w:rPr>
          <w:rFonts w:ascii="Arial" w:hAnsi="Arial" w:cs="Arial"/>
          <w:bCs/>
          <w:color w:val="000000"/>
          <w:sz w:val="24"/>
          <w:szCs w:val="24"/>
        </w:rPr>
        <w:t>;</w:t>
      </w:r>
      <w:r w:rsidRPr="00AF7443">
        <w:rPr>
          <w:rFonts w:ascii="Arial" w:hAnsi="Arial" w:cs="Arial"/>
          <w:bCs/>
          <w:color w:val="000000"/>
          <w:sz w:val="24"/>
          <w:szCs w:val="24"/>
        </w:rPr>
        <w:t xml:space="preserve"> </w:t>
      </w:r>
    </w:p>
    <w:p w:rsidR="00DD2534" w:rsidRPr="00AF7443" w:rsidRDefault="00DD2534" w:rsidP="000C6A67">
      <w:pPr>
        <w:pStyle w:val="Header"/>
        <w:tabs>
          <w:tab w:val="left" w:pos="709"/>
        </w:tabs>
        <w:ind w:left="709" w:hanging="425"/>
        <w:jc w:val="both"/>
        <w:rPr>
          <w:rFonts w:ascii="Arial" w:hAnsi="Arial" w:cs="Arial"/>
          <w:bCs/>
          <w:color w:val="000000"/>
          <w:sz w:val="24"/>
          <w:szCs w:val="24"/>
        </w:rPr>
      </w:pPr>
      <w:r w:rsidRPr="00AF7443">
        <w:rPr>
          <w:rFonts w:ascii="Arial" w:hAnsi="Arial" w:cs="Arial"/>
          <w:bCs/>
          <w:color w:val="000000"/>
          <w:sz w:val="24"/>
          <w:szCs w:val="24"/>
        </w:rPr>
        <w:t>b)</w:t>
      </w:r>
      <w:r w:rsidRPr="00AF7443">
        <w:rPr>
          <w:rFonts w:ascii="Arial" w:hAnsi="Arial" w:cs="Arial"/>
          <w:bCs/>
          <w:color w:val="000000"/>
          <w:sz w:val="24"/>
          <w:szCs w:val="24"/>
        </w:rPr>
        <w:tab/>
        <w:t>Creşterea ratei de participare a adulţilor la programe de învățare pe tot parcursul vieții la 10% în 2020, de la 1,5% în 2014</w:t>
      </w:r>
      <w:r>
        <w:rPr>
          <w:rFonts w:ascii="Arial" w:hAnsi="Arial" w:cs="Arial"/>
          <w:bCs/>
          <w:color w:val="000000"/>
          <w:sz w:val="24"/>
          <w:szCs w:val="24"/>
        </w:rPr>
        <w:t>.</w:t>
      </w:r>
    </w:p>
    <w:p w:rsidR="00DD2534" w:rsidRPr="00AF7443" w:rsidRDefault="00DD2534" w:rsidP="000C6A67">
      <w:pPr>
        <w:pStyle w:val="Header"/>
        <w:tabs>
          <w:tab w:val="left" w:pos="426"/>
          <w:tab w:val="right" w:pos="709"/>
        </w:tabs>
        <w:jc w:val="both"/>
        <w:rPr>
          <w:rFonts w:ascii="Arial" w:hAnsi="Arial" w:cs="Arial"/>
          <w:bCs/>
          <w:color w:val="000000"/>
          <w:sz w:val="24"/>
          <w:szCs w:val="24"/>
        </w:rPr>
      </w:pPr>
      <w:r w:rsidRPr="00AF7443">
        <w:rPr>
          <w:rFonts w:ascii="Arial" w:hAnsi="Arial" w:cs="Arial"/>
          <w:bCs/>
          <w:color w:val="000000"/>
          <w:sz w:val="24"/>
          <w:szCs w:val="24"/>
        </w:rPr>
        <w:t>Pentru îndeplinirea acestui obiectiv strategic, sunt prevăzute următoarele direcţii de acţiune:</w:t>
      </w:r>
    </w:p>
    <w:p w:rsidR="00DD2534" w:rsidRPr="00AF7443" w:rsidRDefault="00DD2534" w:rsidP="00570E43">
      <w:pPr>
        <w:pStyle w:val="Header"/>
        <w:tabs>
          <w:tab w:val="left" w:pos="426"/>
          <w:tab w:val="left" w:pos="1985"/>
        </w:tabs>
        <w:ind w:left="567" w:hanging="283"/>
        <w:jc w:val="both"/>
        <w:rPr>
          <w:rFonts w:ascii="Arial" w:hAnsi="Arial" w:cs="Arial"/>
          <w:bCs/>
          <w:color w:val="000000"/>
          <w:sz w:val="24"/>
          <w:szCs w:val="24"/>
        </w:rPr>
      </w:pPr>
      <w:r w:rsidRPr="00AF7443">
        <w:rPr>
          <w:rFonts w:ascii="Arial" w:hAnsi="Arial" w:cs="Arial"/>
          <w:bCs/>
          <w:color w:val="000000"/>
          <w:sz w:val="24"/>
          <w:szCs w:val="24"/>
        </w:rPr>
        <w:t>7. Dezvoltarea marketingului programelor de formare profesională și al rezultatelor învăţării dobândite î</w:t>
      </w:r>
      <w:r>
        <w:rPr>
          <w:rFonts w:ascii="Arial" w:hAnsi="Arial" w:cs="Arial"/>
          <w:bCs/>
          <w:color w:val="000000"/>
          <w:sz w:val="24"/>
          <w:szCs w:val="24"/>
        </w:rPr>
        <w:t>n context nonformal şi informal;</w:t>
      </w:r>
    </w:p>
    <w:p w:rsidR="00DD2534" w:rsidRPr="00AF7443" w:rsidRDefault="00DD2534" w:rsidP="00570E43">
      <w:pPr>
        <w:pStyle w:val="Header"/>
        <w:tabs>
          <w:tab w:val="left" w:pos="426"/>
          <w:tab w:val="left" w:pos="1985"/>
        </w:tabs>
        <w:ind w:left="567" w:hanging="283"/>
        <w:jc w:val="both"/>
        <w:rPr>
          <w:rFonts w:ascii="Arial" w:hAnsi="Arial" w:cs="Arial"/>
          <w:bCs/>
          <w:color w:val="000000"/>
          <w:sz w:val="24"/>
          <w:szCs w:val="24"/>
        </w:rPr>
      </w:pPr>
      <w:r w:rsidRPr="00AF7443">
        <w:rPr>
          <w:rFonts w:ascii="Arial" w:hAnsi="Arial" w:cs="Arial"/>
          <w:bCs/>
          <w:color w:val="000000"/>
          <w:sz w:val="24"/>
          <w:szCs w:val="24"/>
        </w:rPr>
        <w:t>8. Îmbunătăţirea orientării profesionale şi a consilierii în carieră</w:t>
      </w:r>
      <w:r>
        <w:rPr>
          <w:rFonts w:ascii="Arial" w:hAnsi="Arial" w:cs="Arial"/>
          <w:bCs/>
          <w:color w:val="000000"/>
          <w:sz w:val="24"/>
          <w:szCs w:val="24"/>
        </w:rPr>
        <w:t>;</w:t>
      </w:r>
    </w:p>
    <w:p w:rsidR="00DD2534" w:rsidRPr="00AF7443" w:rsidRDefault="0042281D" w:rsidP="00570E43">
      <w:pPr>
        <w:pStyle w:val="Header"/>
        <w:tabs>
          <w:tab w:val="left" w:pos="426"/>
          <w:tab w:val="left" w:pos="993"/>
          <w:tab w:val="left" w:pos="1985"/>
        </w:tabs>
        <w:ind w:left="567" w:hanging="283"/>
        <w:jc w:val="both"/>
        <w:rPr>
          <w:rFonts w:ascii="Arial" w:hAnsi="Arial" w:cs="Arial"/>
          <w:bCs/>
          <w:color w:val="000000"/>
          <w:sz w:val="24"/>
          <w:szCs w:val="24"/>
        </w:rPr>
      </w:pPr>
      <w:r>
        <w:rPr>
          <w:rFonts w:ascii="Arial" w:hAnsi="Arial" w:cs="Arial"/>
          <w:bCs/>
          <w:color w:val="000000"/>
          <w:sz w:val="24"/>
          <w:szCs w:val="24"/>
        </w:rPr>
        <w:t xml:space="preserve">9. </w:t>
      </w:r>
      <w:r w:rsidR="00DD2534" w:rsidRPr="00AF7443">
        <w:rPr>
          <w:rFonts w:ascii="Arial" w:hAnsi="Arial" w:cs="Arial"/>
          <w:bCs/>
          <w:color w:val="000000"/>
          <w:sz w:val="24"/>
          <w:szCs w:val="24"/>
        </w:rPr>
        <w:t>Consolidarea şi flexibilizarea mecanismelor de recunoaştere şi validare a rezultatelor învăţării dobândite î</w:t>
      </w:r>
      <w:r w:rsidR="00DD2534">
        <w:rPr>
          <w:rFonts w:ascii="Arial" w:hAnsi="Arial" w:cs="Arial"/>
          <w:bCs/>
          <w:color w:val="000000"/>
          <w:sz w:val="24"/>
          <w:szCs w:val="24"/>
        </w:rPr>
        <w:t>n context nonformal şi informal;</w:t>
      </w:r>
    </w:p>
    <w:p w:rsidR="00DD2534" w:rsidRPr="000C6A67" w:rsidRDefault="00DD2534" w:rsidP="00570E43">
      <w:pPr>
        <w:pStyle w:val="Header"/>
        <w:tabs>
          <w:tab w:val="left" w:pos="426"/>
          <w:tab w:val="left" w:pos="993"/>
          <w:tab w:val="left" w:pos="1985"/>
        </w:tabs>
        <w:ind w:left="567" w:hanging="283"/>
        <w:jc w:val="both"/>
        <w:rPr>
          <w:rFonts w:ascii="Arial" w:hAnsi="Arial" w:cs="Arial"/>
          <w:bCs/>
          <w:color w:val="000000"/>
          <w:sz w:val="24"/>
          <w:szCs w:val="24"/>
        </w:rPr>
      </w:pPr>
      <w:r w:rsidRPr="00AF7443">
        <w:rPr>
          <w:rFonts w:ascii="Arial" w:hAnsi="Arial" w:cs="Arial"/>
          <w:bCs/>
          <w:color w:val="000000"/>
          <w:sz w:val="24"/>
          <w:szCs w:val="24"/>
        </w:rPr>
        <w:t>10. Facilitarea accesului la programele de formare profesională din sistemul de învățământ pentru tineri, cu accent</w:t>
      </w:r>
      <w:r>
        <w:rPr>
          <w:rFonts w:ascii="Arial" w:hAnsi="Arial" w:cs="Arial"/>
          <w:bCs/>
          <w:color w:val="000000"/>
          <w:sz w:val="24"/>
          <w:szCs w:val="24"/>
        </w:rPr>
        <w:t xml:space="preserve"> pe cei din grupuri vulnerabile;</w:t>
      </w:r>
    </w:p>
    <w:p w:rsidR="00DD2534" w:rsidRPr="00AF7443" w:rsidRDefault="00DD2534" w:rsidP="00570E43">
      <w:pPr>
        <w:pStyle w:val="Header"/>
        <w:tabs>
          <w:tab w:val="left" w:pos="284"/>
          <w:tab w:val="right" w:pos="709"/>
        </w:tabs>
        <w:jc w:val="both"/>
        <w:rPr>
          <w:rFonts w:ascii="Arial" w:hAnsi="Arial" w:cs="Arial"/>
          <w:bCs/>
          <w:color w:val="000000"/>
          <w:sz w:val="24"/>
          <w:szCs w:val="24"/>
        </w:rPr>
      </w:pPr>
      <w:r w:rsidRPr="00AF7443">
        <w:rPr>
          <w:rFonts w:ascii="Arial" w:hAnsi="Arial" w:cs="Arial"/>
          <w:b/>
          <w:bCs/>
          <w:color w:val="000000"/>
          <w:sz w:val="24"/>
          <w:szCs w:val="24"/>
        </w:rPr>
        <w:t xml:space="preserve">Obiectivul strategic 3: Îmbunătăţirea calităţii formării profesionale, </w:t>
      </w:r>
      <w:r w:rsidRPr="00AF7443">
        <w:rPr>
          <w:rFonts w:ascii="Arial" w:hAnsi="Arial" w:cs="Arial"/>
          <w:bCs/>
          <w:color w:val="000000"/>
          <w:sz w:val="24"/>
          <w:szCs w:val="24"/>
        </w:rPr>
        <w:t>având ca ținte strategice:</w:t>
      </w:r>
    </w:p>
    <w:p w:rsidR="00DD2534" w:rsidRPr="00AF7443" w:rsidRDefault="00DD2534" w:rsidP="00570E43">
      <w:pPr>
        <w:pStyle w:val="Header"/>
        <w:tabs>
          <w:tab w:val="left" w:pos="284"/>
          <w:tab w:val="right" w:pos="709"/>
        </w:tabs>
        <w:ind w:left="567" w:hanging="283"/>
        <w:jc w:val="both"/>
        <w:rPr>
          <w:rFonts w:ascii="Arial" w:hAnsi="Arial" w:cs="Arial"/>
          <w:bCs/>
          <w:color w:val="000000"/>
          <w:sz w:val="24"/>
          <w:szCs w:val="24"/>
        </w:rPr>
      </w:pPr>
      <w:r w:rsidRPr="00AF7443">
        <w:rPr>
          <w:rFonts w:ascii="Arial" w:hAnsi="Arial" w:cs="Arial"/>
          <w:bCs/>
          <w:color w:val="000000"/>
          <w:sz w:val="24"/>
          <w:szCs w:val="24"/>
        </w:rPr>
        <w:t>a)</w:t>
      </w:r>
      <w:r w:rsidRPr="00AF7443">
        <w:rPr>
          <w:rFonts w:ascii="Arial" w:hAnsi="Arial" w:cs="Arial"/>
          <w:bCs/>
          <w:color w:val="000000"/>
          <w:sz w:val="24"/>
          <w:szCs w:val="24"/>
        </w:rPr>
        <w:tab/>
        <w:t xml:space="preserve">Reducerea ratei abandonului şcolar la învăţământul liceal tehnologic şi la învăţământul profesional la 2% în 2020, de la 4,2% în 2014 </w:t>
      </w:r>
      <w:r>
        <w:rPr>
          <w:rFonts w:ascii="Arial" w:hAnsi="Arial" w:cs="Arial"/>
          <w:bCs/>
          <w:color w:val="000000"/>
          <w:sz w:val="24"/>
          <w:szCs w:val="24"/>
        </w:rPr>
        <w:t>;</w:t>
      </w:r>
    </w:p>
    <w:p w:rsidR="00DD2534" w:rsidRPr="00AF7443" w:rsidRDefault="00DD2534" w:rsidP="00570E43">
      <w:pPr>
        <w:pStyle w:val="Header"/>
        <w:tabs>
          <w:tab w:val="left" w:pos="284"/>
          <w:tab w:val="right" w:pos="709"/>
        </w:tabs>
        <w:ind w:left="567" w:hanging="283"/>
        <w:jc w:val="both"/>
        <w:rPr>
          <w:rFonts w:ascii="Arial" w:hAnsi="Arial" w:cs="Arial"/>
          <w:bCs/>
          <w:color w:val="000000"/>
          <w:sz w:val="24"/>
          <w:szCs w:val="24"/>
        </w:rPr>
      </w:pPr>
      <w:r w:rsidRPr="00AF7443">
        <w:rPr>
          <w:rFonts w:ascii="Arial" w:hAnsi="Arial" w:cs="Arial"/>
          <w:bCs/>
          <w:color w:val="000000"/>
          <w:sz w:val="24"/>
          <w:szCs w:val="24"/>
        </w:rPr>
        <w:t>b)</w:t>
      </w:r>
      <w:r w:rsidRPr="00AF7443">
        <w:rPr>
          <w:rFonts w:ascii="Arial" w:hAnsi="Arial" w:cs="Arial"/>
          <w:bCs/>
          <w:color w:val="000000"/>
          <w:sz w:val="24"/>
          <w:szCs w:val="24"/>
        </w:rPr>
        <w:tab/>
        <w:t>Creşterea ponderii absolvenţilor învăţământului liceal tehnologic declaraţi reuşiţi la examenul de bacalaureat la 60% în 2020, de la 45 % în 2014</w:t>
      </w:r>
      <w:r>
        <w:rPr>
          <w:rFonts w:ascii="Arial" w:hAnsi="Arial" w:cs="Arial"/>
          <w:bCs/>
          <w:color w:val="000000"/>
          <w:sz w:val="24"/>
          <w:szCs w:val="24"/>
        </w:rPr>
        <w:t>;</w:t>
      </w:r>
      <w:r w:rsidRPr="00AF7443">
        <w:rPr>
          <w:rFonts w:ascii="Arial" w:hAnsi="Arial" w:cs="Arial"/>
          <w:bCs/>
          <w:color w:val="000000"/>
          <w:sz w:val="24"/>
          <w:szCs w:val="24"/>
        </w:rPr>
        <w:t xml:space="preserve"> </w:t>
      </w:r>
    </w:p>
    <w:p w:rsidR="00DD2534" w:rsidRPr="00AF7443" w:rsidRDefault="00DD2534" w:rsidP="00570E43">
      <w:pPr>
        <w:pStyle w:val="Header"/>
        <w:tabs>
          <w:tab w:val="left" w:pos="284"/>
          <w:tab w:val="right" w:pos="709"/>
        </w:tabs>
        <w:ind w:left="567" w:hanging="283"/>
        <w:jc w:val="both"/>
        <w:rPr>
          <w:rFonts w:ascii="Arial" w:hAnsi="Arial" w:cs="Arial"/>
          <w:bCs/>
          <w:color w:val="000000"/>
          <w:sz w:val="24"/>
          <w:szCs w:val="24"/>
        </w:rPr>
      </w:pPr>
      <w:r w:rsidRPr="00AF7443">
        <w:rPr>
          <w:rFonts w:ascii="Arial" w:hAnsi="Arial" w:cs="Arial"/>
          <w:bCs/>
          <w:color w:val="000000"/>
          <w:sz w:val="24"/>
          <w:szCs w:val="24"/>
        </w:rPr>
        <w:t>c)</w:t>
      </w:r>
      <w:r w:rsidRPr="00AF7443">
        <w:rPr>
          <w:rFonts w:ascii="Arial" w:hAnsi="Arial" w:cs="Arial"/>
          <w:bCs/>
          <w:color w:val="000000"/>
          <w:sz w:val="24"/>
          <w:szCs w:val="24"/>
        </w:rPr>
        <w:tab/>
        <w:t>Creşterea ratei de participare a adulţilor la programe de învățare pe tot parcursul vieții la 10% în 2020, de la 1,5% în 2014</w:t>
      </w:r>
      <w:r>
        <w:rPr>
          <w:rFonts w:ascii="Arial" w:hAnsi="Arial" w:cs="Arial"/>
          <w:bCs/>
          <w:color w:val="000000"/>
          <w:sz w:val="24"/>
          <w:szCs w:val="24"/>
        </w:rPr>
        <w:t>.</w:t>
      </w:r>
    </w:p>
    <w:p w:rsidR="00DD2534" w:rsidRPr="00AF7443" w:rsidRDefault="00DD2534" w:rsidP="00570E43">
      <w:pPr>
        <w:pStyle w:val="Header"/>
        <w:tabs>
          <w:tab w:val="left" w:pos="284"/>
          <w:tab w:val="right" w:pos="709"/>
        </w:tabs>
        <w:jc w:val="both"/>
        <w:rPr>
          <w:rFonts w:ascii="Arial" w:hAnsi="Arial" w:cs="Arial"/>
          <w:bCs/>
          <w:color w:val="000000"/>
          <w:sz w:val="24"/>
          <w:szCs w:val="24"/>
        </w:rPr>
      </w:pPr>
      <w:r w:rsidRPr="00AF7443">
        <w:rPr>
          <w:rFonts w:ascii="Arial" w:hAnsi="Arial" w:cs="Arial"/>
          <w:bCs/>
          <w:color w:val="000000"/>
          <w:sz w:val="24"/>
          <w:szCs w:val="24"/>
        </w:rPr>
        <w:t>Pentru îndeplinirea acestui obiectiv strategic, sunt prevăzute următoarele direcţii de acţiune:</w:t>
      </w:r>
    </w:p>
    <w:p w:rsidR="00DD2534" w:rsidRPr="00AF7443" w:rsidRDefault="00DD2534" w:rsidP="00570E43">
      <w:pPr>
        <w:pStyle w:val="Header"/>
        <w:tabs>
          <w:tab w:val="left" w:pos="709"/>
        </w:tabs>
        <w:ind w:left="709" w:hanging="425"/>
        <w:jc w:val="both"/>
        <w:rPr>
          <w:rFonts w:ascii="Arial" w:hAnsi="Arial" w:cs="Arial"/>
          <w:bCs/>
          <w:color w:val="000000"/>
          <w:sz w:val="24"/>
          <w:szCs w:val="24"/>
        </w:rPr>
      </w:pPr>
      <w:r w:rsidRPr="00AF7443">
        <w:rPr>
          <w:rFonts w:ascii="Arial" w:hAnsi="Arial" w:cs="Arial"/>
          <w:bCs/>
          <w:color w:val="000000"/>
          <w:sz w:val="24"/>
          <w:szCs w:val="24"/>
        </w:rPr>
        <w:t>11.</w:t>
      </w:r>
      <w:r w:rsidRPr="00AF7443">
        <w:rPr>
          <w:rFonts w:ascii="Arial" w:hAnsi="Arial" w:cs="Arial"/>
          <w:bCs/>
          <w:color w:val="000000"/>
          <w:sz w:val="24"/>
          <w:szCs w:val="24"/>
        </w:rPr>
        <w:tab/>
        <w:t xml:space="preserve">Dezvoltarea unui cadru naţional de asigurare a calităţii educației și formării </w:t>
      </w:r>
      <w:r>
        <w:rPr>
          <w:rFonts w:ascii="Arial" w:hAnsi="Arial" w:cs="Arial"/>
          <w:bCs/>
          <w:color w:val="000000"/>
          <w:sz w:val="24"/>
          <w:szCs w:val="24"/>
        </w:rPr>
        <w:t>profesionale la nivel de sistem;</w:t>
      </w:r>
    </w:p>
    <w:p w:rsidR="00DD2534" w:rsidRPr="00AF7443" w:rsidRDefault="00DD2534" w:rsidP="00570E43">
      <w:pPr>
        <w:pStyle w:val="Header"/>
        <w:tabs>
          <w:tab w:val="left" w:pos="709"/>
        </w:tabs>
        <w:ind w:left="709" w:hanging="425"/>
        <w:jc w:val="both"/>
        <w:rPr>
          <w:rFonts w:ascii="Arial" w:hAnsi="Arial" w:cs="Arial"/>
          <w:bCs/>
          <w:color w:val="000000"/>
          <w:sz w:val="24"/>
          <w:szCs w:val="24"/>
        </w:rPr>
      </w:pPr>
      <w:r w:rsidRPr="00AF7443">
        <w:rPr>
          <w:rFonts w:ascii="Arial" w:hAnsi="Arial" w:cs="Arial"/>
          <w:bCs/>
          <w:color w:val="000000"/>
          <w:sz w:val="24"/>
          <w:szCs w:val="24"/>
        </w:rPr>
        <w:t>12.</w:t>
      </w:r>
      <w:r w:rsidRPr="00AF7443">
        <w:rPr>
          <w:rFonts w:ascii="Arial" w:hAnsi="Arial" w:cs="Arial"/>
          <w:bCs/>
          <w:color w:val="000000"/>
          <w:sz w:val="24"/>
          <w:szCs w:val="24"/>
        </w:rPr>
        <w:tab/>
        <w:t>Asigurarea calității cert</w:t>
      </w:r>
      <w:r>
        <w:rPr>
          <w:rFonts w:ascii="Arial" w:hAnsi="Arial" w:cs="Arial"/>
          <w:bCs/>
          <w:color w:val="000000"/>
          <w:sz w:val="24"/>
          <w:szCs w:val="24"/>
        </w:rPr>
        <w:t>ificării rezultatelor învățării;</w:t>
      </w:r>
    </w:p>
    <w:p w:rsidR="00DD2534" w:rsidRPr="00AF7443" w:rsidRDefault="00DD2534" w:rsidP="00570E43">
      <w:pPr>
        <w:pStyle w:val="Header"/>
        <w:tabs>
          <w:tab w:val="left" w:pos="709"/>
        </w:tabs>
        <w:ind w:left="709" w:hanging="425"/>
        <w:jc w:val="both"/>
        <w:rPr>
          <w:rFonts w:ascii="Arial" w:hAnsi="Arial" w:cs="Arial"/>
          <w:bCs/>
          <w:color w:val="000000"/>
          <w:sz w:val="24"/>
          <w:szCs w:val="24"/>
        </w:rPr>
      </w:pPr>
      <w:r w:rsidRPr="00AF7443">
        <w:rPr>
          <w:rFonts w:ascii="Arial" w:hAnsi="Arial" w:cs="Arial"/>
          <w:bCs/>
          <w:color w:val="000000"/>
          <w:sz w:val="24"/>
          <w:szCs w:val="24"/>
        </w:rPr>
        <w:t>13.</w:t>
      </w:r>
      <w:r w:rsidRPr="00AF7443">
        <w:rPr>
          <w:rFonts w:ascii="Arial" w:hAnsi="Arial" w:cs="Arial"/>
          <w:bCs/>
          <w:color w:val="000000"/>
          <w:sz w:val="24"/>
          <w:szCs w:val="24"/>
        </w:rPr>
        <w:tab/>
        <w:t>Îmbunătăţirea competenţelor persoanelor cu atribuţii în furnizarea programelor de formare profesională din formarea profesională inițială şi formarea profesională continuă și în evaluarea rezultatelor învăţării dobândite în contex</w:t>
      </w:r>
      <w:r>
        <w:rPr>
          <w:rFonts w:ascii="Arial" w:hAnsi="Arial" w:cs="Arial"/>
          <w:bCs/>
          <w:color w:val="000000"/>
          <w:sz w:val="24"/>
          <w:szCs w:val="24"/>
        </w:rPr>
        <w:t>t formal, nonformal și informal;</w:t>
      </w:r>
    </w:p>
    <w:p w:rsidR="00DD2534" w:rsidRPr="00AF7443" w:rsidRDefault="00DD2534" w:rsidP="00570E43">
      <w:pPr>
        <w:pStyle w:val="Header"/>
        <w:tabs>
          <w:tab w:val="left" w:pos="709"/>
        </w:tabs>
        <w:ind w:left="709" w:hanging="425"/>
        <w:jc w:val="both"/>
        <w:rPr>
          <w:rFonts w:ascii="Arial" w:hAnsi="Arial" w:cs="Arial"/>
          <w:bCs/>
          <w:color w:val="000000"/>
          <w:sz w:val="24"/>
          <w:szCs w:val="24"/>
        </w:rPr>
      </w:pPr>
      <w:r w:rsidRPr="00AF7443">
        <w:rPr>
          <w:rFonts w:ascii="Arial" w:hAnsi="Arial" w:cs="Arial"/>
          <w:bCs/>
          <w:color w:val="000000"/>
          <w:sz w:val="24"/>
          <w:szCs w:val="24"/>
        </w:rPr>
        <w:t>14.</w:t>
      </w:r>
      <w:r w:rsidRPr="00AF7443">
        <w:rPr>
          <w:rFonts w:ascii="Arial" w:hAnsi="Arial" w:cs="Arial"/>
          <w:bCs/>
          <w:color w:val="000000"/>
          <w:sz w:val="24"/>
          <w:szCs w:val="24"/>
        </w:rPr>
        <w:tab/>
        <w:t>Îmbunătăţirea infrastructurii formării pr</w:t>
      </w:r>
      <w:r>
        <w:rPr>
          <w:rFonts w:ascii="Arial" w:hAnsi="Arial" w:cs="Arial"/>
          <w:bCs/>
          <w:color w:val="000000"/>
          <w:sz w:val="24"/>
          <w:szCs w:val="24"/>
        </w:rPr>
        <w:t>ofesionale iniţiale şi continue;</w:t>
      </w:r>
    </w:p>
    <w:p w:rsidR="00DD2534" w:rsidRPr="000C6A67" w:rsidRDefault="00DD2534" w:rsidP="00570E43">
      <w:pPr>
        <w:pStyle w:val="Header"/>
        <w:tabs>
          <w:tab w:val="left" w:pos="709"/>
        </w:tabs>
        <w:ind w:left="709" w:hanging="425"/>
        <w:jc w:val="both"/>
        <w:rPr>
          <w:rFonts w:ascii="Arial" w:hAnsi="Arial" w:cs="Arial"/>
          <w:bCs/>
          <w:color w:val="000000"/>
          <w:sz w:val="24"/>
          <w:szCs w:val="24"/>
        </w:rPr>
      </w:pPr>
      <w:r w:rsidRPr="00AF7443">
        <w:rPr>
          <w:rFonts w:ascii="Arial" w:hAnsi="Arial" w:cs="Arial"/>
          <w:bCs/>
          <w:color w:val="000000"/>
          <w:sz w:val="24"/>
          <w:szCs w:val="24"/>
        </w:rPr>
        <w:t>15.</w:t>
      </w:r>
      <w:r w:rsidRPr="00AF7443">
        <w:rPr>
          <w:rFonts w:ascii="Arial" w:hAnsi="Arial" w:cs="Arial"/>
          <w:bCs/>
          <w:color w:val="000000"/>
          <w:sz w:val="24"/>
          <w:szCs w:val="24"/>
        </w:rPr>
        <w:tab/>
        <w:t>Promovarea excelenţei în educație și formare profesională.</w:t>
      </w:r>
    </w:p>
    <w:p w:rsidR="00DD2534" w:rsidRPr="00AF7443" w:rsidRDefault="00DD2534" w:rsidP="00570E43">
      <w:pPr>
        <w:pStyle w:val="Header"/>
        <w:tabs>
          <w:tab w:val="left" w:pos="284"/>
          <w:tab w:val="right" w:pos="709"/>
        </w:tabs>
        <w:jc w:val="both"/>
        <w:rPr>
          <w:rFonts w:ascii="Arial" w:hAnsi="Arial" w:cs="Arial"/>
          <w:bCs/>
          <w:color w:val="000000"/>
          <w:sz w:val="24"/>
          <w:szCs w:val="24"/>
        </w:rPr>
      </w:pPr>
      <w:r w:rsidRPr="00AF7443">
        <w:rPr>
          <w:rFonts w:ascii="Arial" w:hAnsi="Arial" w:cs="Arial"/>
          <w:b/>
          <w:bCs/>
          <w:color w:val="000000"/>
          <w:sz w:val="24"/>
          <w:szCs w:val="24"/>
        </w:rPr>
        <w:t xml:space="preserve">Obiectivul strategic 4: Dezvoltarea inovării şi cooperării naţionale şi internaţionale în domeniul formării profesionale, </w:t>
      </w:r>
      <w:r w:rsidRPr="00AF7443">
        <w:rPr>
          <w:rFonts w:ascii="Arial" w:hAnsi="Arial" w:cs="Arial"/>
          <w:bCs/>
          <w:color w:val="000000"/>
          <w:sz w:val="24"/>
          <w:szCs w:val="24"/>
        </w:rPr>
        <w:t>având ca ținte strategice:</w:t>
      </w:r>
    </w:p>
    <w:p w:rsidR="00DD2534" w:rsidRPr="00AF7443" w:rsidRDefault="00DD2534" w:rsidP="00570E43">
      <w:pPr>
        <w:pStyle w:val="Header"/>
        <w:tabs>
          <w:tab w:val="left" w:pos="284"/>
          <w:tab w:val="right" w:pos="709"/>
        </w:tabs>
        <w:ind w:left="709" w:hanging="283"/>
        <w:jc w:val="both"/>
        <w:rPr>
          <w:rFonts w:ascii="Arial" w:hAnsi="Arial" w:cs="Arial"/>
          <w:bCs/>
          <w:color w:val="000000"/>
          <w:sz w:val="24"/>
          <w:szCs w:val="24"/>
        </w:rPr>
      </w:pPr>
      <w:r w:rsidRPr="00AF7443">
        <w:rPr>
          <w:rFonts w:ascii="Arial" w:hAnsi="Arial" w:cs="Arial"/>
          <w:bCs/>
          <w:color w:val="000000"/>
          <w:sz w:val="24"/>
          <w:szCs w:val="24"/>
        </w:rPr>
        <w:t>a)</w:t>
      </w:r>
      <w:r w:rsidRPr="00AF7443">
        <w:rPr>
          <w:rFonts w:ascii="Arial" w:hAnsi="Arial" w:cs="Arial"/>
          <w:bCs/>
          <w:color w:val="000000"/>
          <w:sz w:val="24"/>
          <w:szCs w:val="24"/>
        </w:rPr>
        <w:tab/>
        <w:t xml:space="preserve"> Creşterea numărului total de elevi implicaţi în programe de inovare şi dezvoltarea spiritului antreprenorial la 50.000 în 2020, de la 40.000 în 2014</w:t>
      </w:r>
      <w:r>
        <w:rPr>
          <w:rFonts w:ascii="Arial" w:hAnsi="Arial" w:cs="Arial"/>
          <w:bCs/>
          <w:color w:val="000000"/>
          <w:sz w:val="24"/>
          <w:szCs w:val="24"/>
        </w:rPr>
        <w:t>;</w:t>
      </w:r>
      <w:r w:rsidRPr="00AF7443">
        <w:rPr>
          <w:rFonts w:ascii="Arial" w:hAnsi="Arial" w:cs="Arial"/>
          <w:bCs/>
          <w:color w:val="000000"/>
          <w:sz w:val="24"/>
          <w:szCs w:val="24"/>
        </w:rPr>
        <w:t xml:space="preserve"> </w:t>
      </w:r>
    </w:p>
    <w:p w:rsidR="00DD2534" w:rsidRPr="00AF7443" w:rsidRDefault="00DD2534" w:rsidP="00570E43">
      <w:pPr>
        <w:pStyle w:val="Header"/>
        <w:tabs>
          <w:tab w:val="left" w:pos="284"/>
          <w:tab w:val="right" w:pos="709"/>
        </w:tabs>
        <w:ind w:left="709" w:hanging="283"/>
        <w:jc w:val="both"/>
        <w:rPr>
          <w:rFonts w:ascii="Arial" w:hAnsi="Arial" w:cs="Arial"/>
          <w:bCs/>
          <w:color w:val="000000"/>
          <w:sz w:val="24"/>
          <w:szCs w:val="24"/>
        </w:rPr>
      </w:pPr>
      <w:r w:rsidRPr="00AF7443">
        <w:rPr>
          <w:rFonts w:ascii="Arial" w:hAnsi="Arial" w:cs="Arial"/>
          <w:bCs/>
          <w:color w:val="000000"/>
          <w:sz w:val="24"/>
          <w:szCs w:val="24"/>
        </w:rPr>
        <w:t>b)</w:t>
      </w:r>
      <w:r w:rsidRPr="00AF7443">
        <w:rPr>
          <w:rFonts w:ascii="Arial" w:hAnsi="Arial" w:cs="Arial"/>
          <w:bCs/>
          <w:color w:val="000000"/>
          <w:sz w:val="24"/>
          <w:szCs w:val="24"/>
        </w:rPr>
        <w:tab/>
        <w:t xml:space="preserve"> Creșterea numărului total de elevi implicaţi în programe de mobilitate internațională la 4.600 în 2020, de la 2.800 în 2014.</w:t>
      </w:r>
    </w:p>
    <w:p w:rsidR="00DD2534" w:rsidRPr="00AF7443" w:rsidRDefault="00DD2534" w:rsidP="00570E43">
      <w:pPr>
        <w:pStyle w:val="Header"/>
        <w:tabs>
          <w:tab w:val="left" w:pos="284"/>
          <w:tab w:val="right" w:pos="709"/>
        </w:tabs>
        <w:jc w:val="both"/>
        <w:rPr>
          <w:rFonts w:ascii="Arial" w:hAnsi="Arial" w:cs="Arial"/>
          <w:bCs/>
          <w:color w:val="000000"/>
          <w:sz w:val="24"/>
          <w:szCs w:val="24"/>
        </w:rPr>
      </w:pPr>
      <w:r w:rsidRPr="00AF7443">
        <w:rPr>
          <w:rFonts w:ascii="Arial" w:hAnsi="Arial" w:cs="Arial"/>
          <w:bCs/>
          <w:color w:val="000000"/>
          <w:sz w:val="24"/>
          <w:szCs w:val="24"/>
        </w:rPr>
        <w:t>Pentru îndeplinirea acestui obiectiv strategic, sunt prevăzute următoarele direcţii de acţiune:</w:t>
      </w:r>
    </w:p>
    <w:p w:rsidR="00DD2534" w:rsidRPr="00AF7443" w:rsidRDefault="00DD2534" w:rsidP="00570E43">
      <w:pPr>
        <w:pStyle w:val="Header"/>
        <w:tabs>
          <w:tab w:val="left" w:pos="709"/>
        </w:tabs>
        <w:ind w:left="709" w:hanging="425"/>
        <w:jc w:val="both"/>
        <w:rPr>
          <w:rFonts w:ascii="Arial" w:hAnsi="Arial" w:cs="Arial"/>
          <w:bCs/>
          <w:color w:val="000000"/>
          <w:sz w:val="24"/>
          <w:szCs w:val="24"/>
        </w:rPr>
      </w:pPr>
      <w:r w:rsidRPr="00AF7443">
        <w:rPr>
          <w:rFonts w:ascii="Arial" w:hAnsi="Arial" w:cs="Arial"/>
          <w:bCs/>
          <w:color w:val="000000"/>
          <w:sz w:val="24"/>
          <w:szCs w:val="24"/>
        </w:rPr>
        <w:t>16.</w:t>
      </w:r>
      <w:r w:rsidRPr="00AF7443">
        <w:rPr>
          <w:rFonts w:ascii="Arial" w:hAnsi="Arial" w:cs="Arial"/>
          <w:bCs/>
          <w:color w:val="000000"/>
          <w:sz w:val="24"/>
          <w:szCs w:val="24"/>
        </w:rPr>
        <w:tab/>
        <w:t>Dezvoltarea componenţelor privind inovarea, creativitatea şi spiritul antreprenorial din cadrul prog</w:t>
      </w:r>
      <w:r>
        <w:rPr>
          <w:rFonts w:ascii="Arial" w:hAnsi="Arial" w:cs="Arial"/>
          <w:bCs/>
          <w:color w:val="000000"/>
          <w:sz w:val="24"/>
          <w:szCs w:val="24"/>
        </w:rPr>
        <w:t>ramelor de formare profesională;</w:t>
      </w:r>
    </w:p>
    <w:p w:rsidR="00DD2534" w:rsidRPr="00AF7443" w:rsidRDefault="00DD2534" w:rsidP="00570E43">
      <w:pPr>
        <w:pStyle w:val="Header"/>
        <w:tabs>
          <w:tab w:val="left" w:pos="709"/>
        </w:tabs>
        <w:ind w:left="709" w:hanging="425"/>
        <w:jc w:val="both"/>
        <w:rPr>
          <w:rFonts w:ascii="Arial" w:hAnsi="Arial" w:cs="Arial"/>
          <w:bCs/>
          <w:color w:val="000000"/>
          <w:sz w:val="24"/>
          <w:szCs w:val="24"/>
        </w:rPr>
      </w:pPr>
      <w:r w:rsidRPr="00AF7443">
        <w:rPr>
          <w:rFonts w:ascii="Arial" w:hAnsi="Arial" w:cs="Arial"/>
          <w:bCs/>
          <w:color w:val="000000"/>
          <w:sz w:val="24"/>
          <w:szCs w:val="24"/>
        </w:rPr>
        <w:t>17.</w:t>
      </w:r>
      <w:r w:rsidRPr="00AF7443">
        <w:rPr>
          <w:rFonts w:ascii="Arial" w:hAnsi="Arial" w:cs="Arial"/>
          <w:bCs/>
          <w:color w:val="000000"/>
          <w:sz w:val="24"/>
          <w:szCs w:val="24"/>
        </w:rPr>
        <w:tab/>
        <w:t>Dezvoltarea mobilităţii internaţ</w:t>
      </w:r>
      <w:r>
        <w:rPr>
          <w:rFonts w:ascii="Arial" w:hAnsi="Arial" w:cs="Arial"/>
          <w:bCs/>
          <w:color w:val="000000"/>
          <w:sz w:val="24"/>
          <w:szCs w:val="24"/>
        </w:rPr>
        <w:t>ionale în formarea profesională;</w:t>
      </w:r>
    </w:p>
    <w:p w:rsidR="00DD2534" w:rsidRDefault="00DD2534" w:rsidP="00570E43">
      <w:pPr>
        <w:pStyle w:val="Header"/>
        <w:tabs>
          <w:tab w:val="left" w:pos="709"/>
        </w:tabs>
        <w:ind w:left="709" w:hanging="425"/>
        <w:jc w:val="both"/>
        <w:rPr>
          <w:rFonts w:ascii="Arial" w:hAnsi="Arial" w:cs="Arial"/>
          <w:bCs/>
          <w:color w:val="000000"/>
          <w:sz w:val="24"/>
          <w:szCs w:val="24"/>
        </w:rPr>
      </w:pPr>
      <w:r w:rsidRPr="00AF7443">
        <w:rPr>
          <w:rFonts w:ascii="Arial" w:hAnsi="Arial" w:cs="Arial"/>
          <w:bCs/>
          <w:color w:val="000000"/>
          <w:sz w:val="24"/>
          <w:szCs w:val="24"/>
        </w:rPr>
        <w:t>18.</w:t>
      </w:r>
      <w:r w:rsidRPr="00AF7443">
        <w:rPr>
          <w:rFonts w:ascii="Arial" w:hAnsi="Arial" w:cs="Arial"/>
          <w:bCs/>
          <w:color w:val="000000"/>
          <w:sz w:val="24"/>
          <w:szCs w:val="24"/>
        </w:rPr>
        <w:tab/>
        <w:t>Extinderea învăţării mutuale şi a schimbului de bune practici, în vederea asigurării premiselor pentru participarea la o piaţă a muncii europene incluzive.</w:t>
      </w:r>
    </w:p>
    <w:p w:rsidR="00DD2534" w:rsidRPr="00AF7443" w:rsidRDefault="00DD2534" w:rsidP="00B46CD7">
      <w:pPr>
        <w:spacing w:after="0" w:line="240" w:lineRule="auto"/>
        <w:jc w:val="both"/>
        <w:rPr>
          <w:rFonts w:ascii="Arial" w:hAnsi="Arial" w:cs="Arial"/>
          <w:b/>
          <w:sz w:val="24"/>
          <w:szCs w:val="24"/>
          <w:lang w:eastAsia="ro-RO"/>
        </w:rPr>
      </w:pPr>
      <w:r w:rsidRPr="00AF7443">
        <w:rPr>
          <w:rFonts w:ascii="Arial" w:hAnsi="Arial" w:cs="Arial"/>
          <w:b/>
          <w:sz w:val="24"/>
          <w:szCs w:val="24"/>
          <w:lang w:eastAsia="ro-RO"/>
        </w:rPr>
        <w:t>Contextul în care se urmăreşte dezvoltarea învăţământului profesional şi tehnic prin strategiile menţionate mai sus este definit prin</w:t>
      </w:r>
      <w:r w:rsidR="00B46CD7">
        <w:rPr>
          <w:rFonts w:ascii="Arial" w:hAnsi="Arial" w:cs="Arial"/>
          <w:b/>
          <w:sz w:val="24"/>
          <w:szCs w:val="24"/>
          <w:lang w:eastAsia="ro-RO"/>
        </w:rPr>
        <w:t xml:space="preserve"> Legea Educaţiei Naţionale, </w:t>
      </w:r>
      <w:r w:rsidR="00B46CD7">
        <w:rPr>
          <w:rFonts w:ascii="Arial" w:hAnsi="Arial" w:cs="Arial"/>
          <w:b/>
          <w:sz w:val="24"/>
          <w:szCs w:val="24"/>
          <w:lang w:eastAsia="ro-RO"/>
        </w:rPr>
        <w:lastRenderedPageBreak/>
        <w:t xml:space="preserve">nr.1 din 2011, </w:t>
      </w:r>
      <w:r w:rsidRPr="00AF7443">
        <w:rPr>
          <w:rFonts w:ascii="Arial" w:hAnsi="Arial" w:cs="Arial"/>
          <w:b/>
          <w:sz w:val="24"/>
          <w:szCs w:val="24"/>
          <w:lang w:eastAsia="ro-RO"/>
        </w:rPr>
        <w:t>cu modificăr</w:t>
      </w:r>
      <w:r w:rsidR="00B46CD7">
        <w:rPr>
          <w:rFonts w:ascii="Arial" w:hAnsi="Arial" w:cs="Arial"/>
          <w:b/>
          <w:sz w:val="24"/>
          <w:szCs w:val="24"/>
          <w:lang w:eastAsia="ro-RO"/>
        </w:rPr>
        <w:t xml:space="preserve">ile şi completările ulterioare. Structura </w:t>
      </w:r>
      <w:r w:rsidRPr="00AF7443">
        <w:rPr>
          <w:rFonts w:ascii="Arial" w:hAnsi="Arial" w:cs="Arial"/>
          <w:b/>
          <w:sz w:val="24"/>
          <w:szCs w:val="24"/>
          <w:lang w:eastAsia="ro-RO"/>
        </w:rPr>
        <w:t>învăţământului profesional şi tehnic este ilustrată în figura de mai jos.</w:t>
      </w:r>
    </w:p>
    <w:p w:rsidR="00422AE1" w:rsidRDefault="009D7B1D" w:rsidP="00570E43">
      <w:pPr>
        <w:spacing w:after="0" w:line="240" w:lineRule="auto"/>
        <w:jc w:val="both"/>
        <w:rPr>
          <w:rFonts w:ascii="Arial" w:hAnsi="Arial" w:cs="Arial"/>
          <w:sz w:val="24"/>
          <w:szCs w:val="24"/>
          <w:lang w:eastAsia="ro-RO"/>
        </w:rPr>
      </w:pPr>
      <w:r>
        <w:rPr>
          <w:rFonts w:ascii="Arial" w:hAnsi="Arial" w:cs="Arial"/>
          <w:sz w:val="24"/>
          <w:szCs w:val="24"/>
          <w:lang w:eastAsia="ro-RO"/>
        </w:rPr>
        <w:t xml:space="preserve">                                                            </w:t>
      </w:r>
    </w:p>
    <w:p w:rsidR="00DD2534" w:rsidRPr="00AF7443" w:rsidRDefault="009D7B1D" w:rsidP="00422AE1">
      <w:pPr>
        <w:spacing w:after="0" w:line="240" w:lineRule="auto"/>
        <w:jc w:val="center"/>
        <w:rPr>
          <w:rFonts w:ascii="Arial" w:hAnsi="Arial" w:cs="Arial"/>
          <w:sz w:val="24"/>
          <w:szCs w:val="24"/>
          <w:lang w:eastAsia="ro-RO"/>
        </w:rPr>
      </w:pPr>
      <w:r>
        <w:rPr>
          <w:rFonts w:ascii="Arial" w:hAnsi="Arial" w:cs="Arial"/>
          <w:sz w:val="24"/>
          <w:szCs w:val="24"/>
          <w:lang w:eastAsia="ro-RO"/>
        </w:rPr>
        <w:t>Figura 1</w:t>
      </w:r>
      <w:r w:rsidR="00995B91">
        <w:rPr>
          <w:rFonts w:ascii="Arial" w:hAnsi="Arial" w:cs="Arial"/>
          <w:sz w:val="24"/>
          <w:szCs w:val="24"/>
          <w:lang w:eastAsia="ro-RO"/>
        </w:rPr>
        <w:t>.</w:t>
      </w:r>
    </w:p>
    <w:p w:rsidR="00DD2534" w:rsidRPr="00AF7443" w:rsidRDefault="00DD2534" w:rsidP="000C6A67">
      <w:pPr>
        <w:spacing w:after="0" w:line="240" w:lineRule="auto"/>
        <w:jc w:val="both"/>
        <w:rPr>
          <w:rFonts w:ascii="Arial" w:hAnsi="Arial" w:cs="Arial"/>
          <w:sz w:val="24"/>
          <w:szCs w:val="24"/>
          <w:lang w:eastAsia="ro-RO"/>
        </w:rPr>
      </w:pPr>
      <w:r w:rsidRPr="00AF7443">
        <w:rPr>
          <w:rFonts w:ascii="Arial" w:hAnsi="Arial" w:cs="Arial"/>
          <w:noProof/>
          <w:sz w:val="24"/>
          <w:szCs w:val="24"/>
          <w:lang w:val="en-US"/>
        </w:rPr>
        <w:drawing>
          <wp:inline distT="0" distB="0" distL="0" distR="0">
            <wp:extent cx="5931933" cy="4465320"/>
            <wp:effectExtent l="19050" t="0" r="0" b="0"/>
            <wp:docPr id="51"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5939790" cy="4471235"/>
                    </a:xfrm>
                    <a:prstGeom prst="rect">
                      <a:avLst/>
                    </a:prstGeom>
                  </pic:spPr>
                </pic:pic>
              </a:graphicData>
            </a:graphic>
          </wp:inline>
        </w:drawing>
      </w:r>
    </w:p>
    <w:p w:rsidR="00DD2534" w:rsidRPr="00AF7443" w:rsidRDefault="00DD2534" w:rsidP="000C6A67">
      <w:pPr>
        <w:spacing w:after="0" w:line="240" w:lineRule="auto"/>
        <w:jc w:val="both"/>
        <w:rPr>
          <w:rFonts w:ascii="Arial" w:hAnsi="Arial" w:cs="Arial"/>
          <w:sz w:val="24"/>
          <w:szCs w:val="24"/>
          <w:lang w:eastAsia="ro-RO"/>
        </w:rPr>
      </w:pPr>
      <w:r w:rsidRPr="00AF7443">
        <w:rPr>
          <w:rFonts w:ascii="Arial" w:hAnsi="Arial" w:cs="Arial"/>
          <w:b/>
          <w:sz w:val="24"/>
          <w:szCs w:val="24"/>
          <w:lang w:eastAsia="ro-RO"/>
        </w:rPr>
        <w:t>Învățământul liceal</w:t>
      </w:r>
      <w:r w:rsidRPr="00AF7443">
        <w:rPr>
          <w:rFonts w:ascii="Arial" w:hAnsi="Arial" w:cs="Arial"/>
          <w:sz w:val="24"/>
          <w:szCs w:val="24"/>
          <w:lang w:eastAsia="ro-RO"/>
        </w:rPr>
        <w:t xml:space="preserve"> asigură continuarea studiilor în învățământul obligatoriu (clasele a IX-a și a X-a) și în ciclul superior (clasele a XI-a și a XII-a), dezvoltând, aprofundând și particularizând  competențe (cunoștințe, abilități și atitudini) formate în ciclurile anterioare ale învățării.</w:t>
      </w:r>
    </w:p>
    <w:p w:rsidR="00DD2534" w:rsidRPr="00AF7443" w:rsidRDefault="00DD2534" w:rsidP="000C6A67">
      <w:pPr>
        <w:spacing w:after="0" w:line="240" w:lineRule="auto"/>
        <w:jc w:val="both"/>
        <w:rPr>
          <w:rFonts w:ascii="Arial" w:hAnsi="Arial" w:cs="Arial"/>
          <w:sz w:val="24"/>
          <w:szCs w:val="24"/>
          <w:lang w:eastAsia="ro-RO"/>
        </w:rPr>
      </w:pPr>
      <w:r w:rsidRPr="00AF7443">
        <w:rPr>
          <w:rFonts w:ascii="Arial" w:hAnsi="Arial" w:cs="Arial"/>
          <w:sz w:val="24"/>
          <w:szCs w:val="24"/>
          <w:lang w:eastAsia="ro-RO"/>
        </w:rPr>
        <w:t>Învăţământul liceal cuprinde următoarele filiere şi profiluri:</w:t>
      </w:r>
    </w:p>
    <w:p w:rsidR="00DD2534" w:rsidRPr="00AF7443" w:rsidRDefault="00DD2534" w:rsidP="000C6A67">
      <w:pPr>
        <w:spacing w:after="0" w:line="240" w:lineRule="auto"/>
        <w:jc w:val="both"/>
        <w:rPr>
          <w:rFonts w:ascii="Arial" w:hAnsi="Arial" w:cs="Arial"/>
          <w:sz w:val="24"/>
          <w:szCs w:val="24"/>
          <w:lang w:eastAsia="ro-RO"/>
        </w:rPr>
      </w:pPr>
      <w:r w:rsidRPr="00AF7443">
        <w:rPr>
          <w:rFonts w:ascii="Arial" w:hAnsi="Arial" w:cs="Arial"/>
          <w:sz w:val="24"/>
          <w:szCs w:val="24"/>
          <w:lang w:eastAsia="ro-RO"/>
        </w:rPr>
        <w:t xml:space="preserve">    a) filiera teoretică, cu profilurile umanist şi real;</w:t>
      </w:r>
    </w:p>
    <w:p w:rsidR="00DD2534" w:rsidRPr="00AF7443" w:rsidRDefault="00DD2534" w:rsidP="000C6A67">
      <w:pPr>
        <w:spacing w:after="0" w:line="240" w:lineRule="auto"/>
        <w:jc w:val="both"/>
        <w:rPr>
          <w:rFonts w:ascii="Arial" w:hAnsi="Arial" w:cs="Arial"/>
          <w:sz w:val="24"/>
          <w:szCs w:val="24"/>
          <w:lang w:eastAsia="ro-RO"/>
        </w:rPr>
      </w:pPr>
      <w:r w:rsidRPr="00AF7443">
        <w:rPr>
          <w:rFonts w:ascii="Arial" w:hAnsi="Arial" w:cs="Arial"/>
          <w:sz w:val="24"/>
          <w:szCs w:val="24"/>
          <w:lang w:eastAsia="ro-RO"/>
        </w:rPr>
        <w:t xml:space="preserve">    b) filiera tehnologică, cu profilurile tehnic, servicii, resurse naturale şi protecţia mediului;</w:t>
      </w:r>
    </w:p>
    <w:p w:rsidR="00DD2534" w:rsidRPr="00AF7443" w:rsidRDefault="00DD2534" w:rsidP="000C6A67">
      <w:pPr>
        <w:spacing w:after="0" w:line="240" w:lineRule="auto"/>
        <w:jc w:val="both"/>
        <w:rPr>
          <w:rFonts w:ascii="Arial" w:hAnsi="Arial" w:cs="Arial"/>
          <w:sz w:val="24"/>
          <w:szCs w:val="24"/>
          <w:lang w:eastAsia="ro-RO"/>
        </w:rPr>
      </w:pPr>
      <w:r w:rsidRPr="00AF7443">
        <w:rPr>
          <w:rFonts w:ascii="Arial" w:hAnsi="Arial" w:cs="Arial"/>
          <w:sz w:val="24"/>
          <w:szCs w:val="24"/>
          <w:lang w:eastAsia="ro-RO"/>
        </w:rPr>
        <w:t xml:space="preserve">    c) filiera vocaţională, cu profilurile militar, teologic, sportiv, artistic şi pedagogic.</w:t>
      </w:r>
    </w:p>
    <w:p w:rsidR="00DD2534" w:rsidRPr="00AF7443" w:rsidRDefault="00DD2534" w:rsidP="000C6A67">
      <w:pPr>
        <w:spacing w:after="0" w:line="240" w:lineRule="auto"/>
        <w:jc w:val="both"/>
        <w:rPr>
          <w:rFonts w:ascii="Arial" w:hAnsi="Arial" w:cs="Arial"/>
          <w:sz w:val="24"/>
          <w:szCs w:val="24"/>
          <w:lang w:eastAsia="ro-RO"/>
        </w:rPr>
      </w:pPr>
      <w:r w:rsidRPr="00AF7443">
        <w:rPr>
          <w:rFonts w:ascii="Arial" w:hAnsi="Arial" w:cs="Arial"/>
          <w:sz w:val="24"/>
          <w:szCs w:val="24"/>
          <w:lang w:eastAsia="ro-RO"/>
        </w:rPr>
        <w:t>Durata studiilor în învăţământul liceal, forma de învăţământ cu frecvenţă, este de 4 ani, în conformitate cu planurile-cadru aprobate de Ministerul Educației. Pentru unele forme de învăţământ cu frecvenţă şi cu frecvenţă redusă, durata studiilor se prelungeşte cu un an.</w:t>
      </w:r>
    </w:p>
    <w:p w:rsidR="00DD2534" w:rsidRPr="00AF7443" w:rsidRDefault="00DD2534" w:rsidP="000C6A67">
      <w:pPr>
        <w:spacing w:after="0" w:line="240" w:lineRule="auto"/>
        <w:jc w:val="both"/>
        <w:rPr>
          <w:rFonts w:ascii="Arial" w:hAnsi="Arial" w:cs="Arial"/>
          <w:sz w:val="24"/>
          <w:szCs w:val="24"/>
          <w:lang w:eastAsia="ro-RO"/>
        </w:rPr>
      </w:pPr>
      <w:r w:rsidRPr="00AF7443">
        <w:rPr>
          <w:rFonts w:ascii="Arial" w:hAnsi="Arial" w:cs="Arial"/>
          <w:sz w:val="24"/>
          <w:szCs w:val="24"/>
          <w:lang w:eastAsia="ro-RO"/>
        </w:rPr>
        <w:t>Studiile învățământului liceal se finalizează cu examenul național de bacalaureat și cu examen de certificare, pentru absolvenții filierelor tehnologică și vocațională.</w:t>
      </w:r>
    </w:p>
    <w:p w:rsidR="00DD2534" w:rsidRPr="00AF7443" w:rsidRDefault="00DD2534" w:rsidP="000C6A67">
      <w:pPr>
        <w:spacing w:after="0" w:line="240" w:lineRule="auto"/>
        <w:jc w:val="both"/>
        <w:rPr>
          <w:rFonts w:ascii="Arial" w:hAnsi="Arial" w:cs="Arial"/>
          <w:sz w:val="24"/>
          <w:szCs w:val="24"/>
          <w:lang w:eastAsia="ro-RO"/>
        </w:rPr>
      </w:pPr>
      <w:r w:rsidRPr="00AF7443">
        <w:rPr>
          <w:rFonts w:ascii="Arial" w:hAnsi="Arial" w:cs="Arial"/>
          <w:sz w:val="24"/>
          <w:szCs w:val="24"/>
          <w:lang w:eastAsia="ro-RO"/>
        </w:rPr>
        <w:t xml:space="preserve">Absolvenţii de liceu fără diplomă de bacalaureat pot continua studiile în </w:t>
      </w:r>
      <w:r w:rsidRPr="00AF7443">
        <w:rPr>
          <w:rFonts w:ascii="Arial" w:hAnsi="Arial" w:cs="Arial"/>
          <w:b/>
          <w:sz w:val="24"/>
          <w:szCs w:val="24"/>
          <w:lang w:eastAsia="ro-RO"/>
        </w:rPr>
        <w:t>învăţământul postliceal</w:t>
      </w:r>
      <w:r w:rsidRPr="00AF7443">
        <w:rPr>
          <w:rFonts w:ascii="Arial" w:hAnsi="Arial" w:cs="Arial"/>
          <w:sz w:val="24"/>
          <w:szCs w:val="24"/>
          <w:lang w:eastAsia="ro-RO"/>
        </w:rPr>
        <w:t xml:space="preserve"> și pot obține, ulterior, nivelul 5 de calificare. Absolvenții cu diplomă de bacalaureat pot continua studiile în învățământul postliceal pentru obținerea nivelului 5 sau în învățământul superior, în orice program de studii și pot obține nivelurile  de calificare 6, 7 și 8.</w:t>
      </w:r>
    </w:p>
    <w:p w:rsidR="00DD2534" w:rsidRPr="00AF7443" w:rsidRDefault="00DD2534" w:rsidP="000C6A67">
      <w:pPr>
        <w:spacing w:after="0" w:line="240" w:lineRule="auto"/>
        <w:jc w:val="both"/>
        <w:rPr>
          <w:rFonts w:ascii="Arial" w:hAnsi="Arial" w:cs="Arial"/>
          <w:sz w:val="24"/>
          <w:szCs w:val="24"/>
          <w:lang w:eastAsia="ro-RO"/>
        </w:rPr>
      </w:pPr>
      <w:r w:rsidRPr="00AF7443">
        <w:rPr>
          <w:rFonts w:ascii="Arial" w:hAnsi="Arial" w:cs="Arial"/>
          <w:sz w:val="24"/>
          <w:szCs w:val="24"/>
          <w:lang w:eastAsia="ro-RO"/>
        </w:rPr>
        <w:t xml:space="preserve">Absolvenții învățământului liceal, filierele tehnologică și vocațională, care promovează examenul de certificare, dobândesc certificat de calificare de nivel 4 al Cadrului </w:t>
      </w:r>
      <w:r w:rsidRPr="00AF7443">
        <w:rPr>
          <w:rFonts w:ascii="Arial" w:hAnsi="Arial" w:cs="Arial"/>
          <w:sz w:val="24"/>
          <w:szCs w:val="24"/>
          <w:lang w:eastAsia="ro-RO"/>
        </w:rPr>
        <w:lastRenderedPageBreak/>
        <w:t>naţional al calificărilor (tehnician) și suplimentul descriptiv al cer</w:t>
      </w:r>
      <w:r w:rsidR="000C6A67">
        <w:rPr>
          <w:rFonts w:ascii="Arial" w:hAnsi="Arial" w:cs="Arial"/>
          <w:sz w:val="24"/>
          <w:szCs w:val="24"/>
          <w:lang w:eastAsia="ro-RO"/>
        </w:rPr>
        <w:t xml:space="preserve">tificatului, conform Europass. </w:t>
      </w:r>
    </w:p>
    <w:p w:rsidR="00DD2534" w:rsidRPr="00AF7443" w:rsidRDefault="00DD2534" w:rsidP="000C6A67">
      <w:pPr>
        <w:spacing w:after="0" w:line="240" w:lineRule="auto"/>
        <w:jc w:val="both"/>
        <w:rPr>
          <w:rFonts w:ascii="Arial" w:hAnsi="Arial" w:cs="Arial"/>
          <w:sz w:val="24"/>
          <w:szCs w:val="24"/>
          <w:lang w:eastAsia="ro-RO"/>
        </w:rPr>
      </w:pPr>
      <w:r w:rsidRPr="00AF7443">
        <w:rPr>
          <w:rFonts w:ascii="Arial" w:hAnsi="Arial" w:cs="Arial"/>
          <w:b/>
          <w:sz w:val="24"/>
          <w:szCs w:val="24"/>
          <w:lang w:eastAsia="ro-RO"/>
        </w:rPr>
        <w:t>Învățământul profesional</w:t>
      </w:r>
      <w:r w:rsidRPr="00AF7443">
        <w:rPr>
          <w:rFonts w:ascii="Arial" w:hAnsi="Arial" w:cs="Arial"/>
          <w:sz w:val="24"/>
          <w:szCs w:val="24"/>
          <w:lang w:eastAsia="ro-RO"/>
        </w:rPr>
        <w:t xml:space="preserve"> se organizează pentru calificări stabilite în funcție de nevoile pieței muncii, identificate prin documente strategice de planificare a ofertei de formare regionale, județene și locale, pe baza unui contract de pregătire practică, încheiat</w:t>
      </w:r>
      <w:r>
        <w:rPr>
          <w:rFonts w:ascii="Arial" w:hAnsi="Arial" w:cs="Arial"/>
          <w:sz w:val="24"/>
          <w:szCs w:val="24"/>
          <w:lang w:eastAsia="ro-RO"/>
        </w:rPr>
        <w:t xml:space="preserve"> între unitatea de învățământ, operatorul </w:t>
      </w:r>
      <w:r w:rsidRPr="00AF7443">
        <w:rPr>
          <w:rFonts w:ascii="Arial" w:hAnsi="Arial" w:cs="Arial"/>
          <w:sz w:val="24"/>
          <w:szCs w:val="24"/>
          <w:lang w:eastAsia="ro-RO"/>
        </w:rPr>
        <w:t>economic și elev.</w:t>
      </w:r>
    </w:p>
    <w:p w:rsidR="00570E43" w:rsidRDefault="00DD2534" w:rsidP="00570E43">
      <w:pPr>
        <w:spacing w:after="0" w:line="240" w:lineRule="auto"/>
        <w:jc w:val="both"/>
        <w:rPr>
          <w:rFonts w:ascii="Arial" w:hAnsi="Arial" w:cs="Arial"/>
          <w:b/>
          <w:sz w:val="24"/>
          <w:szCs w:val="24"/>
          <w:lang w:eastAsia="ro-RO"/>
        </w:rPr>
      </w:pPr>
      <w:r w:rsidRPr="00AF7443">
        <w:rPr>
          <w:rFonts w:ascii="Arial" w:hAnsi="Arial" w:cs="Arial"/>
          <w:sz w:val="24"/>
          <w:szCs w:val="24"/>
          <w:lang w:eastAsia="ro-RO"/>
        </w:rPr>
        <w:t xml:space="preserve">Învăţământul </w:t>
      </w:r>
      <w:r w:rsidRPr="000C6A67">
        <w:rPr>
          <w:rFonts w:ascii="Arial" w:hAnsi="Arial" w:cs="Arial"/>
          <w:b/>
          <w:sz w:val="24"/>
          <w:szCs w:val="24"/>
          <w:lang w:eastAsia="ro-RO"/>
        </w:rPr>
        <w:t>profesional are următoarele forme de organizare:</w:t>
      </w:r>
    </w:p>
    <w:p w:rsidR="00C348CF" w:rsidRPr="00570E43" w:rsidRDefault="00570E43" w:rsidP="00570E43">
      <w:pPr>
        <w:spacing w:after="0" w:line="240" w:lineRule="auto"/>
        <w:jc w:val="both"/>
        <w:rPr>
          <w:rFonts w:ascii="Arial" w:hAnsi="Arial" w:cs="Arial"/>
          <w:b/>
          <w:sz w:val="24"/>
          <w:szCs w:val="24"/>
          <w:lang w:eastAsia="ro-RO"/>
        </w:rPr>
      </w:pPr>
      <w:r>
        <w:rPr>
          <w:rFonts w:ascii="Arial" w:hAnsi="Arial" w:cs="Arial"/>
          <w:sz w:val="24"/>
          <w:szCs w:val="24"/>
          <w:lang w:eastAsia="ro-RO"/>
        </w:rPr>
        <w:t xml:space="preserve">- </w:t>
      </w:r>
      <w:r w:rsidR="00DD2534" w:rsidRPr="00570E43">
        <w:rPr>
          <w:rFonts w:ascii="Arial" w:hAnsi="Arial" w:cs="Arial"/>
          <w:sz w:val="24"/>
          <w:szCs w:val="24"/>
          <w:lang w:eastAsia="ro-RO"/>
        </w:rPr>
        <w:t>învăţământ profesional, cu durata de 3 ani, organizat după finalizarea clasei a VIII-a, ca parte a învățământului secundar superior, începând cu anul şcolar 2014/ 2015, pe baza unui contract cadru, încheiat între unitatea de învățământ şi operatorii economici implicaţi în formarea profesională a elevilor;</w:t>
      </w:r>
    </w:p>
    <w:p w:rsidR="00C348CF" w:rsidRDefault="00C348CF" w:rsidP="00C348CF">
      <w:pPr>
        <w:spacing w:after="0" w:line="240" w:lineRule="auto"/>
        <w:jc w:val="both"/>
        <w:rPr>
          <w:rFonts w:ascii="Arial" w:hAnsi="Arial" w:cs="Arial"/>
          <w:sz w:val="24"/>
          <w:szCs w:val="24"/>
          <w:lang w:eastAsia="ro-RO"/>
        </w:rPr>
      </w:pPr>
      <w:r>
        <w:rPr>
          <w:rFonts w:ascii="Arial" w:hAnsi="Arial" w:cs="Arial"/>
          <w:sz w:val="24"/>
          <w:szCs w:val="24"/>
          <w:lang w:eastAsia="ro-RO"/>
        </w:rPr>
        <w:t xml:space="preserve">- </w:t>
      </w:r>
      <w:r w:rsidR="00DD2534" w:rsidRPr="00AF7443">
        <w:rPr>
          <w:rFonts w:ascii="Arial" w:hAnsi="Arial" w:cs="Arial"/>
          <w:sz w:val="24"/>
          <w:szCs w:val="24"/>
          <w:lang w:eastAsia="ro-RO"/>
        </w:rPr>
        <w:t>învăţământul dual cu durata de 3 ani, organizat după finalizarea clasei a VIII-a, ca parte a învățământului secundar superior, începând cu anul şcolar 2017/ 2018, pe baza unui contract de parteneriat încheiat între unul sau mai mulţi operatori economici sau între o asociaţie/un consorţiu de operatori economici, unitatea de învăţământ şi unitatea administrativ-teritorială pe raza căreia se află unitatea şcolară. unui contract de pregătire practică, încheiat între unitatea de învățământ – agentul economic și elev;</w:t>
      </w:r>
    </w:p>
    <w:p w:rsidR="00DD2534" w:rsidRPr="000C6A67" w:rsidRDefault="00C348CF" w:rsidP="00C348CF">
      <w:pPr>
        <w:spacing w:after="0" w:line="240" w:lineRule="auto"/>
        <w:jc w:val="both"/>
        <w:rPr>
          <w:rFonts w:ascii="Arial" w:hAnsi="Arial" w:cs="Arial"/>
          <w:sz w:val="24"/>
          <w:szCs w:val="24"/>
          <w:lang w:eastAsia="ro-RO"/>
        </w:rPr>
      </w:pPr>
      <w:r>
        <w:rPr>
          <w:rFonts w:ascii="Arial" w:hAnsi="Arial" w:cs="Arial"/>
          <w:sz w:val="24"/>
          <w:szCs w:val="24"/>
          <w:lang w:eastAsia="ro-RO"/>
        </w:rPr>
        <w:t xml:space="preserve">- </w:t>
      </w:r>
      <w:r w:rsidR="00DD2534" w:rsidRPr="00AF7443">
        <w:rPr>
          <w:rFonts w:ascii="Arial" w:hAnsi="Arial" w:cs="Arial"/>
          <w:sz w:val="24"/>
          <w:szCs w:val="24"/>
          <w:lang w:eastAsia="ro-RO"/>
        </w:rPr>
        <w:t>stagii de pregătire practică cu durata de 720 de ore, organizate după finalizarea clasei a X-a de liceu , formă de organizare specifică în prezent programelor de tip „A doua șansă”.</w:t>
      </w:r>
    </w:p>
    <w:p w:rsidR="00DD5F85" w:rsidRPr="00224325" w:rsidRDefault="00DD2534" w:rsidP="00C348CF">
      <w:pPr>
        <w:spacing w:after="240" w:line="240" w:lineRule="auto"/>
        <w:jc w:val="both"/>
        <w:rPr>
          <w:rFonts w:ascii="Arial" w:hAnsi="Arial" w:cs="Arial"/>
          <w:sz w:val="24"/>
          <w:szCs w:val="24"/>
          <w:lang w:eastAsia="ro-RO"/>
        </w:rPr>
      </w:pPr>
      <w:r w:rsidRPr="00AF7443">
        <w:rPr>
          <w:rFonts w:ascii="Arial" w:hAnsi="Arial" w:cs="Arial"/>
          <w:sz w:val="24"/>
          <w:szCs w:val="24"/>
          <w:lang w:eastAsia="ro-RO"/>
        </w:rPr>
        <w:t>În învățământul profesional se parcurg disciplinele pentru învăţământul obligatoriu şi modulele de pregătire de specialitate pentru obținerea calificării profesionale. Studiile se finalizează cu examen de certificare. Absolvenții care promovează examenul de certificare a calificării profesionale dobândesc certificat de calificare de nivel 3 al Cadrului naţional al calificărilor (muncitor calificat) și suplimentul descriptiv al certificatului, conform Europass.</w:t>
      </w:r>
    </w:p>
    <w:p w:rsidR="00F2266B" w:rsidRPr="008E0724" w:rsidRDefault="004E134F" w:rsidP="00C348CF">
      <w:pPr>
        <w:pStyle w:val="Heading2"/>
        <w:spacing w:before="0" w:after="240" w:line="240" w:lineRule="auto"/>
        <w:jc w:val="both"/>
        <w:rPr>
          <w:rFonts w:ascii="Arial" w:hAnsi="Arial" w:cs="Arial"/>
          <w:color w:val="auto"/>
          <w:sz w:val="24"/>
          <w:szCs w:val="24"/>
          <w:lang w:eastAsia="ro-RO"/>
        </w:rPr>
      </w:pPr>
      <w:bookmarkStart w:id="8" w:name="_Toc488066008"/>
      <w:r w:rsidRPr="008E0724">
        <w:rPr>
          <w:rFonts w:ascii="Arial" w:hAnsi="Arial" w:cs="Arial"/>
          <w:color w:val="auto"/>
          <w:sz w:val="24"/>
          <w:szCs w:val="24"/>
          <w:lang w:eastAsia="ro-RO"/>
        </w:rPr>
        <w:t>2.3. Contextul regional</w:t>
      </w:r>
      <w:bookmarkEnd w:id="8"/>
    </w:p>
    <w:p w:rsidR="00FB4004" w:rsidRPr="00FE749F" w:rsidRDefault="00FB4004" w:rsidP="000C6A67">
      <w:pPr>
        <w:spacing w:after="0" w:line="240" w:lineRule="auto"/>
        <w:jc w:val="both"/>
        <w:rPr>
          <w:rFonts w:ascii="Arial" w:hAnsi="Arial" w:cs="Arial"/>
          <w:b/>
          <w:sz w:val="24"/>
          <w:szCs w:val="24"/>
        </w:rPr>
      </w:pPr>
      <w:r>
        <w:rPr>
          <w:rFonts w:ascii="Arial" w:hAnsi="Arial" w:cs="Arial"/>
          <w:b/>
          <w:sz w:val="24"/>
          <w:szCs w:val="24"/>
        </w:rPr>
        <w:t>S</w:t>
      </w:r>
      <w:r w:rsidRPr="00FE749F">
        <w:rPr>
          <w:rFonts w:ascii="Arial" w:hAnsi="Arial" w:cs="Arial"/>
          <w:b/>
          <w:sz w:val="24"/>
          <w:szCs w:val="24"/>
        </w:rPr>
        <w:t>trategia Regiunii Vest 2014-2020</w:t>
      </w:r>
      <w:r w:rsidRPr="00FE749F">
        <w:rPr>
          <w:rStyle w:val="FootnoteReference"/>
          <w:rFonts w:ascii="Arial" w:hAnsi="Arial" w:cs="Arial"/>
          <w:b/>
          <w:sz w:val="16"/>
          <w:szCs w:val="16"/>
        </w:rPr>
        <w:footnoteReference w:id="21"/>
      </w:r>
      <w:hyperlink r:id="rId12" w:history="1">
        <w:r w:rsidRPr="00FE749F">
          <w:rPr>
            <w:rStyle w:val="Hyperlink"/>
            <w:rFonts w:ascii="Arial" w:hAnsi="Arial" w:cs="Arial"/>
            <w:sz w:val="16"/>
            <w:szCs w:val="16"/>
          </w:rPr>
          <w:t>http://adrvest.ro/planul-pentru-dezvoltare-regionala-2014-2020/</w:t>
        </w:r>
      </w:hyperlink>
      <w:r w:rsidRPr="00FE749F">
        <w:rPr>
          <w:rFonts w:ascii="Arial" w:hAnsi="Arial" w:cs="Arial"/>
          <w:b/>
          <w:sz w:val="24"/>
          <w:szCs w:val="24"/>
        </w:rPr>
        <w:t xml:space="preserve"> </w:t>
      </w:r>
    </w:p>
    <w:p w:rsidR="00FB4004" w:rsidRPr="00FE749F" w:rsidRDefault="00FB4004" w:rsidP="000C6A67">
      <w:pPr>
        <w:spacing w:after="0" w:line="240" w:lineRule="auto"/>
        <w:jc w:val="both"/>
        <w:rPr>
          <w:rFonts w:ascii="Arial" w:hAnsi="Arial" w:cs="Arial"/>
          <w:sz w:val="24"/>
          <w:szCs w:val="24"/>
        </w:rPr>
      </w:pPr>
      <w:r w:rsidRPr="00FE749F">
        <w:rPr>
          <w:rFonts w:ascii="Arial" w:hAnsi="Arial" w:cs="Arial"/>
          <w:sz w:val="24"/>
          <w:szCs w:val="24"/>
        </w:rPr>
        <w:t>În procesul de planificare strategică a Regiunii Vest obiectivele și setul de măsuri de intervenție au fost stabilite având drept repere obiectivele Strategiei Europa 2020, îmrpeună cu țintele asumate de România, comparate cu situația din 2012 la nivel național și cu situația Re</w:t>
      </w:r>
      <w:r>
        <w:rPr>
          <w:rFonts w:ascii="Arial" w:hAnsi="Arial" w:cs="Arial"/>
          <w:sz w:val="24"/>
          <w:szCs w:val="24"/>
        </w:rPr>
        <w:t>g</w:t>
      </w:r>
      <w:r w:rsidRPr="00FE749F">
        <w:rPr>
          <w:rFonts w:ascii="Arial" w:hAnsi="Arial" w:cs="Arial"/>
          <w:sz w:val="24"/>
          <w:szCs w:val="24"/>
        </w:rPr>
        <w:t xml:space="preserve">iunii Vest în raport cu acești indicatori. </w:t>
      </w:r>
    </w:p>
    <w:p w:rsidR="00FB4004" w:rsidRPr="00FE749F" w:rsidRDefault="00FB4004" w:rsidP="000C6A67">
      <w:pPr>
        <w:spacing w:after="0" w:line="240" w:lineRule="auto"/>
        <w:jc w:val="both"/>
        <w:rPr>
          <w:rFonts w:ascii="Arial" w:hAnsi="Arial" w:cs="Arial"/>
          <w:sz w:val="24"/>
          <w:szCs w:val="24"/>
        </w:rPr>
      </w:pPr>
    </w:p>
    <w:p w:rsidR="00FB4004" w:rsidRPr="00AF0BB6" w:rsidRDefault="00FB4004" w:rsidP="000C6A67">
      <w:pPr>
        <w:spacing w:after="0" w:line="240" w:lineRule="auto"/>
        <w:jc w:val="both"/>
        <w:rPr>
          <w:rFonts w:ascii="Arial" w:hAnsi="Arial" w:cs="Arial"/>
          <w:sz w:val="24"/>
          <w:szCs w:val="24"/>
        </w:rPr>
      </w:pPr>
      <w:r>
        <w:rPr>
          <w:rFonts w:ascii="Arial" w:hAnsi="Arial" w:cs="Arial"/>
          <w:sz w:val="24"/>
          <w:szCs w:val="24"/>
        </w:rPr>
        <w:t xml:space="preserve">Tabel nr.2 </w:t>
      </w:r>
      <w:r w:rsidRPr="00AF0BB6">
        <w:rPr>
          <w:rFonts w:ascii="Arial" w:hAnsi="Arial" w:cs="Arial"/>
          <w:sz w:val="24"/>
          <w:szCs w:val="24"/>
        </w:rPr>
        <w:t>Obiective regionale – corelate cu țintel</w:t>
      </w:r>
      <w:r>
        <w:rPr>
          <w:rFonts w:ascii="Arial" w:hAnsi="Arial" w:cs="Arial"/>
          <w:sz w:val="24"/>
          <w:szCs w:val="24"/>
        </w:rPr>
        <w:t>e asumate de R</w:t>
      </w:r>
      <w:r w:rsidRPr="00AF0BB6">
        <w:rPr>
          <w:rFonts w:ascii="Arial" w:hAnsi="Arial" w:cs="Arial"/>
          <w:sz w:val="24"/>
          <w:szCs w:val="24"/>
        </w:rPr>
        <w:t xml:space="preserve">omânia și obiectivele EU 2020 </w:t>
      </w:r>
    </w:p>
    <w:tbl>
      <w:tblPr>
        <w:tblStyle w:val="TableGrid"/>
        <w:tblW w:w="0" w:type="auto"/>
        <w:tblLook w:val="04A0" w:firstRow="1" w:lastRow="0" w:firstColumn="1" w:lastColumn="0" w:noHBand="0" w:noVBand="1"/>
      </w:tblPr>
      <w:tblGrid>
        <w:gridCol w:w="2419"/>
        <w:gridCol w:w="1517"/>
        <w:gridCol w:w="1701"/>
        <w:gridCol w:w="2039"/>
        <w:gridCol w:w="1652"/>
      </w:tblGrid>
      <w:tr w:rsidR="00FB4004" w:rsidRPr="00C14A85" w:rsidTr="000C6A67">
        <w:tc>
          <w:tcPr>
            <w:tcW w:w="2419" w:type="dxa"/>
          </w:tcPr>
          <w:p w:rsidR="00FB4004" w:rsidRPr="00C14A85" w:rsidRDefault="00FB4004" w:rsidP="000C6A67">
            <w:pPr>
              <w:jc w:val="center"/>
              <w:rPr>
                <w:rFonts w:ascii="Arial" w:hAnsi="Arial" w:cs="Arial"/>
                <w:b/>
                <w:noProof/>
                <w:lang w:val="en-US"/>
              </w:rPr>
            </w:pPr>
            <w:r w:rsidRPr="00C14A85">
              <w:rPr>
                <w:rFonts w:ascii="Arial" w:hAnsi="Arial" w:cs="Arial"/>
                <w:b/>
                <w:noProof/>
                <w:lang w:val="en-US"/>
              </w:rPr>
              <w:t>Obiectiv</w:t>
            </w:r>
          </w:p>
        </w:tc>
        <w:tc>
          <w:tcPr>
            <w:tcW w:w="1517" w:type="dxa"/>
          </w:tcPr>
          <w:p w:rsidR="00016460" w:rsidRDefault="00FB4004" w:rsidP="000C6A67">
            <w:pPr>
              <w:jc w:val="center"/>
              <w:rPr>
                <w:rFonts w:ascii="Arial" w:hAnsi="Arial" w:cs="Arial"/>
                <w:b/>
                <w:noProof/>
                <w:lang w:val="en-US"/>
              </w:rPr>
            </w:pPr>
            <w:r w:rsidRPr="00C14A85">
              <w:rPr>
                <w:rFonts w:ascii="Arial" w:hAnsi="Arial" w:cs="Arial"/>
                <w:b/>
                <w:noProof/>
                <w:lang w:val="en-US"/>
              </w:rPr>
              <w:t xml:space="preserve">Obiectiv </w:t>
            </w:r>
          </w:p>
          <w:p w:rsidR="00FB4004" w:rsidRPr="00C14A85" w:rsidRDefault="00016460" w:rsidP="000C6A67">
            <w:pPr>
              <w:jc w:val="center"/>
              <w:rPr>
                <w:rFonts w:ascii="Arial" w:hAnsi="Arial" w:cs="Arial"/>
                <w:b/>
                <w:noProof/>
                <w:lang w:val="en-US"/>
              </w:rPr>
            </w:pPr>
            <w:r>
              <w:rPr>
                <w:rFonts w:ascii="Arial" w:hAnsi="Arial" w:cs="Arial"/>
                <w:b/>
                <w:noProof/>
                <w:lang w:val="en-US"/>
              </w:rPr>
              <w:t>EU</w:t>
            </w:r>
            <w:r w:rsidR="00FB4004" w:rsidRPr="00C14A85">
              <w:rPr>
                <w:rFonts w:ascii="Arial" w:hAnsi="Arial" w:cs="Arial"/>
                <w:b/>
                <w:noProof/>
                <w:lang w:val="en-US"/>
              </w:rPr>
              <w:t xml:space="preserve"> 2020</w:t>
            </w:r>
          </w:p>
        </w:tc>
        <w:tc>
          <w:tcPr>
            <w:tcW w:w="1701" w:type="dxa"/>
          </w:tcPr>
          <w:p w:rsidR="00FB4004" w:rsidRPr="00C14A85" w:rsidRDefault="00FB4004" w:rsidP="000C6A67">
            <w:pPr>
              <w:jc w:val="center"/>
              <w:rPr>
                <w:rFonts w:ascii="Arial" w:hAnsi="Arial" w:cs="Arial"/>
                <w:b/>
                <w:noProof/>
                <w:lang w:val="en-US"/>
              </w:rPr>
            </w:pPr>
            <w:r w:rsidRPr="00C14A85">
              <w:rPr>
                <w:rFonts w:ascii="Arial" w:hAnsi="Arial" w:cs="Arial"/>
                <w:b/>
                <w:noProof/>
                <w:lang w:val="en-US"/>
              </w:rPr>
              <w:t>Ținta asumată de România</w:t>
            </w:r>
          </w:p>
        </w:tc>
        <w:tc>
          <w:tcPr>
            <w:tcW w:w="2039" w:type="dxa"/>
          </w:tcPr>
          <w:p w:rsidR="00016460" w:rsidRDefault="00FB4004" w:rsidP="000C6A67">
            <w:pPr>
              <w:jc w:val="center"/>
              <w:rPr>
                <w:rFonts w:ascii="Arial" w:hAnsi="Arial" w:cs="Arial"/>
                <w:b/>
                <w:noProof/>
                <w:lang w:val="en-US"/>
              </w:rPr>
            </w:pPr>
            <w:r w:rsidRPr="00C14A85">
              <w:rPr>
                <w:rFonts w:ascii="Arial" w:hAnsi="Arial" w:cs="Arial"/>
                <w:b/>
                <w:noProof/>
                <w:lang w:val="en-US"/>
              </w:rPr>
              <w:t xml:space="preserve">România </w:t>
            </w:r>
          </w:p>
          <w:p w:rsidR="00FB4004" w:rsidRPr="00C14A85" w:rsidRDefault="00FB4004" w:rsidP="000C6A67">
            <w:pPr>
              <w:jc w:val="center"/>
              <w:rPr>
                <w:rFonts w:ascii="Arial" w:hAnsi="Arial" w:cs="Arial"/>
                <w:b/>
                <w:noProof/>
                <w:lang w:val="en-US"/>
              </w:rPr>
            </w:pPr>
            <w:r w:rsidRPr="00C14A85">
              <w:rPr>
                <w:rFonts w:ascii="Arial" w:hAnsi="Arial" w:cs="Arial"/>
                <w:b/>
                <w:noProof/>
                <w:lang w:val="en-US"/>
              </w:rPr>
              <w:t>2012</w:t>
            </w:r>
          </w:p>
        </w:tc>
        <w:tc>
          <w:tcPr>
            <w:tcW w:w="1652" w:type="dxa"/>
          </w:tcPr>
          <w:p w:rsidR="00FB4004" w:rsidRPr="00C14A85" w:rsidRDefault="00FB4004" w:rsidP="000C6A67">
            <w:pPr>
              <w:jc w:val="center"/>
              <w:rPr>
                <w:rFonts w:ascii="Arial" w:hAnsi="Arial" w:cs="Arial"/>
                <w:b/>
                <w:noProof/>
                <w:lang w:val="en-US"/>
              </w:rPr>
            </w:pPr>
            <w:r w:rsidRPr="00C14A85">
              <w:rPr>
                <w:rFonts w:ascii="Arial" w:hAnsi="Arial" w:cs="Arial"/>
                <w:b/>
                <w:noProof/>
                <w:lang w:val="en-US"/>
              </w:rPr>
              <w:t>Regiunea Vest 2012</w:t>
            </w:r>
          </w:p>
        </w:tc>
      </w:tr>
      <w:tr w:rsidR="00FB4004" w:rsidRPr="00C14A85" w:rsidTr="000C6A67">
        <w:tc>
          <w:tcPr>
            <w:tcW w:w="2419" w:type="dxa"/>
          </w:tcPr>
          <w:p w:rsidR="00FB4004" w:rsidRPr="000C6A67" w:rsidRDefault="00FB4004" w:rsidP="000C6A67">
            <w:pPr>
              <w:jc w:val="both"/>
              <w:rPr>
                <w:rFonts w:ascii="Arial" w:hAnsi="Arial" w:cs="Arial"/>
                <w:noProof/>
                <w:lang w:val="en-US"/>
              </w:rPr>
            </w:pPr>
            <w:r w:rsidRPr="000C6A67">
              <w:rPr>
                <w:rFonts w:ascii="Arial" w:hAnsi="Arial" w:cs="Arial"/>
                <w:noProof/>
                <w:lang w:val="en-US"/>
              </w:rPr>
              <w:t xml:space="preserve">Rata ocupării </w:t>
            </w:r>
          </w:p>
        </w:tc>
        <w:tc>
          <w:tcPr>
            <w:tcW w:w="1517" w:type="dxa"/>
          </w:tcPr>
          <w:p w:rsidR="00FB4004" w:rsidRPr="000C6A67" w:rsidRDefault="00FB4004" w:rsidP="000C6A67">
            <w:pPr>
              <w:jc w:val="center"/>
              <w:rPr>
                <w:rFonts w:ascii="Arial" w:hAnsi="Arial" w:cs="Arial"/>
                <w:noProof/>
                <w:lang w:val="en-US"/>
              </w:rPr>
            </w:pPr>
            <w:r w:rsidRPr="000C6A67">
              <w:rPr>
                <w:rFonts w:ascii="Arial" w:hAnsi="Arial" w:cs="Arial"/>
                <w:noProof/>
                <w:lang w:val="en-US"/>
              </w:rPr>
              <w:t>75%</w:t>
            </w:r>
          </w:p>
        </w:tc>
        <w:tc>
          <w:tcPr>
            <w:tcW w:w="1701" w:type="dxa"/>
          </w:tcPr>
          <w:p w:rsidR="00FB4004" w:rsidRPr="000C6A67" w:rsidRDefault="00FB4004" w:rsidP="000C6A67">
            <w:pPr>
              <w:jc w:val="center"/>
              <w:rPr>
                <w:rFonts w:ascii="Arial" w:hAnsi="Arial" w:cs="Arial"/>
                <w:noProof/>
                <w:lang w:val="en-US"/>
              </w:rPr>
            </w:pPr>
            <w:r w:rsidRPr="000C6A67">
              <w:rPr>
                <w:rFonts w:ascii="Arial" w:hAnsi="Arial" w:cs="Arial"/>
                <w:noProof/>
                <w:lang w:val="en-US"/>
              </w:rPr>
              <w:t>70%</w:t>
            </w:r>
          </w:p>
        </w:tc>
        <w:tc>
          <w:tcPr>
            <w:tcW w:w="2039" w:type="dxa"/>
          </w:tcPr>
          <w:p w:rsidR="00FB4004" w:rsidRPr="000C6A67" w:rsidRDefault="00FB4004" w:rsidP="000C6A67">
            <w:pPr>
              <w:jc w:val="center"/>
              <w:rPr>
                <w:rFonts w:ascii="Arial" w:hAnsi="Arial" w:cs="Arial"/>
                <w:noProof/>
                <w:lang w:val="en-US"/>
              </w:rPr>
            </w:pPr>
            <w:r w:rsidRPr="000C6A67">
              <w:rPr>
                <w:rFonts w:ascii="Arial" w:hAnsi="Arial" w:cs="Arial"/>
                <w:noProof/>
                <w:lang w:val="en-US"/>
              </w:rPr>
              <w:t>62,8%</w:t>
            </w:r>
          </w:p>
        </w:tc>
        <w:tc>
          <w:tcPr>
            <w:tcW w:w="1652" w:type="dxa"/>
          </w:tcPr>
          <w:p w:rsidR="00FB4004" w:rsidRPr="000C6A67" w:rsidRDefault="00FB4004" w:rsidP="000C6A67">
            <w:pPr>
              <w:jc w:val="center"/>
              <w:rPr>
                <w:rFonts w:ascii="Arial" w:hAnsi="Arial" w:cs="Arial"/>
                <w:noProof/>
                <w:lang w:val="en-US"/>
              </w:rPr>
            </w:pPr>
            <w:r w:rsidRPr="000C6A67">
              <w:rPr>
                <w:rFonts w:ascii="Arial" w:hAnsi="Arial" w:cs="Arial"/>
                <w:noProof/>
                <w:lang w:val="en-US"/>
              </w:rPr>
              <w:t>62,9%</w:t>
            </w:r>
          </w:p>
        </w:tc>
      </w:tr>
      <w:tr w:rsidR="00FB4004" w:rsidRPr="00C14A85" w:rsidTr="000C6A67">
        <w:tc>
          <w:tcPr>
            <w:tcW w:w="2419" w:type="dxa"/>
          </w:tcPr>
          <w:p w:rsidR="00FB4004" w:rsidRPr="000C6A67" w:rsidRDefault="00FB4004" w:rsidP="000C6A67">
            <w:pPr>
              <w:jc w:val="both"/>
              <w:rPr>
                <w:rFonts w:ascii="Arial" w:hAnsi="Arial" w:cs="Arial"/>
                <w:noProof/>
                <w:lang w:val="en-US"/>
              </w:rPr>
            </w:pPr>
            <w:r w:rsidRPr="000C6A67">
              <w:rPr>
                <w:rFonts w:ascii="Arial" w:hAnsi="Arial" w:cs="Arial"/>
                <w:noProof/>
                <w:lang w:val="en-US"/>
              </w:rPr>
              <w:t xml:space="preserve">Cercetare- dezvoltare ca% din PIB </w:t>
            </w:r>
          </w:p>
        </w:tc>
        <w:tc>
          <w:tcPr>
            <w:tcW w:w="1517" w:type="dxa"/>
          </w:tcPr>
          <w:p w:rsidR="00FB4004" w:rsidRPr="000C6A67" w:rsidRDefault="00FB4004" w:rsidP="000C6A67">
            <w:pPr>
              <w:jc w:val="center"/>
              <w:rPr>
                <w:rFonts w:ascii="Arial" w:hAnsi="Arial" w:cs="Arial"/>
                <w:noProof/>
                <w:lang w:val="en-US"/>
              </w:rPr>
            </w:pPr>
            <w:r w:rsidRPr="000C6A67">
              <w:rPr>
                <w:rFonts w:ascii="Arial" w:hAnsi="Arial" w:cs="Arial"/>
                <w:noProof/>
                <w:lang w:val="en-US"/>
              </w:rPr>
              <w:t>3%</w:t>
            </w:r>
          </w:p>
        </w:tc>
        <w:tc>
          <w:tcPr>
            <w:tcW w:w="1701" w:type="dxa"/>
          </w:tcPr>
          <w:p w:rsidR="00FB4004" w:rsidRPr="000C6A67" w:rsidRDefault="00FB4004" w:rsidP="000C6A67">
            <w:pPr>
              <w:jc w:val="center"/>
              <w:rPr>
                <w:rFonts w:ascii="Arial" w:hAnsi="Arial" w:cs="Arial"/>
                <w:noProof/>
                <w:lang w:val="en-US"/>
              </w:rPr>
            </w:pPr>
            <w:r w:rsidRPr="000C6A67">
              <w:rPr>
                <w:rFonts w:ascii="Arial" w:hAnsi="Arial" w:cs="Arial"/>
                <w:noProof/>
                <w:lang w:val="en-US"/>
              </w:rPr>
              <w:t>2%</w:t>
            </w:r>
          </w:p>
        </w:tc>
        <w:tc>
          <w:tcPr>
            <w:tcW w:w="2039" w:type="dxa"/>
          </w:tcPr>
          <w:p w:rsidR="00FB4004" w:rsidRPr="000C6A67" w:rsidRDefault="00FB4004" w:rsidP="000C6A67">
            <w:pPr>
              <w:jc w:val="center"/>
              <w:rPr>
                <w:rFonts w:ascii="Arial" w:hAnsi="Arial" w:cs="Arial"/>
                <w:noProof/>
                <w:lang w:val="en-US"/>
              </w:rPr>
            </w:pPr>
            <w:r w:rsidRPr="000C6A67">
              <w:rPr>
                <w:rFonts w:ascii="Arial" w:hAnsi="Arial" w:cs="Arial"/>
                <w:noProof/>
                <w:lang w:val="en-US"/>
              </w:rPr>
              <w:t>0,5%</w:t>
            </w:r>
          </w:p>
        </w:tc>
        <w:tc>
          <w:tcPr>
            <w:tcW w:w="1652" w:type="dxa"/>
          </w:tcPr>
          <w:p w:rsidR="00FB4004" w:rsidRPr="000C6A67" w:rsidRDefault="00FB4004" w:rsidP="000C6A67">
            <w:pPr>
              <w:jc w:val="center"/>
              <w:rPr>
                <w:rFonts w:ascii="Arial" w:hAnsi="Arial" w:cs="Arial"/>
                <w:noProof/>
                <w:lang w:val="en-US"/>
              </w:rPr>
            </w:pPr>
            <w:r w:rsidRPr="000C6A67">
              <w:rPr>
                <w:rFonts w:ascii="Arial" w:hAnsi="Arial" w:cs="Arial"/>
                <w:noProof/>
                <w:lang w:val="en-US"/>
              </w:rPr>
              <w:t>0,22%</w:t>
            </w:r>
          </w:p>
        </w:tc>
      </w:tr>
      <w:tr w:rsidR="00FB4004" w:rsidRPr="00C14A85" w:rsidTr="000C6A67">
        <w:tc>
          <w:tcPr>
            <w:tcW w:w="2419" w:type="dxa"/>
          </w:tcPr>
          <w:p w:rsidR="00FB4004" w:rsidRPr="000C6A67" w:rsidRDefault="00FB4004" w:rsidP="000C6A67">
            <w:pPr>
              <w:jc w:val="both"/>
              <w:rPr>
                <w:rFonts w:ascii="Arial" w:hAnsi="Arial" w:cs="Arial"/>
                <w:noProof/>
                <w:lang w:val="en-US"/>
              </w:rPr>
            </w:pPr>
            <w:r w:rsidRPr="000C6A67">
              <w:rPr>
                <w:rFonts w:ascii="Arial" w:hAnsi="Arial" w:cs="Arial"/>
                <w:noProof/>
                <w:lang w:val="en-US"/>
              </w:rPr>
              <w:t xml:space="preserve">Părăsirea timpurie a școlii % </w:t>
            </w:r>
          </w:p>
        </w:tc>
        <w:tc>
          <w:tcPr>
            <w:tcW w:w="1517" w:type="dxa"/>
          </w:tcPr>
          <w:p w:rsidR="00FB4004" w:rsidRPr="000C6A67" w:rsidRDefault="00FB4004" w:rsidP="000C6A67">
            <w:pPr>
              <w:jc w:val="center"/>
              <w:rPr>
                <w:rFonts w:ascii="Arial" w:hAnsi="Arial" w:cs="Arial"/>
                <w:noProof/>
                <w:lang w:val="en-US"/>
              </w:rPr>
            </w:pPr>
            <w:r w:rsidRPr="000C6A67">
              <w:rPr>
                <w:rFonts w:ascii="Arial" w:hAnsi="Arial" w:cs="Arial"/>
                <w:noProof/>
                <w:lang w:val="en-US"/>
              </w:rPr>
              <w:t xml:space="preserve">10% </w:t>
            </w:r>
          </w:p>
        </w:tc>
        <w:tc>
          <w:tcPr>
            <w:tcW w:w="1701" w:type="dxa"/>
          </w:tcPr>
          <w:p w:rsidR="00FB4004" w:rsidRPr="000C6A67" w:rsidRDefault="00FB4004" w:rsidP="000C6A67">
            <w:pPr>
              <w:jc w:val="center"/>
              <w:rPr>
                <w:rFonts w:ascii="Arial" w:hAnsi="Arial" w:cs="Arial"/>
                <w:noProof/>
                <w:lang w:val="en-US"/>
              </w:rPr>
            </w:pPr>
            <w:r w:rsidRPr="000C6A67">
              <w:rPr>
                <w:rFonts w:ascii="Arial" w:hAnsi="Arial" w:cs="Arial"/>
                <w:noProof/>
                <w:lang w:val="en-US"/>
              </w:rPr>
              <w:t xml:space="preserve">11,3% </w:t>
            </w:r>
          </w:p>
        </w:tc>
        <w:tc>
          <w:tcPr>
            <w:tcW w:w="2039" w:type="dxa"/>
          </w:tcPr>
          <w:p w:rsidR="00FB4004" w:rsidRPr="000C6A67" w:rsidRDefault="00FB4004" w:rsidP="000C6A67">
            <w:pPr>
              <w:jc w:val="center"/>
              <w:rPr>
                <w:rFonts w:ascii="Arial" w:hAnsi="Arial" w:cs="Arial"/>
                <w:noProof/>
                <w:lang w:val="en-US"/>
              </w:rPr>
            </w:pPr>
            <w:r w:rsidRPr="000C6A67">
              <w:rPr>
                <w:rFonts w:ascii="Arial" w:hAnsi="Arial" w:cs="Arial"/>
                <w:noProof/>
                <w:lang w:val="en-US"/>
              </w:rPr>
              <w:t xml:space="preserve">17,4% </w:t>
            </w:r>
          </w:p>
        </w:tc>
        <w:tc>
          <w:tcPr>
            <w:tcW w:w="1652" w:type="dxa"/>
          </w:tcPr>
          <w:p w:rsidR="00FB4004" w:rsidRPr="000C6A67" w:rsidRDefault="00FB4004" w:rsidP="000C6A67">
            <w:pPr>
              <w:jc w:val="center"/>
              <w:rPr>
                <w:rFonts w:ascii="Arial" w:hAnsi="Arial" w:cs="Arial"/>
                <w:noProof/>
                <w:lang w:val="en-US"/>
              </w:rPr>
            </w:pPr>
            <w:r w:rsidRPr="000C6A67">
              <w:rPr>
                <w:rFonts w:ascii="Arial" w:hAnsi="Arial" w:cs="Arial"/>
                <w:noProof/>
                <w:lang w:val="en-US"/>
              </w:rPr>
              <w:t xml:space="preserve">13,6% </w:t>
            </w:r>
          </w:p>
        </w:tc>
      </w:tr>
      <w:tr w:rsidR="00FB4004" w:rsidRPr="00C14A85" w:rsidTr="000C6A67">
        <w:tc>
          <w:tcPr>
            <w:tcW w:w="2419" w:type="dxa"/>
          </w:tcPr>
          <w:p w:rsidR="00FB4004" w:rsidRPr="000C6A67" w:rsidRDefault="00FB4004" w:rsidP="000C6A67">
            <w:pPr>
              <w:jc w:val="both"/>
              <w:rPr>
                <w:rFonts w:ascii="Arial" w:hAnsi="Arial" w:cs="Arial"/>
                <w:noProof/>
                <w:lang w:val="en-US"/>
              </w:rPr>
            </w:pPr>
            <w:r w:rsidRPr="000C6A67">
              <w:rPr>
                <w:rFonts w:ascii="Arial" w:hAnsi="Arial" w:cs="Arial"/>
                <w:noProof/>
                <w:lang w:val="en-US"/>
              </w:rPr>
              <w:t xml:space="preserve">Învățământ terțiar </w:t>
            </w:r>
          </w:p>
        </w:tc>
        <w:tc>
          <w:tcPr>
            <w:tcW w:w="1517" w:type="dxa"/>
          </w:tcPr>
          <w:p w:rsidR="00FB4004" w:rsidRPr="000C6A67" w:rsidRDefault="00FB4004" w:rsidP="000C6A67">
            <w:pPr>
              <w:jc w:val="center"/>
              <w:rPr>
                <w:rFonts w:ascii="Arial" w:hAnsi="Arial" w:cs="Arial"/>
                <w:noProof/>
                <w:lang w:val="en-US"/>
              </w:rPr>
            </w:pPr>
            <w:r w:rsidRPr="000C6A67">
              <w:rPr>
                <w:rFonts w:ascii="Arial" w:hAnsi="Arial" w:cs="Arial"/>
                <w:noProof/>
                <w:lang w:val="en-US"/>
              </w:rPr>
              <w:t>40%</w:t>
            </w:r>
          </w:p>
        </w:tc>
        <w:tc>
          <w:tcPr>
            <w:tcW w:w="1701" w:type="dxa"/>
          </w:tcPr>
          <w:p w:rsidR="00FB4004" w:rsidRPr="000C6A67" w:rsidRDefault="00FB4004" w:rsidP="000C6A67">
            <w:pPr>
              <w:jc w:val="center"/>
              <w:rPr>
                <w:rFonts w:ascii="Arial" w:hAnsi="Arial" w:cs="Arial"/>
                <w:noProof/>
                <w:lang w:val="en-US"/>
              </w:rPr>
            </w:pPr>
            <w:r w:rsidRPr="000C6A67">
              <w:rPr>
                <w:rFonts w:ascii="Arial" w:hAnsi="Arial" w:cs="Arial"/>
                <w:noProof/>
                <w:lang w:val="en-US"/>
              </w:rPr>
              <w:t>26,7%</w:t>
            </w:r>
          </w:p>
        </w:tc>
        <w:tc>
          <w:tcPr>
            <w:tcW w:w="2039" w:type="dxa"/>
          </w:tcPr>
          <w:p w:rsidR="00FB4004" w:rsidRPr="000C6A67" w:rsidRDefault="00FB4004" w:rsidP="000C6A67">
            <w:pPr>
              <w:jc w:val="center"/>
              <w:rPr>
                <w:rFonts w:ascii="Arial" w:hAnsi="Arial" w:cs="Arial"/>
                <w:noProof/>
                <w:lang w:val="en-US"/>
              </w:rPr>
            </w:pPr>
            <w:r w:rsidRPr="000C6A67">
              <w:rPr>
                <w:rFonts w:ascii="Arial" w:hAnsi="Arial" w:cs="Arial"/>
                <w:noProof/>
                <w:lang w:val="en-US"/>
              </w:rPr>
              <w:t>21,8%</w:t>
            </w:r>
          </w:p>
        </w:tc>
        <w:tc>
          <w:tcPr>
            <w:tcW w:w="1652" w:type="dxa"/>
          </w:tcPr>
          <w:p w:rsidR="00FB4004" w:rsidRPr="000C6A67" w:rsidRDefault="00FB4004" w:rsidP="000C6A67">
            <w:pPr>
              <w:jc w:val="center"/>
              <w:rPr>
                <w:rFonts w:ascii="Arial" w:hAnsi="Arial" w:cs="Arial"/>
                <w:noProof/>
                <w:lang w:val="en-US"/>
              </w:rPr>
            </w:pPr>
            <w:r w:rsidRPr="000C6A67">
              <w:rPr>
                <w:rFonts w:ascii="Arial" w:hAnsi="Arial" w:cs="Arial"/>
                <w:noProof/>
                <w:lang w:val="en-US"/>
              </w:rPr>
              <w:t>20,3%</w:t>
            </w:r>
          </w:p>
        </w:tc>
      </w:tr>
      <w:tr w:rsidR="00FB4004" w:rsidRPr="00C14A85" w:rsidTr="000C6A67">
        <w:tc>
          <w:tcPr>
            <w:tcW w:w="2419" w:type="dxa"/>
          </w:tcPr>
          <w:p w:rsidR="00FB4004" w:rsidRPr="000C6A67" w:rsidRDefault="00FB4004" w:rsidP="000C6A67">
            <w:pPr>
              <w:jc w:val="both"/>
              <w:rPr>
                <w:rFonts w:ascii="Arial" w:hAnsi="Arial" w:cs="Arial"/>
                <w:noProof/>
                <w:lang w:val="en-US"/>
              </w:rPr>
            </w:pPr>
            <w:r w:rsidRPr="000C6A67">
              <w:rPr>
                <w:rFonts w:ascii="Arial" w:hAnsi="Arial" w:cs="Arial"/>
                <w:noProof/>
                <w:lang w:val="en-US"/>
              </w:rPr>
              <w:t xml:space="preserve">Reducerea populației expuse riscului de sărăcie </w:t>
            </w:r>
          </w:p>
        </w:tc>
        <w:tc>
          <w:tcPr>
            <w:tcW w:w="1517" w:type="dxa"/>
          </w:tcPr>
          <w:p w:rsidR="00FB4004" w:rsidRPr="000C6A67" w:rsidRDefault="00FB4004" w:rsidP="000C6A67">
            <w:pPr>
              <w:jc w:val="center"/>
              <w:rPr>
                <w:rFonts w:ascii="Arial" w:hAnsi="Arial" w:cs="Arial"/>
                <w:noProof/>
                <w:lang w:val="en-US"/>
              </w:rPr>
            </w:pPr>
            <w:r w:rsidRPr="000C6A67">
              <w:rPr>
                <w:rFonts w:ascii="Arial" w:hAnsi="Arial" w:cs="Arial"/>
                <w:noProof/>
                <w:lang w:val="en-US"/>
              </w:rPr>
              <w:t>20 000 000 persoane</w:t>
            </w:r>
          </w:p>
        </w:tc>
        <w:tc>
          <w:tcPr>
            <w:tcW w:w="1701" w:type="dxa"/>
          </w:tcPr>
          <w:p w:rsidR="00FB4004" w:rsidRPr="000C6A67" w:rsidRDefault="00FB4004" w:rsidP="000C6A67">
            <w:pPr>
              <w:jc w:val="center"/>
              <w:rPr>
                <w:rFonts w:ascii="Arial" w:hAnsi="Arial" w:cs="Arial"/>
                <w:noProof/>
                <w:lang w:val="en-US"/>
              </w:rPr>
            </w:pPr>
            <w:r w:rsidRPr="000C6A67">
              <w:rPr>
                <w:rFonts w:ascii="Arial" w:hAnsi="Arial" w:cs="Arial"/>
                <w:noProof/>
                <w:lang w:val="en-US"/>
              </w:rPr>
              <w:t xml:space="preserve">580 000 persoane </w:t>
            </w:r>
          </w:p>
        </w:tc>
        <w:tc>
          <w:tcPr>
            <w:tcW w:w="2039" w:type="dxa"/>
          </w:tcPr>
          <w:p w:rsidR="00FB4004" w:rsidRPr="000C6A67" w:rsidRDefault="00FB4004" w:rsidP="000C6A67">
            <w:pPr>
              <w:jc w:val="center"/>
              <w:rPr>
                <w:rFonts w:ascii="Arial" w:hAnsi="Arial" w:cs="Arial"/>
                <w:noProof/>
                <w:sz w:val="20"/>
                <w:szCs w:val="20"/>
                <w:lang w:val="en-US"/>
              </w:rPr>
            </w:pPr>
            <w:r w:rsidRPr="000C6A67">
              <w:rPr>
                <w:rFonts w:ascii="Arial" w:hAnsi="Arial" w:cs="Arial"/>
                <w:noProof/>
                <w:sz w:val="20"/>
                <w:szCs w:val="20"/>
                <w:lang w:val="en-US"/>
              </w:rPr>
              <w:t xml:space="preserve">40,3% din populație </w:t>
            </w:r>
          </w:p>
          <w:p w:rsidR="00FB4004" w:rsidRPr="000C6A67" w:rsidRDefault="00FB4004" w:rsidP="000C6A67">
            <w:pPr>
              <w:jc w:val="center"/>
              <w:rPr>
                <w:rFonts w:ascii="Arial" w:hAnsi="Arial" w:cs="Arial"/>
                <w:noProof/>
                <w:sz w:val="20"/>
                <w:szCs w:val="20"/>
                <w:lang w:val="en-US"/>
              </w:rPr>
            </w:pPr>
            <w:r w:rsidRPr="000C6A67">
              <w:rPr>
                <w:rFonts w:ascii="Arial" w:hAnsi="Arial" w:cs="Arial"/>
                <w:noProof/>
                <w:sz w:val="20"/>
                <w:szCs w:val="20"/>
                <w:lang w:val="en-US"/>
              </w:rPr>
              <w:t xml:space="preserve">(8 109 021 persoane) </w:t>
            </w:r>
          </w:p>
        </w:tc>
        <w:tc>
          <w:tcPr>
            <w:tcW w:w="1652" w:type="dxa"/>
          </w:tcPr>
          <w:p w:rsidR="00FB4004" w:rsidRPr="000C6A67" w:rsidRDefault="00FB4004" w:rsidP="000C6A67">
            <w:pPr>
              <w:jc w:val="center"/>
              <w:rPr>
                <w:rFonts w:ascii="Arial" w:hAnsi="Arial" w:cs="Arial"/>
                <w:noProof/>
                <w:sz w:val="20"/>
                <w:szCs w:val="20"/>
                <w:lang w:val="en-US"/>
              </w:rPr>
            </w:pPr>
            <w:r w:rsidRPr="000C6A67">
              <w:rPr>
                <w:rFonts w:ascii="Arial" w:hAnsi="Arial" w:cs="Arial"/>
                <w:noProof/>
                <w:sz w:val="20"/>
                <w:szCs w:val="20"/>
                <w:lang w:val="en-US"/>
              </w:rPr>
              <w:t xml:space="preserve">33,1% din populație (600 000 persoane) </w:t>
            </w:r>
          </w:p>
        </w:tc>
      </w:tr>
    </w:tbl>
    <w:p w:rsidR="00FB4004" w:rsidRPr="00AF0BB6" w:rsidRDefault="00FB4004" w:rsidP="000C6A67">
      <w:pPr>
        <w:spacing w:after="0" w:line="240" w:lineRule="auto"/>
        <w:jc w:val="center"/>
        <w:rPr>
          <w:rFonts w:ascii="Arial" w:hAnsi="Arial" w:cs="Arial"/>
          <w:noProof/>
          <w:lang w:val="en-US"/>
        </w:rPr>
      </w:pPr>
      <w:r w:rsidRPr="00AF0BB6">
        <w:rPr>
          <w:rFonts w:ascii="Arial" w:hAnsi="Arial" w:cs="Arial"/>
          <w:noProof/>
          <w:lang w:val="en-US"/>
        </w:rPr>
        <w:t xml:space="preserve">Sursa: </w:t>
      </w:r>
      <w:hyperlink r:id="rId13" w:history="1">
        <w:r w:rsidRPr="00AF0BB6">
          <w:rPr>
            <w:rStyle w:val="Hyperlink"/>
            <w:rFonts w:ascii="Arial" w:hAnsi="Arial" w:cs="Arial"/>
          </w:rPr>
          <w:t>http://adrvest.ro/planul-pentru-dezvoltare-regionala-2014-2020/</w:t>
        </w:r>
      </w:hyperlink>
    </w:p>
    <w:p w:rsidR="00FB4004" w:rsidRPr="007F4928" w:rsidRDefault="00FB4004" w:rsidP="000C6A67">
      <w:pPr>
        <w:spacing w:after="0" w:line="240" w:lineRule="auto"/>
        <w:jc w:val="center"/>
        <w:rPr>
          <w:rFonts w:ascii="Times New Roman" w:hAnsi="Times New Roman"/>
          <w:sz w:val="24"/>
          <w:szCs w:val="24"/>
        </w:rPr>
      </w:pPr>
    </w:p>
    <w:p w:rsidR="00FB4004" w:rsidRPr="00FE749F" w:rsidRDefault="00FB4004" w:rsidP="000C6A67">
      <w:pPr>
        <w:spacing w:after="0" w:line="240" w:lineRule="auto"/>
        <w:jc w:val="both"/>
        <w:rPr>
          <w:rFonts w:ascii="Arial" w:hAnsi="Arial" w:cs="Arial"/>
          <w:sz w:val="24"/>
          <w:szCs w:val="24"/>
        </w:rPr>
      </w:pPr>
      <w:r w:rsidRPr="00FE749F">
        <w:rPr>
          <w:rFonts w:ascii="Arial" w:hAnsi="Arial" w:cs="Arial"/>
          <w:sz w:val="24"/>
          <w:szCs w:val="24"/>
        </w:rPr>
        <w:t xml:space="preserve">Se poate observa situația comparativ mai bună a Regiunii Vest față de media națională la fiecare indicator, cu excepția investițiilor în cercetare – dezvoltare și ponderea tinerilor cu studii de învățământ terțiar. </w:t>
      </w:r>
    </w:p>
    <w:p w:rsidR="00FB4004" w:rsidRPr="00FE749F" w:rsidRDefault="00FB4004" w:rsidP="000C6A67">
      <w:pPr>
        <w:spacing w:after="0" w:line="240" w:lineRule="auto"/>
        <w:jc w:val="both"/>
        <w:rPr>
          <w:rFonts w:ascii="Arial" w:hAnsi="Arial" w:cs="Arial"/>
          <w:b/>
          <w:i/>
          <w:sz w:val="24"/>
          <w:szCs w:val="24"/>
        </w:rPr>
      </w:pPr>
      <w:r w:rsidRPr="00FE749F">
        <w:rPr>
          <w:rFonts w:ascii="Arial" w:hAnsi="Arial" w:cs="Arial"/>
          <w:sz w:val="24"/>
          <w:szCs w:val="24"/>
        </w:rPr>
        <w:t xml:space="preserve">În acest context prin </w:t>
      </w:r>
      <w:r w:rsidRPr="00FE749F">
        <w:rPr>
          <w:rFonts w:ascii="Arial" w:hAnsi="Arial" w:cs="Arial"/>
          <w:b/>
          <w:sz w:val="24"/>
          <w:szCs w:val="24"/>
        </w:rPr>
        <w:t>Obiectivul general</w:t>
      </w:r>
      <w:r w:rsidRPr="00FE749F">
        <w:rPr>
          <w:rFonts w:ascii="Arial" w:hAnsi="Arial" w:cs="Arial"/>
          <w:sz w:val="24"/>
          <w:szCs w:val="24"/>
        </w:rPr>
        <w:t xml:space="preserve"> </w:t>
      </w:r>
      <w:r w:rsidRPr="00FE749F">
        <w:rPr>
          <w:rFonts w:ascii="Arial" w:hAnsi="Arial" w:cs="Arial"/>
          <w:b/>
          <w:i/>
          <w:sz w:val="24"/>
          <w:szCs w:val="24"/>
        </w:rPr>
        <w:t xml:space="preserve">Regiunea Vest își propune, ca orientând intervențiile pe nevoile locuitorilor săi, să ajungă la nivelul de calitate a vieții din regiunile puternice, non-capitale ale Europei. </w:t>
      </w:r>
    </w:p>
    <w:p w:rsidR="00FB4004" w:rsidRPr="00FE749F" w:rsidRDefault="00FB4004" w:rsidP="000C6A67">
      <w:pPr>
        <w:spacing w:after="0" w:line="240" w:lineRule="auto"/>
        <w:jc w:val="both"/>
        <w:rPr>
          <w:rFonts w:ascii="Arial" w:hAnsi="Arial" w:cs="Arial"/>
          <w:sz w:val="24"/>
          <w:szCs w:val="24"/>
        </w:rPr>
      </w:pPr>
      <w:r w:rsidRPr="00FE749F">
        <w:rPr>
          <w:rFonts w:ascii="Arial" w:hAnsi="Arial" w:cs="Arial"/>
          <w:sz w:val="24"/>
          <w:szCs w:val="24"/>
        </w:rPr>
        <w:t xml:space="preserve">Pentru a îndeplini acest obiectiv </w:t>
      </w:r>
      <w:r w:rsidRPr="00FE749F">
        <w:rPr>
          <w:rFonts w:ascii="Arial" w:hAnsi="Arial" w:cs="Arial"/>
          <w:b/>
          <w:sz w:val="24"/>
          <w:szCs w:val="24"/>
        </w:rPr>
        <w:t>Regiunea Vest va deveni o regiune –productivă – dinamică – conectată la nou – coezivă – agreabilă.</w:t>
      </w:r>
      <w:r w:rsidRPr="00FE749F">
        <w:rPr>
          <w:rFonts w:ascii="Arial" w:hAnsi="Arial" w:cs="Arial"/>
          <w:sz w:val="24"/>
          <w:szCs w:val="24"/>
        </w:rPr>
        <w:t xml:space="preserve"> </w:t>
      </w:r>
    </w:p>
    <w:p w:rsidR="00FB4004" w:rsidRPr="00FE749F" w:rsidRDefault="00FB4004" w:rsidP="000C6A67">
      <w:pPr>
        <w:spacing w:after="0" w:line="240" w:lineRule="auto"/>
        <w:jc w:val="both"/>
        <w:rPr>
          <w:rFonts w:ascii="Arial" w:hAnsi="Arial" w:cs="Arial"/>
          <w:b/>
          <w:sz w:val="24"/>
          <w:szCs w:val="24"/>
        </w:rPr>
      </w:pPr>
      <w:r w:rsidRPr="00FE749F">
        <w:rPr>
          <w:rFonts w:ascii="Arial" w:hAnsi="Arial" w:cs="Arial"/>
          <w:b/>
          <w:sz w:val="24"/>
          <w:szCs w:val="24"/>
        </w:rPr>
        <w:t xml:space="preserve">Documentul este structurat în Axe prioritare, cu Obiectiv și Obiectiv tematic relevant și descrierea priorităților de investiții aferente. </w:t>
      </w:r>
    </w:p>
    <w:p w:rsidR="00FB4004" w:rsidRPr="00FE749F" w:rsidRDefault="00FB4004" w:rsidP="000C6A67">
      <w:pPr>
        <w:spacing w:after="0" w:line="240" w:lineRule="auto"/>
        <w:jc w:val="both"/>
        <w:rPr>
          <w:rFonts w:ascii="Arial" w:hAnsi="Arial" w:cs="Arial"/>
          <w:b/>
          <w:sz w:val="24"/>
          <w:szCs w:val="24"/>
        </w:rPr>
      </w:pPr>
      <w:r w:rsidRPr="00FE749F">
        <w:rPr>
          <w:rFonts w:ascii="Arial" w:hAnsi="Arial" w:cs="Arial"/>
          <w:b/>
          <w:sz w:val="24"/>
          <w:szCs w:val="24"/>
          <w:u w:val="single"/>
        </w:rPr>
        <w:t>Obiectivul specific</w:t>
      </w:r>
      <w:r w:rsidRPr="00FE749F">
        <w:rPr>
          <w:rFonts w:ascii="Arial" w:hAnsi="Arial" w:cs="Arial"/>
          <w:sz w:val="24"/>
          <w:szCs w:val="24"/>
        </w:rPr>
        <w:t xml:space="preserve"> care vizeaza direct intervenții în educație și formare profesională este </w:t>
      </w:r>
      <w:r w:rsidRPr="00FE749F">
        <w:rPr>
          <w:rFonts w:ascii="Arial" w:hAnsi="Arial" w:cs="Arial"/>
          <w:b/>
          <w:i/>
          <w:sz w:val="24"/>
          <w:szCs w:val="24"/>
        </w:rPr>
        <w:t>Îmbunătățirea indicatorilor de participare în special în învățământul secundar superior și în învățământul terțiar,</w:t>
      </w:r>
      <w:r w:rsidRPr="00FE749F">
        <w:rPr>
          <w:rFonts w:ascii="Arial" w:hAnsi="Arial" w:cs="Arial"/>
          <w:b/>
          <w:sz w:val="24"/>
          <w:szCs w:val="24"/>
        </w:rPr>
        <w:t xml:space="preserve"> </w:t>
      </w:r>
      <w:r w:rsidRPr="00FE749F">
        <w:rPr>
          <w:rFonts w:ascii="Arial" w:hAnsi="Arial" w:cs="Arial"/>
          <w:sz w:val="24"/>
          <w:szCs w:val="24"/>
        </w:rPr>
        <w:t xml:space="preserve">și printre cele </w:t>
      </w:r>
      <w:r w:rsidRPr="00FE749F">
        <w:rPr>
          <w:rFonts w:ascii="Arial" w:hAnsi="Arial" w:cs="Arial"/>
          <w:b/>
          <w:sz w:val="24"/>
          <w:szCs w:val="24"/>
          <w:u w:val="single"/>
        </w:rPr>
        <w:t>8 priorități de dezvoltare asumate</w:t>
      </w:r>
      <w:r w:rsidRPr="00FE749F">
        <w:rPr>
          <w:rFonts w:ascii="Arial" w:hAnsi="Arial" w:cs="Arial"/>
          <w:b/>
          <w:sz w:val="24"/>
          <w:szCs w:val="24"/>
        </w:rPr>
        <w:t xml:space="preserve"> </w:t>
      </w:r>
      <w:r w:rsidRPr="00FE749F">
        <w:rPr>
          <w:rFonts w:ascii="Arial" w:hAnsi="Arial" w:cs="Arial"/>
          <w:sz w:val="24"/>
          <w:szCs w:val="24"/>
        </w:rPr>
        <w:t>se regăsește în mod explicit</w:t>
      </w:r>
      <w:r w:rsidRPr="00FE749F">
        <w:rPr>
          <w:rFonts w:ascii="Arial" w:hAnsi="Arial" w:cs="Arial"/>
          <w:b/>
          <w:sz w:val="24"/>
          <w:szCs w:val="24"/>
        </w:rPr>
        <w:t xml:space="preserve"> </w:t>
      </w:r>
      <w:r w:rsidRPr="00FE749F">
        <w:rPr>
          <w:rFonts w:ascii="Arial" w:hAnsi="Arial" w:cs="Arial"/>
          <w:sz w:val="24"/>
          <w:szCs w:val="24"/>
        </w:rPr>
        <w:t>unul dedicat educației:</w:t>
      </w:r>
      <w:r w:rsidRPr="00FE749F">
        <w:rPr>
          <w:rFonts w:ascii="Arial" w:hAnsi="Arial" w:cs="Arial"/>
          <w:b/>
          <w:sz w:val="24"/>
          <w:szCs w:val="24"/>
        </w:rPr>
        <w:t xml:space="preserve"> </w:t>
      </w:r>
      <w:r w:rsidRPr="00FE749F">
        <w:rPr>
          <w:rFonts w:ascii="Arial" w:hAnsi="Arial" w:cs="Arial"/>
          <w:b/>
          <w:i/>
          <w:sz w:val="24"/>
          <w:szCs w:val="24"/>
        </w:rPr>
        <w:t>4. Dezvoltarea capitalului uman și creșterea calității în sectoarele educație, sănătate și servicii sociale.</w:t>
      </w:r>
      <w:r w:rsidRPr="00FE749F">
        <w:rPr>
          <w:rFonts w:ascii="Arial" w:hAnsi="Arial" w:cs="Arial"/>
          <w:b/>
          <w:sz w:val="24"/>
          <w:szCs w:val="24"/>
        </w:rPr>
        <w:t xml:space="preserve"> </w:t>
      </w:r>
    </w:p>
    <w:p w:rsidR="00FB4004" w:rsidRPr="00FE749F" w:rsidRDefault="00FB4004" w:rsidP="000C6A67">
      <w:pPr>
        <w:spacing w:after="0" w:line="240" w:lineRule="auto"/>
        <w:jc w:val="both"/>
        <w:rPr>
          <w:rFonts w:ascii="Arial" w:hAnsi="Arial" w:cs="Arial"/>
          <w:sz w:val="24"/>
          <w:szCs w:val="24"/>
        </w:rPr>
      </w:pPr>
      <w:r w:rsidRPr="00FE749F">
        <w:rPr>
          <w:rFonts w:ascii="Arial" w:hAnsi="Arial" w:cs="Arial"/>
          <w:b/>
          <w:sz w:val="24"/>
          <w:szCs w:val="24"/>
        </w:rPr>
        <w:t xml:space="preserve">Obiectivul aferent axei 4 este: </w:t>
      </w:r>
      <w:r w:rsidRPr="00FE749F">
        <w:rPr>
          <w:rFonts w:ascii="Arial" w:hAnsi="Arial" w:cs="Arial"/>
          <w:sz w:val="24"/>
          <w:szCs w:val="24"/>
        </w:rPr>
        <w:t>Dezvoltarea capitalului uman din regiune prin creșterea gradului de ocupare a forței de muncă, incluziune socială și acces crescut la educație și la servicii de sănă</w:t>
      </w:r>
      <w:r>
        <w:rPr>
          <w:rFonts w:ascii="Arial" w:hAnsi="Arial" w:cs="Arial"/>
          <w:sz w:val="24"/>
          <w:szCs w:val="24"/>
        </w:rPr>
        <w:t>tate și sociale de calitate, avâ</w:t>
      </w:r>
      <w:r w:rsidRPr="00FE749F">
        <w:rPr>
          <w:rFonts w:ascii="Arial" w:hAnsi="Arial" w:cs="Arial"/>
          <w:sz w:val="24"/>
          <w:szCs w:val="24"/>
        </w:rPr>
        <w:t xml:space="preserve">nd corelate obiectivele tematice 8, 9 și 10. </w:t>
      </w:r>
    </w:p>
    <w:p w:rsidR="00FB4004" w:rsidRPr="00FE749F" w:rsidRDefault="00FB4004" w:rsidP="000C6A67">
      <w:pPr>
        <w:spacing w:after="0" w:line="240" w:lineRule="auto"/>
        <w:jc w:val="both"/>
        <w:rPr>
          <w:rFonts w:ascii="Arial" w:hAnsi="Arial" w:cs="Arial"/>
          <w:b/>
          <w:sz w:val="24"/>
          <w:szCs w:val="24"/>
        </w:rPr>
      </w:pPr>
      <w:r w:rsidRPr="00FE749F">
        <w:rPr>
          <w:rFonts w:ascii="Arial" w:hAnsi="Arial" w:cs="Arial"/>
          <w:b/>
          <w:sz w:val="24"/>
          <w:szCs w:val="24"/>
        </w:rPr>
        <w:t xml:space="preserve">Prioritățile de investiții sunt următoarele: </w:t>
      </w:r>
    </w:p>
    <w:p w:rsidR="00FB4004" w:rsidRPr="00FE749F" w:rsidRDefault="00FB4004" w:rsidP="000C6A67">
      <w:pPr>
        <w:spacing w:after="0" w:line="240" w:lineRule="auto"/>
        <w:jc w:val="both"/>
        <w:rPr>
          <w:rFonts w:ascii="Arial" w:hAnsi="Arial" w:cs="Arial"/>
          <w:b/>
          <w:sz w:val="24"/>
          <w:szCs w:val="24"/>
        </w:rPr>
      </w:pPr>
      <w:r w:rsidRPr="00FE749F">
        <w:rPr>
          <w:rFonts w:ascii="Arial" w:hAnsi="Arial" w:cs="Arial"/>
          <w:b/>
          <w:sz w:val="24"/>
          <w:szCs w:val="24"/>
        </w:rPr>
        <w:t>4.1.Îmbunătățirea accesului populației la educație și formare profeisonală, precum și creșterea calității acestora;</w:t>
      </w:r>
    </w:p>
    <w:p w:rsidR="00FB4004" w:rsidRPr="00FE749F" w:rsidRDefault="00FB4004" w:rsidP="000C6A67">
      <w:pPr>
        <w:spacing w:after="0" w:line="240" w:lineRule="auto"/>
        <w:jc w:val="both"/>
        <w:rPr>
          <w:rFonts w:ascii="Arial" w:hAnsi="Arial" w:cs="Arial"/>
          <w:sz w:val="24"/>
          <w:szCs w:val="24"/>
        </w:rPr>
      </w:pPr>
      <w:r w:rsidRPr="00FE749F">
        <w:rPr>
          <w:rFonts w:ascii="Arial" w:hAnsi="Arial" w:cs="Arial"/>
          <w:sz w:val="24"/>
          <w:szCs w:val="24"/>
        </w:rPr>
        <w:t xml:space="preserve">4.2. Creșterea ocupării forței de muncă în regiune; </w:t>
      </w:r>
    </w:p>
    <w:p w:rsidR="00FB4004" w:rsidRPr="00FE749F" w:rsidRDefault="00FB4004" w:rsidP="000C6A67">
      <w:pPr>
        <w:spacing w:after="0" w:line="240" w:lineRule="auto"/>
        <w:jc w:val="both"/>
        <w:rPr>
          <w:rFonts w:ascii="Arial" w:hAnsi="Arial" w:cs="Arial"/>
          <w:sz w:val="24"/>
          <w:szCs w:val="24"/>
        </w:rPr>
      </w:pPr>
      <w:r w:rsidRPr="00FE749F">
        <w:rPr>
          <w:rFonts w:ascii="Arial" w:hAnsi="Arial" w:cs="Arial"/>
          <w:sz w:val="24"/>
          <w:szCs w:val="24"/>
        </w:rPr>
        <w:t>4.3. Promovarea incluziunii sociale și combaterea riscului de sărăcie;</w:t>
      </w:r>
    </w:p>
    <w:p w:rsidR="00FB4004" w:rsidRPr="00FE749F" w:rsidRDefault="00FB4004" w:rsidP="000C6A67">
      <w:pPr>
        <w:spacing w:after="0" w:line="240" w:lineRule="auto"/>
        <w:jc w:val="both"/>
        <w:rPr>
          <w:rFonts w:ascii="Arial" w:hAnsi="Arial" w:cs="Arial"/>
          <w:sz w:val="24"/>
          <w:szCs w:val="24"/>
        </w:rPr>
      </w:pPr>
      <w:r w:rsidRPr="00FE749F">
        <w:rPr>
          <w:rFonts w:ascii="Arial" w:hAnsi="Arial" w:cs="Arial"/>
          <w:sz w:val="24"/>
          <w:szCs w:val="24"/>
        </w:rPr>
        <w:t>4.4. Îmbunătățirea calității serviciilor medicale din Regiunea Vest și a accesului populației la acestea</w:t>
      </w:r>
      <w:r w:rsidR="00E30301">
        <w:rPr>
          <w:rFonts w:ascii="Arial" w:hAnsi="Arial" w:cs="Arial"/>
          <w:sz w:val="24"/>
          <w:szCs w:val="24"/>
        </w:rPr>
        <w:t>.</w:t>
      </w:r>
    </w:p>
    <w:p w:rsidR="00FB4004" w:rsidRDefault="00FB4004" w:rsidP="000C6A67">
      <w:pPr>
        <w:spacing w:after="0" w:line="240" w:lineRule="auto"/>
        <w:jc w:val="both"/>
        <w:rPr>
          <w:rFonts w:ascii="Arial" w:hAnsi="Arial" w:cs="Arial"/>
          <w:sz w:val="24"/>
          <w:szCs w:val="24"/>
        </w:rPr>
      </w:pPr>
      <w:r>
        <w:rPr>
          <w:rFonts w:ascii="Arial" w:hAnsi="Arial" w:cs="Arial"/>
          <w:b/>
          <w:sz w:val="24"/>
          <w:szCs w:val="24"/>
        </w:rPr>
        <w:t>Cele 11 obiective</w:t>
      </w:r>
      <w:r w:rsidRPr="00FE749F">
        <w:rPr>
          <w:rFonts w:ascii="Arial" w:hAnsi="Arial" w:cs="Arial"/>
          <w:b/>
          <w:sz w:val="24"/>
          <w:szCs w:val="24"/>
        </w:rPr>
        <w:t xml:space="preserve"> tematice asumate</w:t>
      </w:r>
      <w:r w:rsidRPr="00FE749F">
        <w:rPr>
          <w:rFonts w:ascii="Arial" w:hAnsi="Arial" w:cs="Arial"/>
          <w:sz w:val="24"/>
          <w:szCs w:val="24"/>
        </w:rPr>
        <w:t xml:space="preserve"> sunt bine corelate cu </w:t>
      </w:r>
      <w:r w:rsidRPr="00950FBE">
        <w:rPr>
          <w:rFonts w:ascii="Arial" w:hAnsi="Arial" w:cs="Arial"/>
          <w:b/>
          <w:sz w:val="24"/>
          <w:szCs w:val="24"/>
        </w:rPr>
        <w:t>tipurile de investiții.</w:t>
      </w:r>
      <w:r>
        <w:rPr>
          <w:rFonts w:ascii="Arial" w:hAnsi="Arial" w:cs="Arial"/>
          <w:sz w:val="24"/>
          <w:szCs w:val="24"/>
        </w:rPr>
        <w:t xml:space="preserve"> Dintre acestea relevanță directă pentru educație și formare profesională au următoarele doua obiective tematice: </w:t>
      </w:r>
    </w:p>
    <w:p w:rsidR="00FB4004" w:rsidRDefault="00FB4004" w:rsidP="000C6A67">
      <w:pPr>
        <w:spacing w:after="0" w:line="240" w:lineRule="auto"/>
        <w:jc w:val="both"/>
        <w:rPr>
          <w:rFonts w:ascii="Arial" w:hAnsi="Arial" w:cs="Arial"/>
          <w:sz w:val="24"/>
          <w:szCs w:val="24"/>
        </w:rPr>
      </w:pPr>
      <w:r w:rsidRPr="00950FBE">
        <w:rPr>
          <w:rFonts w:ascii="Arial" w:hAnsi="Arial" w:cs="Arial"/>
          <w:b/>
          <w:sz w:val="24"/>
          <w:szCs w:val="24"/>
        </w:rPr>
        <w:t>OT 9 cu investiții de tipul:</w:t>
      </w:r>
      <w:r>
        <w:rPr>
          <w:rFonts w:ascii="Arial" w:hAnsi="Arial" w:cs="Arial"/>
          <w:sz w:val="24"/>
          <w:szCs w:val="24"/>
        </w:rPr>
        <w:t xml:space="preserve"> Infrastructură socială, infrastructura de sănătate, promovarea incluziunii sociale prin îmbunătățirea accesului la servicii sociale, culturale și de recreere, programe integrate pentru zonele și comunitățile sărace</w:t>
      </w:r>
      <w:r w:rsidR="002A4475">
        <w:rPr>
          <w:rFonts w:ascii="Arial" w:hAnsi="Arial" w:cs="Arial"/>
          <w:sz w:val="24"/>
          <w:szCs w:val="24"/>
        </w:rPr>
        <w:t xml:space="preserve"> </w:t>
      </w:r>
      <w:r>
        <w:rPr>
          <w:rFonts w:ascii="Arial" w:hAnsi="Arial" w:cs="Arial"/>
          <w:sz w:val="24"/>
          <w:szCs w:val="24"/>
        </w:rPr>
        <w:t>și</w:t>
      </w:r>
    </w:p>
    <w:p w:rsidR="00FB4004" w:rsidRPr="001645A3" w:rsidRDefault="003B4ADC" w:rsidP="000C6A67">
      <w:pPr>
        <w:spacing w:after="0" w:line="240" w:lineRule="auto"/>
        <w:jc w:val="both"/>
        <w:rPr>
          <w:rFonts w:ascii="Arial" w:hAnsi="Arial" w:cs="Arial"/>
          <w:sz w:val="24"/>
          <w:szCs w:val="24"/>
        </w:rPr>
      </w:pPr>
      <w:r>
        <w:rPr>
          <w:rFonts w:ascii="Arial" w:hAnsi="Arial" w:cs="Arial"/>
          <w:b/>
          <w:sz w:val="24"/>
          <w:szCs w:val="24"/>
        </w:rPr>
        <w:t>OT 10 cu investi</w:t>
      </w:r>
      <w:r w:rsidR="00FB4004" w:rsidRPr="00950FBE">
        <w:rPr>
          <w:rFonts w:ascii="Arial" w:hAnsi="Arial" w:cs="Arial"/>
          <w:b/>
          <w:sz w:val="24"/>
          <w:szCs w:val="24"/>
        </w:rPr>
        <w:t>ții</w:t>
      </w:r>
      <w:r w:rsidR="00FB4004">
        <w:rPr>
          <w:rFonts w:ascii="Arial" w:hAnsi="Arial" w:cs="Arial"/>
          <w:sz w:val="24"/>
          <w:szCs w:val="24"/>
        </w:rPr>
        <w:t xml:space="preserve"> în infrastructura de educație. Gestionarea acestor investiții este necesar să răspundă la nevoile de interes regional. </w:t>
      </w:r>
    </w:p>
    <w:p w:rsidR="00FB4004" w:rsidRDefault="00FB4004" w:rsidP="000C6A67">
      <w:pPr>
        <w:spacing w:after="0" w:line="240" w:lineRule="auto"/>
        <w:jc w:val="both"/>
        <w:rPr>
          <w:rFonts w:ascii="Arial" w:hAnsi="Arial" w:cs="Arial"/>
          <w:sz w:val="24"/>
          <w:szCs w:val="24"/>
        </w:rPr>
      </w:pPr>
      <w:r>
        <w:rPr>
          <w:rFonts w:ascii="Arial" w:hAnsi="Arial" w:cs="Arial"/>
          <w:sz w:val="24"/>
          <w:szCs w:val="24"/>
        </w:rPr>
        <w:t>F</w:t>
      </w:r>
      <w:r w:rsidRPr="00FE749F">
        <w:rPr>
          <w:rFonts w:ascii="Arial" w:hAnsi="Arial" w:cs="Arial"/>
          <w:sz w:val="24"/>
          <w:szCs w:val="24"/>
        </w:rPr>
        <w:t xml:space="preserve">inanțarea investițiilor aferente obiectivelor vizate, se fundamentează </w:t>
      </w:r>
      <w:r>
        <w:rPr>
          <w:rFonts w:ascii="Arial" w:hAnsi="Arial" w:cs="Arial"/>
          <w:sz w:val="24"/>
          <w:szCs w:val="24"/>
        </w:rPr>
        <w:t xml:space="preserve"> prin </w:t>
      </w:r>
      <w:r w:rsidR="003B4ADC">
        <w:rPr>
          <w:rFonts w:ascii="Arial" w:hAnsi="Arial" w:cs="Arial"/>
          <w:b/>
          <w:sz w:val="24"/>
          <w:szCs w:val="24"/>
        </w:rPr>
        <w:t xml:space="preserve">Programele operaționale </w:t>
      </w:r>
      <w:r w:rsidRPr="00FE749F">
        <w:rPr>
          <w:rFonts w:ascii="Arial" w:hAnsi="Arial" w:cs="Arial"/>
          <w:b/>
          <w:sz w:val="24"/>
          <w:szCs w:val="24"/>
        </w:rPr>
        <w:t>(PO)</w:t>
      </w:r>
      <w:r>
        <w:rPr>
          <w:rFonts w:ascii="Arial" w:hAnsi="Arial" w:cs="Arial"/>
          <w:sz w:val="24"/>
          <w:szCs w:val="24"/>
        </w:rPr>
        <w:t xml:space="preserve">, </w:t>
      </w:r>
      <w:r w:rsidRPr="00FE749F">
        <w:rPr>
          <w:rFonts w:ascii="Arial" w:hAnsi="Arial" w:cs="Arial"/>
          <w:sz w:val="24"/>
          <w:szCs w:val="24"/>
        </w:rPr>
        <w:t>în</w:t>
      </w:r>
      <w:r>
        <w:rPr>
          <w:rFonts w:ascii="Arial" w:hAnsi="Arial" w:cs="Arial"/>
          <w:sz w:val="24"/>
          <w:szCs w:val="24"/>
        </w:rPr>
        <w:t xml:space="preserve"> bună</w:t>
      </w:r>
      <w:r w:rsidRPr="00FE749F">
        <w:rPr>
          <w:rFonts w:ascii="Arial" w:hAnsi="Arial" w:cs="Arial"/>
          <w:sz w:val="24"/>
          <w:szCs w:val="24"/>
        </w:rPr>
        <w:t xml:space="preserve"> corelare cu politicile europene de dezvoltare</w:t>
      </w:r>
      <w:r>
        <w:rPr>
          <w:rFonts w:ascii="Arial" w:hAnsi="Arial" w:cs="Arial"/>
          <w:sz w:val="24"/>
          <w:szCs w:val="24"/>
        </w:rPr>
        <w:t>, astfel:</w:t>
      </w:r>
    </w:p>
    <w:p w:rsidR="00FB4004" w:rsidRDefault="00FB4004" w:rsidP="000C6A67">
      <w:pPr>
        <w:spacing w:after="0" w:line="240" w:lineRule="auto"/>
        <w:jc w:val="both"/>
        <w:rPr>
          <w:rFonts w:ascii="Arial" w:hAnsi="Arial" w:cs="Arial"/>
          <w:sz w:val="24"/>
          <w:szCs w:val="24"/>
        </w:rPr>
      </w:pPr>
      <w:r w:rsidRPr="00950FBE">
        <w:rPr>
          <w:rFonts w:ascii="Arial" w:hAnsi="Arial" w:cs="Arial"/>
          <w:b/>
          <w:sz w:val="24"/>
          <w:szCs w:val="24"/>
        </w:rPr>
        <w:t>Politica de coeziune UE</w:t>
      </w:r>
      <w:r>
        <w:rPr>
          <w:rFonts w:ascii="Arial" w:hAnsi="Arial" w:cs="Arial"/>
          <w:sz w:val="24"/>
          <w:szCs w:val="24"/>
        </w:rPr>
        <w:t xml:space="preserve"> – corelată cu PO Infrastrcutură Mare, PO Capital Uman, PO Capacitate Administrativă, PO Regional, PO Competitivitate, PO Asistență Tehnică.</w:t>
      </w:r>
    </w:p>
    <w:p w:rsidR="00FB4004" w:rsidRDefault="00FB4004" w:rsidP="000C6A67">
      <w:pPr>
        <w:spacing w:after="0" w:line="240" w:lineRule="auto"/>
        <w:jc w:val="both"/>
        <w:rPr>
          <w:rFonts w:ascii="Arial" w:hAnsi="Arial" w:cs="Arial"/>
          <w:sz w:val="24"/>
          <w:szCs w:val="24"/>
        </w:rPr>
      </w:pPr>
      <w:r w:rsidRPr="00950FBE">
        <w:rPr>
          <w:rFonts w:ascii="Arial" w:hAnsi="Arial" w:cs="Arial"/>
          <w:b/>
          <w:sz w:val="24"/>
          <w:szCs w:val="24"/>
        </w:rPr>
        <w:t>Politicile de Cooperare teritorială europeană</w:t>
      </w:r>
      <w:r>
        <w:rPr>
          <w:rFonts w:ascii="Arial" w:hAnsi="Arial" w:cs="Arial"/>
          <w:sz w:val="24"/>
          <w:szCs w:val="24"/>
        </w:rPr>
        <w:t xml:space="preserve"> direct legată de Cooperarea teritorială România – Serbia.</w:t>
      </w:r>
    </w:p>
    <w:p w:rsidR="00FB4004" w:rsidRDefault="00FB4004" w:rsidP="000C6A67">
      <w:pPr>
        <w:spacing w:after="0" w:line="240" w:lineRule="auto"/>
        <w:jc w:val="both"/>
        <w:rPr>
          <w:rFonts w:ascii="Arial" w:hAnsi="Arial" w:cs="Arial"/>
          <w:sz w:val="24"/>
          <w:szCs w:val="24"/>
        </w:rPr>
      </w:pPr>
      <w:r w:rsidRPr="00950FBE">
        <w:rPr>
          <w:rFonts w:ascii="Arial" w:hAnsi="Arial" w:cs="Arial"/>
          <w:b/>
          <w:sz w:val="24"/>
          <w:szCs w:val="24"/>
        </w:rPr>
        <w:t>Politica Agricolă Comună</w:t>
      </w:r>
      <w:r>
        <w:rPr>
          <w:rFonts w:ascii="Arial" w:hAnsi="Arial" w:cs="Arial"/>
          <w:sz w:val="24"/>
          <w:szCs w:val="24"/>
        </w:rPr>
        <w:t xml:space="preserve"> – corelată cu PO Dezvoltare Rurală și PO Pescuit. </w:t>
      </w:r>
    </w:p>
    <w:p w:rsidR="001645A3" w:rsidRDefault="001645A3" w:rsidP="000C6A67">
      <w:pPr>
        <w:spacing w:after="0" w:line="240" w:lineRule="auto"/>
        <w:jc w:val="both"/>
        <w:rPr>
          <w:rFonts w:ascii="Arial" w:hAnsi="Arial" w:cs="Arial"/>
          <w:color w:val="000000" w:themeColor="text1"/>
          <w:sz w:val="24"/>
          <w:szCs w:val="24"/>
        </w:rPr>
      </w:pPr>
    </w:p>
    <w:p w:rsidR="00E30301" w:rsidRDefault="00E30301" w:rsidP="000C6A67">
      <w:pPr>
        <w:spacing w:after="0" w:line="240" w:lineRule="auto"/>
        <w:jc w:val="both"/>
        <w:rPr>
          <w:rFonts w:ascii="Arial" w:hAnsi="Arial" w:cs="Arial"/>
          <w:b/>
          <w:sz w:val="24"/>
          <w:szCs w:val="24"/>
        </w:rPr>
      </w:pPr>
    </w:p>
    <w:p w:rsidR="00E30301" w:rsidRDefault="00E30301" w:rsidP="000C6A67">
      <w:pPr>
        <w:spacing w:after="0" w:line="240" w:lineRule="auto"/>
        <w:jc w:val="both"/>
        <w:rPr>
          <w:rFonts w:ascii="Arial" w:hAnsi="Arial" w:cs="Arial"/>
          <w:b/>
          <w:sz w:val="24"/>
          <w:szCs w:val="24"/>
        </w:rPr>
      </w:pPr>
    </w:p>
    <w:p w:rsidR="00E30301" w:rsidRDefault="00E30301" w:rsidP="000C6A67">
      <w:pPr>
        <w:spacing w:after="0" w:line="240" w:lineRule="auto"/>
        <w:jc w:val="both"/>
        <w:rPr>
          <w:rFonts w:ascii="Arial" w:hAnsi="Arial" w:cs="Arial"/>
          <w:b/>
          <w:sz w:val="24"/>
          <w:szCs w:val="24"/>
        </w:rPr>
      </w:pPr>
    </w:p>
    <w:p w:rsidR="00E30301" w:rsidRDefault="00E30301" w:rsidP="000C6A67">
      <w:pPr>
        <w:spacing w:after="0" w:line="240" w:lineRule="auto"/>
        <w:jc w:val="both"/>
        <w:rPr>
          <w:rFonts w:ascii="Arial" w:hAnsi="Arial" w:cs="Arial"/>
          <w:b/>
          <w:sz w:val="24"/>
          <w:szCs w:val="24"/>
        </w:rPr>
      </w:pPr>
    </w:p>
    <w:p w:rsidR="00E30301" w:rsidRDefault="00E30301" w:rsidP="000C6A67">
      <w:pPr>
        <w:spacing w:after="0" w:line="240" w:lineRule="auto"/>
        <w:jc w:val="both"/>
        <w:rPr>
          <w:rFonts w:ascii="Arial" w:hAnsi="Arial" w:cs="Arial"/>
          <w:b/>
          <w:sz w:val="24"/>
          <w:szCs w:val="24"/>
        </w:rPr>
      </w:pPr>
    </w:p>
    <w:p w:rsidR="00FB4004" w:rsidRPr="00FE749F" w:rsidRDefault="00FB4004" w:rsidP="000C6A67">
      <w:pPr>
        <w:spacing w:after="0" w:line="240" w:lineRule="auto"/>
        <w:jc w:val="both"/>
        <w:rPr>
          <w:rFonts w:ascii="Arial" w:hAnsi="Arial" w:cs="Arial"/>
          <w:b/>
          <w:sz w:val="24"/>
          <w:szCs w:val="24"/>
        </w:rPr>
      </w:pPr>
      <w:r w:rsidRPr="00FE749F">
        <w:rPr>
          <w:rFonts w:ascii="Arial" w:hAnsi="Arial" w:cs="Arial"/>
          <w:b/>
          <w:sz w:val="24"/>
          <w:szCs w:val="24"/>
        </w:rPr>
        <w:lastRenderedPageBreak/>
        <w:t>Judetul Arad</w:t>
      </w:r>
      <w:r w:rsidRPr="00FE749F">
        <w:rPr>
          <w:rStyle w:val="FootnoteReference"/>
          <w:rFonts w:ascii="Arial" w:hAnsi="Arial" w:cs="Arial"/>
          <w:b/>
          <w:sz w:val="24"/>
          <w:szCs w:val="24"/>
        </w:rPr>
        <w:footnoteReference w:id="22"/>
      </w:r>
      <w:r>
        <w:rPr>
          <w:rFonts w:ascii="Arial" w:hAnsi="Arial" w:cs="Arial"/>
          <w:b/>
          <w:sz w:val="24"/>
          <w:szCs w:val="24"/>
        </w:rPr>
        <w:t xml:space="preserve"> </w:t>
      </w:r>
    </w:p>
    <w:p w:rsidR="00FB4004" w:rsidRPr="00F64E59" w:rsidRDefault="00DC3D41" w:rsidP="000C6A67">
      <w:pPr>
        <w:spacing w:after="0" w:line="240" w:lineRule="auto"/>
        <w:jc w:val="both"/>
        <w:rPr>
          <w:rFonts w:ascii="Arial" w:hAnsi="Arial" w:cs="Arial"/>
          <w:sz w:val="20"/>
          <w:szCs w:val="20"/>
        </w:rPr>
      </w:pPr>
      <w:hyperlink r:id="rId14" w:history="1">
        <w:r w:rsidR="00FB4004" w:rsidRPr="00F64E59">
          <w:rPr>
            <w:rStyle w:val="Hyperlink"/>
            <w:rFonts w:ascii="Arial" w:hAnsi="Arial" w:cs="Arial"/>
            <w:sz w:val="20"/>
            <w:szCs w:val="20"/>
          </w:rPr>
          <w:t>http://www.cjarad.ro/uploads/files/transparenta_decizionala/STRATEGIA%20DE%20DEZVOLTARE%20A%20JUD%20ARAD_VERS%202%20CONSULTATIVA_29%20iulie%202015.pdf</w:t>
        </w:r>
      </w:hyperlink>
    </w:p>
    <w:p w:rsidR="00FB4004" w:rsidRPr="00FE749F" w:rsidRDefault="00FB4004" w:rsidP="001645A3">
      <w:pPr>
        <w:spacing w:after="0" w:line="240" w:lineRule="auto"/>
        <w:jc w:val="both"/>
        <w:rPr>
          <w:rFonts w:ascii="Arial" w:hAnsi="Arial" w:cs="Arial"/>
          <w:sz w:val="24"/>
          <w:szCs w:val="24"/>
        </w:rPr>
      </w:pPr>
      <w:r w:rsidRPr="00FE749F">
        <w:rPr>
          <w:rFonts w:ascii="Arial" w:hAnsi="Arial" w:cs="Arial"/>
          <w:b/>
          <w:sz w:val="24"/>
          <w:szCs w:val="24"/>
        </w:rPr>
        <w:t xml:space="preserve">Nevoile și soluții privind </w:t>
      </w:r>
      <w:r w:rsidRPr="00FE749F">
        <w:rPr>
          <w:rFonts w:ascii="Arial" w:eastAsia="Times New Roman" w:hAnsi="Arial" w:cs="Arial"/>
          <w:sz w:val="24"/>
          <w:szCs w:val="24"/>
          <w:lang w:val="en-US"/>
        </w:rPr>
        <w:t xml:space="preserve">infrastructura de învățământ în județul Arad sunt prezentate în </w:t>
      </w:r>
      <w:r w:rsidRPr="00FE749F">
        <w:rPr>
          <w:rStyle w:val="Emphasis"/>
          <w:rFonts w:ascii="Arial" w:hAnsi="Arial" w:cs="Arial"/>
          <w:b/>
          <w:sz w:val="24"/>
          <w:szCs w:val="24"/>
        </w:rPr>
        <w:t>Strategia</w:t>
      </w:r>
      <w:r w:rsidRPr="00FE749F">
        <w:rPr>
          <w:rStyle w:val="Emphasis"/>
          <w:rFonts w:ascii="Arial" w:hAnsi="Arial" w:cs="Arial"/>
          <w:sz w:val="24"/>
          <w:szCs w:val="24"/>
        </w:rPr>
        <w:t xml:space="preserve"> </w:t>
      </w:r>
      <w:r>
        <w:rPr>
          <w:rFonts w:ascii="Arial" w:hAnsi="Arial" w:cs="Arial"/>
          <w:b/>
          <w:sz w:val="24"/>
          <w:szCs w:val="24"/>
        </w:rPr>
        <w:t>de dezvoltare a Județului A</w:t>
      </w:r>
      <w:r w:rsidRPr="00FE749F">
        <w:rPr>
          <w:rFonts w:ascii="Arial" w:hAnsi="Arial" w:cs="Arial"/>
          <w:b/>
          <w:sz w:val="24"/>
          <w:szCs w:val="24"/>
        </w:rPr>
        <w:t>rad pentru perioada 2014 - 2020.</w:t>
      </w:r>
      <w:r w:rsidRPr="00FE749F">
        <w:rPr>
          <w:rFonts w:ascii="Arial" w:hAnsi="Arial" w:cs="Arial"/>
          <w:sz w:val="24"/>
          <w:szCs w:val="24"/>
        </w:rPr>
        <w:t xml:space="preserve"> </w:t>
      </w:r>
      <w:r w:rsidRPr="00FE749F">
        <w:rPr>
          <w:rFonts w:ascii="Arial" w:eastAsia="Times New Roman" w:hAnsi="Arial" w:cs="Arial"/>
          <w:sz w:val="24"/>
          <w:szCs w:val="24"/>
          <w:lang w:val="en-US"/>
        </w:rPr>
        <w:t xml:space="preserve"> </w:t>
      </w:r>
    </w:p>
    <w:p w:rsidR="00FB4004" w:rsidRPr="00FE749F" w:rsidRDefault="00FB4004" w:rsidP="001645A3">
      <w:pPr>
        <w:spacing w:after="0" w:line="240" w:lineRule="auto"/>
        <w:jc w:val="both"/>
        <w:rPr>
          <w:rFonts w:ascii="Arial" w:eastAsia="Times New Roman" w:hAnsi="Arial" w:cs="Arial"/>
          <w:sz w:val="24"/>
          <w:szCs w:val="24"/>
          <w:lang w:val="en-US"/>
        </w:rPr>
      </w:pPr>
      <w:r w:rsidRPr="00FE749F">
        <w:rPr>
          <w:rFonts w:ascii="Arial" w:eastAsia="Times New Roman" w:hAnsi="Arial" w:cs="Arial"/>
          <w:sz w:val="24"/>
          <w:szCs w:val="24"/>
          <w:lang w:val="en-US"/>
        </w:rPr>
        <w:t>Unităţile de învăţământ au o bază materială (săli de clasă, biblioteci, laboratoare), respectiv umană (cadre didactice) care asigură în bune condiții desfășurarea actului educațional, dar necesită diferite investiții, atât în privința infrastructurii, cât și în ceea ce privește pregătirea continuă a cadrelor didactice în vederea adaptării la cerințele pieței, inclusiv la nivel local, prin specializările prevăzute în oferta educațională.</w:t>
      </w:r>
    </w:p>
    <w:p w:rsidR="00FB4004" w:rsidRPr="00FE749F" w:rsidRDefault="00FB4004" w:rsidP="001645A3">
      <w:pPr>
        <w:spacing w:after="0" w:line="240" w:lineRule="auto"/>
        <w:jc w:val="both"/>
        <w:rPr>
          <w:rFonts w:ascii="Arial" w:eastAsia="Times New Roman" w:hAnsi="Arial" w:cs="Arial"/>
          <w:sz w:val="24"/>
          <w:szCs w:val="24"/>
          <w:lang w:val="en-US"/>
        </w:rPr>
      </w:pPr>
      <w:r w:rsidRPr="00FE749F">
        <w:rPr>
          <w:rFonts w:ascii="Arial" w:eastAsia="Times New Roman" w:hAnsi="Arial" w:cs="Arial"/>
          <w:b/>
          <w:sz w:val="24"/>
          <w:szCs w:val="24"/>
          <w:lang w:val="en-US"/>
        </w:rPr>
        <w:t>Planul de acțiune</w:t>
      </w:r>
      <w:r w:rsidRPr="00FE749F">
        <w:rPr>
          <w:rFonts w:ascii="Arial" w:eastAsia="Times New Roman" w:hAnsi="Arial" w:cs="Arial"/>
          <w:sz w:val="24"/>
          <w:szCs w:val="24"/>
          <w:lang w:val="en-US"/>
        </w:rPr>
        <w:t xml:space="preserve"> propus pentru atingerea obiectivelor presupune împărțirea măsurilor identificate în trei niveluri de prioritate, fiecare dintre acestea înscriindu-se într-unul dintre aceste niveluri:</w:t>
      </w:r>
    </w:p>
    <w:p w:rsidR="00FB4004" w:rsidRPr="00FE749F" w:rsidRDefault="00FB4004" w:rsidP="00A827CF">
      <w:pPr>
        <w:pStyle w:val="ListParagraph"/>
        <w:numPr>
          <w:ilvl w:val="0"/>
          <w:numId w:val="1"/>
        </w:numPr>
        <w:jc w:val="both"/>
        <w:rPr>
          <w:rFonts w:ascii="Arial" w:eastAsia="Times New Roman" w:hAnsi="Arial" w:cs="Arial"/>
          <w:sz w:val="24"/>
          <w:szCs w:val="24"/>
        </w:rPr>
      </w:pPr>
      <w:r w:rsidRPr="00FE749F">
        <w:rPr>
          <w:rFonts w:ascii="Arial" w:eastAsia="Times New Roman" w:hAnsi="Arial" w:cs="Arial"/>
          <w:b/>
          <w:sz w:val="24"/>
          <w:szCs w:val="24"/>
        </w:rPr>
        <w:t>Măsuri directe</w:t>
      </w:r>
      <w:r w:rsidRPr="00FE749F">
        <w:rPr>
          <w:rFonts w:ascii="Arial" w:eastAsia="Times New Roman" w:hAnsi="Arial" w:cs="Arial"/>
          <w:sz w:val="24"/>
          <w:szCs w:val="24"/>
        </w:rPr>
        <w:t xml:space="preserve"> - care contribuie direct și nemijlocit la realizarea obiectivelor strategice;</w:t>
      </w:r>
    </w:p>
    <w:p w:rsidR="00FB4004" w:rsidRPr="00FE749F" w:rsidRDefault="00FB4004" w:rsidP="00A827CF">
      <w:pPr>
        <w:pStyle w:val="ListParagraph"/>
        <w:numPr>
          <w:ilvl w:val="0"/>
          <w:numId w:val="1"/>
        </w:numPr>
        <w:jc w:val="both"/>
        <w:rPr>
          <w:rFonts w:ascii="Arial" w:eastAsia="Times New Roman" w:hAnsi="Arial" w:cs="Arial"/>
          <w:sz w:val="24"/>
          <w:szCs w:val="24"/>
        </w:rPr>
      </w:pPr>
      <w:r w:rsidRPr="00FE749F">
        <w:rPr>
          <w:rFonts w:ascii="Arial" w:eastAsia="Times New Roman" w:hAnsi="Arial" w:cs="Arial"/>
          <w:b/>
          <w:sz w:val="24"/>
          <w:szCs w:val="24"/>
        </w:rPr>
        <w:t>Măsuri  suport</w:t>
      </w:r>
      <w:r w:rsidRPr="00FE749F">
        <w:rPr>
          <w:rFonts w:ascii="Arial" w:eastAsia="Times New Roman" w:hAnsi="Arial" w:cs="Arial"/>
          <w:sz w:val="24"/>
          <w:szCs w:val="24"/>
        </w:rPr>
        <w:t xml:space="preserve"> - a căror implementare/realizare susține atingerea obiectivelor strategice;</w:t>
      </w:r>
    </w:p>
    <w:p w:rsidR="00FB4004" w:rsidRPr="00FE749F" w:rsidRDefault="00FB4004" w:rsidP="00A827CF">
      <w:pPr>
        <w:pStyle w:val="ListParagraph"/>
        <w:numPr>
          <w:ilvl w:val="0"/>
          <w:numId w:val="1"/>
        </w:numPr>
        <w:jc w:val="both"/>
        <w:rPr>
          <w:rFonts w:ascii="Arial" w:eastAsia="Times New Roman" w:hAnsi="Arial" w:cs="Arial"/>
          <w:sz w:val="24"/>
          <w:szCs w:val="24"/>
        </w:rPr>
      </w:pPr>
      <w:r w:rsidRPr="00FE749F">
        <w:rPr>
          <w:rFonts w:ascii="Arial" w:eastAsia="Times New Roman" w:hAnsi="Arial" w:cs="Arial"/>
          <w:b/>
          <w:sz w:val="24"/>
          <w:szCs w:val="24"/>
        </w:rPr>
        <w:t>Măsuri punctuale</w:t>
      </w:r>
      <w:r w:rsidRPr="00FE749F">
        <w:rPr>
          <w:rFonts w:ascii="Arial" w:eastAsia="Times New Roman" w:hAnsi="Arial" w:cs="Arial"/>
          <w:sz w:val="24"/>
          <w:szCs w:val="24"/>
        </w:rPr>
        <w:t xml:space="preserve"> - care presupun dezvoltarea punctuală a județului.</w:t>
      </w:r>
    </w:p>
    <w:p w:rsidR="00FB4004" w:rsidRPr="00FE749F" w:rsidRDefault="00FB4004" w:rsidP="001645A3">
      <w:pPr>
        <w:spacing w:after="0" w:line="240" w:lineRule="auto"/>
        <w:jc w:val="both"/>
        <w:rPr>
          <w:rFonts w:ascii="Arial" w:eastAsia="Times New Roman" w:hAnsi="Arial" w:cs="Arial"/>
          <w:sz w:val="24"/>
          <w:szCs w:val="24"/>
          <w:lang w:val="en-US"/>
        </w:rPr>
      </w:pPr>
      <w:r w:rsidRPr="00FE749F">
        <w:rPr>
          <w:rFonts w:ascii="Arial" w:eastAsia="Times New Roman" w:hAnsi="Arial" w:cs="Arial"/>
          <w:b/>
          <w:sz w:val="24"/>
          <w:szCs w:val="24"/>
          <w:lang w:val="en-US"/>
        </w:rPr>
        <w:t xml:space="preserve">Obiectivul strategic 1 :  </w:t>
      </w:r>
      <w:r w:rsidRPr="00FE749F">
        <w:rPr>
          <w:rFonts w:ascii="Arial" w:eastAsia="Times New Roman" w:hAnsi="Arial" w:cs="Arial"/>
          <w:sz w:val="24"/>
          <w:szCs w:val="24"/>
          <w:lang w:val="en-US"/>
        </w:rPr>
        <w:t xml:space="preserve">Creștere economica cu </w:t>
      </w:r>
      <w:r w:rsidRPr="00FE749F">
        <w:rPr>
          <w:rFonts w:ascii="Arial" w:eastAsia="Times New Roman" w:hAnsi="Arial" w:cs="Arial"/>
          <w:b/>
          <w:sz w:val="24"/>
          <w:szCs w:val="24"/>
          <w:lang w:val="en-US"/>
        </w:rPr>
        <w:t xml:space="preserve">Obiectivul specific 1.3.  </w:t>
      </w:r>
      <w:r w:rsidRPr="00FE749F">
        <w:rPr>
          <w:rFonts w:ascii="Arial" w:eastAsia="Times New Roman" w:hAnsi="Arial" w:cs="Arial"/>
          <w:sz w:val="24"/>
          <w:szCs w:val="24"/>
          <w:lang w:val="en-US"/>
        </w:rPr>
        <w:t xml:space="preserve">Educație specializată la </w:t>
      </w:r>
      <w:r w:rsidRPr="00FE749F">
        <w:rPr>
          <w:rFonts w:ascii="Arial" w:eastAsia="Times New Roman" w:hAnsi="Arial" w:cs="Arial"/>
          <w:b/>
          <w:sz w:val="24"/>
          <w:szCs w:val="24"/>
          <w:lang w:val="en-US"/>
        </w:rPr>
        <w:t xml:space="preserve">Axa prioritara 1.1.3. </w:t>
      </w:r>
      <w:r w:rsidRPr="00FE749F">
        <w:rPr>
          <w:rFonts w:ascii="Arial" w:eastAsia="Times New Roman" w:hAnsi="Arial" w:cs="Arial"/>
          <w:sz w:val="24"/>
          <w:szCs w:val="24"/>
          <w:lang w:val="en-US"/>
        </w:rPr>
        <w:t xml:space="preserve">Sprijinirea adaptării sistemului educațional la cerințele angajatorilor cuprinde următoarele </w:t>
      </w:r>
      <w:r w:rsidRPr="00FE749F">
        <w:rPr>
          <w:rFonts w:ascii="Arial" w:eastAsia="Times New Roman" w:hAnsi="Arial" w:cs="Arial"/>
          <w:b/>
          <w:sz w:val="24"/>
          <w:szCs w:val="24"/>
          <w:lang w:val="en-US"/>
        </w:rPr>
        <w:t>Măsuri propuse (</w:t>
      </w:r>
      <w:r w:rsidRPr="00FE749F">
        <w:rPr>
          <w:rFonts w:ascii="Arial" w:eastAsia="Times New Roman" w:hAnsi="Arial" w:cs="Arial"/>
          <w:i/>
          <w:sz w:val="24"/>
          <w:szCs w:val="24"/>
          <w:lang w:val="en-US"/>
        </w:rPr>
        <w:t>Nivel de prioritate: Masură suport</w:t>
      </w:r>
      <w:r w:rsidRPr="00FE749F">
        <w:rPr>
          <w:rFonts w:ascii="Arial" w:eastAsia="Times New Roman" w:hAnsi="Arial" w:cs="Arial"/>
          <w:sz w:val="24"/>
          <w:szCs w:val="24"/>
          <w:lang w:val="en-US"/>
        </w:rPr>
        <w:t>):</w:t>
      </w:r>
    </w:p>
    <w:p w:rsidR="00FB4004" w:rsidRPr="00FE749F" w:rsidRDefault="00FB4004" w:rsidP="001645A3">
      <w:pPr>
        <w:spacing w:after="0" w:line="240" w:lineRule="auto"/>
        <w:jc w:val="both"/>
        <w:rPr>
          <w:rFonts w:ascii="Arial" w:eastAsia="Times New Roman" w:hAnsi="Arial" w:cs="Arial"/>
          <w:sz w:val="24"/>
          <w:szCs w:val="24"/>
        </w:rPr>
      </w:pPr>
      <w:r w:rsidRPr="00FE749F">
        <w:rPr>
          <w:rFonts w:ascii="Arial" w:eastAsia="Times New Roman" w:hAnsi="Arial" w:cs="Arial"/>
          <w:sz w:val="24"/>
          <w:szCs w:val="24"/>
          <w:lang w:val="en-US"/>
        </w:rPr>
        <w:t>1.3.1.1.</w:t>
      </w:r>
      <w:r w:rsidRPr="00FE749F">
        <w:rPr>
          <w:rFonts w:ascii="Arial" w:eastAsia="Times New Roman" w:hAnsi="Arial" w:cs="Arial"/>
          <w:sz w:val="24"/>
          <w:szCs w:val="24"/>
        </w:rPr>
        <w:t>Sprijinirea și susținerea introducerii de noi profiluri în sfera învăţământului profesio</w:t>
      </w:r>
      <w:r w:rsidR="001645A3">
        <w:rPr>
          <w:rFonts w:ascii="Arial" w:eastAsia="Times New Roman" w:hAnsi="Arial" w:cs="Arial"/>
          <w:sz w:val="24"/>
          <w:szCs w:val="24"/>
        </w:rPr>
        <w:t xml:space="preserve">nal, </w:t>
      </w:r>
      <w:r w:rsidRPr="00FE749F">
        <w:rPr>
          <w:rFonts w:ascii="Arial" w:eastAsia="Times New Roman" w:hAnsi="Arial" w:cs="Arial"/>
          <w:sz w:val="24"/>
          <w:szCs w:val="24"/>
        </w:rPr>
        <w:t xml:space="preserve">vocaţional şi liceal tehnic, care să deservească nevoile economiei actuale şi cu potenţial viitor, în conformitate cu perspectivele de dezvoltare din judeţ şi din Uniunea Europeană, şi facilitarea accesului tinerilor din medii sociale dezavantajate la </w:t>
      </w:r>
      <w:r w:rsidR="001645A3">
        <w:rPr>
          <w:rFonts w:ascii="Arial" w:eastAsia="Times New Roman" w:hAnsi="Arial" w:cs="Arial"/>
          <w:sz w:val="24"/>
          <w:szCs w:val="24"/>
        </w:rPr>
        <w:t xml:space="preserve">o </w:t>
      </w:r>
      <w:r w:rsidRPr="00FE749F">
        <w:rPr>
          <w:rFonts w:ascii="Arial" w:eastAsia="Times New Roman" w:hAnsi="Arial" w:cs="Arial"/>
          <w:sz w:val="24"/>
          <w:szCs w:val="24"/>
        </w:rPr>
        <w:t>educaţie de calitate la toate nivelurile;</w:t>
      </w:r>
    </w:p>
    <w:p w:rsidR="00FB4004" w:rsidRPr="00FE749F" w:rsidRDefault="00FB4004" w:rsidP="001645A3">
      <w:pPr>
        <w:spacing w:after="0" w:line="240" w:lineRule="auto"/>
        <w:jc w:val="both"/>
        <w:rPr>
          <w:rFonts w:ascii="Arial" w:eastAsia="Times New Roman" w:hAnsi="Arial" w:cs="Arial"/>
          <w:sz w:val="24"/>
          <w:szCs w:val="24"/>
          <w:lang w:val="en-US"/>
        </w:rPr>
      </w:pPr>
      <w:r w:rsidRPr="00FE749F">
        <w:rPr>
          <w:rFonts w:ascii="Arial" w:eastAsia="Times New Roman" w:hAnsi="Arial" w:cs="Arial"/>
          <w:sz w:val="24"/>
          <w:szCs w:val="24"/>
        </w:rPr>
        <w:t>1.3.1.2 Mijlocirea înființării de parteneriate unități de învățământ–agenți economici, pentru  asigurarea realizării stagiilor de practică pentru elevi, necesare în pregătirea profesională a viitorilor specialiști.</w:t>
      </w:r>
    </w:p>
    <w:p w:rsidR="00FB4004" w:rsidRPr="00FE749F" w:rsidRDefault="00FB4004" w:rsidP="001645A3">
      <w:pPr>
        <w:spacing w:after="0" w:line="240" w:lineRule="auto"/>
        <w:jc w:val="both"/>
        <w:rPr>
          <w:rFonts w:ascii="Arial" w:eastAsia="Times New Roman" w:hAnsi="Arial" w:cs="Arial"/>
          <w:sz w:val="24"/>
          <w:szCs w:val="24"/>
          <w:lang w:val="en-US"/>
        </w:rPr>
      </w:pPr>
      <w:r w:rsidRPr="00FE749F">
        <w:rPr>
          <w:rFonts w:ascii="Arial" w:eastAsia="Times New Roman" w:hAnsi="Arial" w:cs="Arial"/>
          <w:b/>
          <w:sz w:val="24"/>
          <w:szCs w:val="24"/>
          <w:lang w:val="en-US"/>
        </w:rPr>
        <w:t xml:space="preserve">Obiectivul strategic 2: </w:t>
      </w:r>
      <w:r w:rsidRPr="00FE749F">
        <w:rPr>
          <w:rFonts w:ascii="Arial" w:eastAsia="Times New Roman" w:hAnsi="Arial" w:cs="Arial"/>
          <w:sz w:val="24"/>
          <w:szCs w:val="24"/>
          <w:lang w:val="en-US"/>
        </w:rPr>
        <w:t xml:space="preserve">Creşterea calităţii locuirii cu </w:t>
      </w:r>
      <w:r w:rsidRPr="00FE749F">
        <w:rPr>
          <w:rFonts w:ascii="Arial" w:eastAsia="Times New Roman" w:hAnsi="Arial" w:cs="Arial"/>
          <w:b/>
          <w:sz w:val="24"/>
          <w:szCs w:val="24"/>
          <w:lang w:val="en-US"/>
        </w:rPr>
        <w:t xml:space="preserve">Obiectiv specific 2.2. </w:t>
      </w:r>
      <w:r w:rsidRPr="00FE749F">
        <w:rPr>
          <w:rFonts w:ascii="Arial" w:eastAsia="Times New Roman" w:hAnsi="Arial" w:cs="Arial"/>
          <w:sz w:val="24"/>
          <w:szCs w:val="24"/>
          <w:lang w:val="en-US"/>
        </w:rPr>
        <w:t xml:space="preserve">Servicii publice şi siguranţă civilă la </w:t>
      </w:r>
      <w:r w:rsidRPr="00FE749F">
        <w:rPr>
          <w:rFonts w:ascii="Arial" w:eastAsia="Times New Roman" w:hAnsi="Arial" w:cs="Arial"/>
          <w:b/>
          <w:sz w:val="24"/>
          <w:szCs w:val="24"/>
          <w:lang w:val="en-US"/>
        </w:rPr>
        <w:t>Axa prioritara 1.2.2.</w:t>
      </w:r>
      <w:r w:rsidRPr="00FE749F">
        <w:rPr>
          <w:rFonts w:ascii="Arial" w:eastAsia="Times New Roman" w:hAnsi="Arial" w:cs="Arial"/>
          <w:sz w:val="24"/>
          <w:szCs w:val="24"/>
          <w:lang w:val="en-US"/>
        </w:rPr>
        <w:t xml:space="preserve">Dezvoltarea și modernizarea structurii educaţionale cuprinde următoarele </w:t>
      </w:r>
      <w:r w:rsidRPr="00FE749F">
        <w:rPr>
          <w:rFonts w:ascii="Arial" w:eastAsia="Times New Roman" w:hAnsi="Arial" w:cs="Arial"/>
          <w:b/>
          <w:sz w:val="24"/>
          <w:szCs w:val="24"/>
          <w:lang w:val="en-US"/>
        </w:rPr>
        <w:t xml:space="preserve">Măsuri propuse: </w:t>
      </w:r>
    </w:p>
    <w:p w:rsidR="00FB4004" w:rsidRPr="00FE749F" w:rsidRDefault="00FB4004" w:rsidP="001645A3">
      <w:pPr>
        <w:spacing w:after="0" w:line="240" w:lineRule="auto"/>
        <w:jc w:val="both"/>
        <w:rPr>
          <w:rFonts w:ascii="Arial" w:eastAsia="Times New Roman" w:hAnsi="Arial" w:cs="Arial"/>
          <w:sz w:val="24"/>
          <w:szCs w:val="24"/>
          <w:lang w:val="en-US"/>
        </w:rPr>
      </w:pPr>
      <w:r w:rsidRPr="00FE749F">
        <w:rPr>
          <w:rFonts w:ascii="Arial" w:eastAsia="Times New Roman" w:hAnsi="Arial" w:cs="Arial"/>
          <w:sz w:val="24"/>
          <w:szCs w:val="24"/>
          <w:lang w:val="en-US"/>
        </w:rPr>
        <w:t>2.2.2.1 Modernizarea și echiparea inclusiv cu infrastructură TIC a unităților de învățăm</w:t>
      </w:r>
      <w:r w:rsidR="004A5236">
        <w:rPr>
          <w:rFonts w:ascii="Arial" w:eastAsia="Times New Roman" w:hAnsi="Arial" w:cs="Arial"/>
          <w:sz w:val="24"/>
          <w:szCs w:val="24"/>
          <w:lang w:val="en-US"/>
        </w:rPr>
        <w:t xml:space="preserve">ânt de pe teritoriul județului </w:t>
      </w:r>
      <w:r w:rsidRPr="00081D5F">
        <w:rPr>
          <w:rFonts w:ascii="Arial" w:eastAsia="Times New Roman" w:hAnsi="Arial" w:cs="Arial"/>
          <w:sz w:val="24"/>
          <w:szCs w:val="24"/>
          <w:lang w:val="en-US"/>
        </w:rPr>
        <w:t>(</w:t>
      </w:r>
      <w:r w:rsidRPr="00FE749F">
        <w:rPr>
          <w:rFonts w:ascii="Arial" w:eastAsia="Times New Roman" w:hAnsi="Arial" w:cs="Arial"/>
          <w:i/>
          <w:sz w:val="24"/>
          <w:szCs w:val="24"/>
          <w:lang w:val="en-US"/>
        </w:rPr>
        <w:t>Nivel de prioritate: Masură directă</w:t>
      </w:r>
      <w:r w:rsidRPr="00FE749F">
        <w:rPr>
          <w:rFonts w:ascii="Arial" w:eastAsia="Times New Roman" w:hAnsi="Arial" w:cs="Arial"/>
          <w:sz w:val="24"/>
          <w:szCs w:val="24"/>
          <w:lang w:val="en-US"/>
        </w:rPr>
        <w:t>);</w:t>
      </w:r>
    </w:p>
    <w:p w:rsidR="00FB4004" w:rsidRPr="00FE749F" w:rsidRDefault="00FB4004" w:rsidP="001645A3">
      <w:pPr>
        <w:spacing w:after="0" w:line="240" w:lineRule="auto"/>
        <w:jc w:val="both"/>
        <w:rPr>
          <w:rFonts w:ascii="Arial" w:eastAsia="Times New Roman" w:hAnsi="Arial" w:cs="Arial"/>
          <w:sz w:val="24"/>
          <w:szCs w:val="24"/>
          <w:lang w:val="en-US"/>
        </w:rPr>
      </w:pPr>
      <w:r w:rsidRPr="00FE749F">
        <w:rPr>
          <w:rFonts w:ascii="Arial" w:eastAsia="Times New Roman" w:hAnsi="Arial" w:cs="Arial"/>
          <w:sz w:val="24"/>
          <w:szCs w:val="24"/>
          <w:lang w:val="en-US"/>
        </w:rPr>
        <w:t xml:space="preserve">2.2.2.2 Susținerea și încurajarea participării elevilor la Competițiile școlare județene, naționale și internaționale </w:t>
      </w:r>
      <w:r w:rsidRPr="00081D5F">
        <w:rPr>
          <w:rFonts w:ascii="Arial" w:eastAsia="Times New Roman" w:hAnsi="Arial" w:cs="Arial"/>
          <w:sz w:val="24"/>
          <w:szCs w:val="24"/>
          <w:lang w:val="en-US"/>
        </w:rPr>
        <w:t>(</w:t>
      </w:r>
      <w:r w:rsidRPr="00FE749F">
        <w:rPr>
          <w:rFonts w:ascii="Arial" w:eastAsia="Times New Roman" w:hAnsi="Arial" w:cs="Arial"/>
          <w:i/>
          <w:sz w:val="24"/>
          <w:szCs w:val="24"/>
          <w:lang w:val="en-US"/>
        </w:rPr>
        <w:t>Nivel de prioritate: Masură suport);</w:t>
      </w:r>
    </w:p>
    <w:p w:rsidR="00FB4004" w:rsidRPr="00FE749F" w:rsidRDefault="00FB4004" w:rsidP="001645A3">
      <w:pPr>
        <w:spacing w:after="0" w:line="240" w:lineRule="auto"/>
        <w:jc w:val="both"/>
        <w:rPr>
          <w:rFonts w:ascii="Arial" w:eastAsia="Times New Roman" w:hAnsi="Arial" w:cs="Arial"/>
          <w:sz w:val="24"/>
          <w:szCs w:val="24"/>
          <w:lang w:val="en-US"/>
        </w:rPr>
      </w:pPr>
      <w:r w:rsidRPr="00FE749F">
        <w:rPr>
          <w:rFonts w:ascii="Arial" w:eastAsia="Times New Roman" w:hAnsi="Arial" w:cs="Arial"/>
          <w:sz w:val="24"/>
          <w:szCs w:val="24"/>
          <w:lang w:val="en-US"/>
        </w:rPr>
        <w:t xml:space="preserve">2.2.2.3 Sprijinirea activităţilor de prevenire a părăsirii timpurii </w:t>
      </w:r>
      <w:r w:rsidR="004A5236">
        <w:rPr>
          <w:rFonts w:ascii="Arial" w:eastAsia="Times New Roman" w:hAnsi="Arial" w:cs="Arial"/>
          <w:sz w:val="24"/>
          <w:szCs w:val="24"/>
          <w:lang w:val="en-US"/>
        </w:rPr>
        <w:t xml:space="preserve">a şcolii, a abandonului şcolar </w:t>
      </w:r>
      <w:r w:rsidRPr="00081D5F">
        <w:rPr>
          <w:rFonts w:ascii="Arial" w:eastAsia="Times New Roman" w:hAnsi="Arial" w:cs="Arial"/>
          <w:sz w:val="24"/>
          <w:szCs w:val="24"/>
          <w:lang w:val="en-US"/>
        </w:rPr>
        <w:t>(</w:t>
      </w:r>
      <w:r w:rsidRPr="00FE749F">
        <w:rPr>
          <w:rFonts w:ascii="Arial" w:eastAsia="Times New Roman" w:hAnsi="Arial" w:cs="Arial"/>
          <w:i/>
          <w:sz w:val="24"/>
          <w:szCs w:val="24"/>
          <w:lang w:val="en-US"/>
        </w:rPr>
        <w:t>Nivel de prioritate: Masură suport);</w:t>
      </w:r>
    </w:p>
    <w:p w:rsidR="00FB4004" w:rsidRPr="00FE749F" w:rsidRDefault="00FB4004" w:rsidP="001645A3">
      <w:pPr>
        <w:spacing w:after="0" w:line="240" w:lineRule="auto"/>
        <w:jc w:val="both"/>
        <w:rPr>
          <w:rFonts w:ascii="Arial" w:eastAsia="Times New Roman" w:hAnsi="Arial" w:cs="Arial"/>
          <w:sz w:val="24"/>
          <w:szCs w:val="24"/>
          <w:lang w:val="en-US"/>
        </w:rPr>
      </w:pPr>
      <w:r w:rsidRPr="00FE749F">
        <w:rPr>
          <w:rFonts w:ascii="Arial" w:eastAsia="Times New Roman" w:hAnsi="Arial" w:cs="Arial"/>
          <w:sz w:val="24"/>
          <w:szCs w:val="24"/>
          <w:lang w:val="en-US"/>
        </w:rPr>
        <w:t xml:space="preserve">2.2.2.4 Sprijinirea programelor pentru conştientizarea importanţei educaţiei în rândul elevilor şi al părinţilor, inclusiv printr-un sistem de burse oferite elevilor proveniți din familii cu posibilităţi materiale reduse </w:t>
      </w:r>
      <w:r w:rsidRPr="00081D5F">
        <w:rPr>
          <w:rFonts w:ascii="Arial" w:eastAsia="Times New Roman" w:hAnsi="Arial" w:cs="Arial"/>
          <w:sz w:val="24"/>
          <w:szCs w:val="24"/>
          <w:lang w:val="en-US"/>
        </w:rPr>
        <w:t>(</w:t>
      </w:r>
      <w:r w:rsidRPr="00FE749F">
        <w:rPr>
          <w:rFonts w:ascii="Arial" w:eastAsia="Times New Roman" w:hAnsi="Arial" w:cs="Arial"/>
          <w:i/>
          <w:sz w:val="24"/>
          <w:szCs w:val="24"/>
          <w:lang w:val="en-US"/>
        </w:rPr>
        <w:t xml:space="preserve">Nivel de prioritate: Masură </w:t>
      </w:r>
      <w:r w:rsidR="004A5236">
        <w:rPr>
          <w:rFonts w:ascii="Arial" w:eastAsia="Times New Roman" w:hAnsi="Arial" w:cs="Arial"/>
          <w:i/>
          <w:sz w:val="24"/>
          <w:szCs w:val="24"/>
          <w:lang w:val="en-US"/>
        </w:rPr>
        <w:t>support)</w:t>
      </w:r>
      <w:r w:rsidRPr="00FE749F">
        <w:rPr>
          <w:rFonts w:ascii="Arial" w:eastAsia="Times New Roman" w:hAnsi="Arial" w:cs="Arial"/>
          <w:i/>
          <w:sz w:val="24"/>
          <w:szCs w:val="24"/>
          <w:lang w:val="en-US"/>
        </w:rPr>
        <w:t>;</w:t>
      </w:r>
    </w:p>
    <w:p w:rsidR="00FB4004" w:rsidRPr="00FE749F" w:rsidRDefault="00FB4004" w:rsidP="001645A3">
      <w:pPr>
        <w:spacing w:after="0" w:line="240" w:lineRule="auto"/>
        <w:jc w:val="both"/>
        <w:rPr>
          <w:rFonts w:ascii="Arial" w:eastAsia="Times New Roman" w:hAnsi="Arial" w:cs="Arial"/>
          <w:sz w:val="24"/>
          <w:szCs w:val="24"/>
          <w:lang w:val="en-US"/>
        </w:rPr>
      </w:pPr>
      <w:r w:rsidRPr="00FE749F">
        <w:rPr>
          <w:rFonts w:ascii="Arial" w:eastAsia="Times New Roman" w:hAnsi="Arial" w:cs="Arial"/>
          <w:sz w:val="24"/>
          <w:szCs w:val="24"/>
          <w:lang w:val="en-US"/>
        </w:rPr>
        <w:t xml:space="preserve">2.2.2.5 Dezvoltarea şi diversificarea oportunităţilor educaţionale de reintegrare în sistemul educaţional a tinerilor şi adulţilor care nu au absolvit 8 clase </w:t>
      </w:r>
      <w:r w:rsidRPr="00FE749F">
        <w:rPr>
          <w:rFonts w:ascii="Arial" w:eastAsia="Times New Roman" w:hAnsi="Arial" w:cs="Arial"/>
          <w:b/>
          <w:sz w:val="24"/>
          <w:szCs w:val="24"/>
          <w:lang w:val="en-US"/>
        </w:rPr>
        <w:t>(</w:t>
      </w:r>
      <w:r w:rsidRPr="00FE749F">
        <w:rPr>
          <w:rFonts w:ascii="Arial" w:eastAsia="Times New Roman" w:hAnsi="Arial" w:cs="Arial"/>
          <w:i/>
          <w:sz w:val="24"/>
          <w:szCs w:val="24"/>
          <w:lang w:val="en-US"/>
        </w:rPr>
        <w:t xml:space="preserve">Nivel </w:t>
      </w:r>
      <w:r w:rsidR="004A5236">
        <w:rPr>
          <w:rFonts w:ascii="Arial" w:eastAsia="Times New Roman" w:hAnsi="Arial" w:cs="Arial"/>
          <w:i/>
          <w:sz w:val="24"/>
          <w:szCs w:val="24"/>
          <w:lang w:val="en-US"/>
        </w:rPr>
        <w:t>de prioritate: Masură punctuală</w:t>
      </w:r>
      <w:r w:rsidRPr="00FE749F">
        <w:rPr>
          <w:rFonts w:ascii="Arial" w:eastAsia="Times New Roman" w:hAnsi="Arial" w:cs="Arial"/>
          <w:i/>
          <w:sz w:val="24"/>
          <w:szCs w:val="24"/>
          <w:lang w:val="en-US"/>
        </w:rPr>
        <w:t>);</w:t>
      </w:r>
    </w:p>
    <w:p w:rsidR="00FB4004" w:rsidRPr="00FE749F" w:rsidRDefault="00FB4004" w:rsidP="001645A3">
      <w:pPr>
        <w:spacing w:after="0" w:line="240" w:lineRule="auto"/>
        <w:jc w:val="both"/>
        <w:rPr>
          <w:rFonts w:ascii="Arial" w:eastAsia="Times New Roman" w:hAnsi="Arial" w:cs="Arial"/>
          <w:sz w:val="24"/>
          <w:szCs w:val="24"/>
          <w:lang w:val="en-US"/>
        </w:rPr>
      </w:pPr>
      <w:r w:rsidRPr="00FE749F">
        <w:rPr>
          <w:rFonts w:ascii="Arial" w:eastAsia="Times New Roman" w:hAnsi="Arial" w:cs="Arial"/>
          <w:sz w:val="24"/>
          <w:szCs w:val="24"/>
          <w:lang w:val="en-US"/>
        </w:rPr>
        <w:t xml:space="preserve">2.2.2.6 Facilitarea incluziunii copiilor de etnie romă </w:t>
      </w:r>
      <w:r w:rsidR="00796544">
        <w:rPr>
          <w:rFonts w:ascii="Arial" w:eastAsia="Times New Roman" w:hAnsi="Arial" w:cs="Arial"/>
          <w:sz w:val="24"/>
          <w:szCs w:val="24"/>
          <w:lang w:val="en-US"/>
        </w:rPr>
        <w:t xml:space="preserve">în instituţii </w:t>
      </w:r>
      <w:r w:rsidRPr="00FE749F">
        <w:rPr>
          <w:rFonts w:ascii="Arial" w:eastAsia="Times New Roman" w:hAnsi="Arial" w:cs="Arial"/>
          <w:sz w:val="24"/>
          <w:szCs w:val="24"/>
          <w:lang w:val="en-US"/>
        </w:rPr>
        <w:t xml:space="preserve">şcolare cu predare în limba pe care o stăpânesc cel mai </w:t>
      </w:r>
      <w:r w:rsidRPr="00081D5F">
        <w:rPr>
          <w:rFonts w:ascii="Arial" w:eastAsia="Times New Roman" w:hAnsi="Arial" w:cs="Arial"/>
          <w:sz w:val="24"/>
          <w:szCs w:val="24"/>
          <w:lang w:val="en-US"/>
        </w:rPr>
        <w:t>bine (</w:t>
      </w:r>
      <w:r w:rsidRPr="00FE749F">
        <w:rPr>
          <w:rFonts w:ascii="Arial" w:eastAsia="Times New Roman" w:hAnsi="Arial" w:cs="Arial"/>
          <w:i/>
          <w:sz w:val="24"/>
          <w:szCs w:val="24"/>
          <w:lang w:val="en-US"/>
        </w:rPr>
        <w:t>Nivel de prioritate: Masură suport);</w:t>
      </w:r>
    </w:p>
    <w:p w:rsidR="00FB4004" w:rsidRPr="00FE749F" w:rsidRDefault="00FB4004" w:rsidP="000C6A67">
      <w:pPr>
        <w:spacing w:after="0" w:line="240" w:lineRule="auto"/>
        <w:jc w:val="both"/>
        <w:rPr>
          <w:rFonts w:ascii="Arial" w:eastAsia="Times New Roman" w:hAnsi="Arial" w:cs="Arial"/>
          <w:sz w:val="24"/>
          <w:szCs w:val="24"/>
          <w:lang w:val="en-US"/>
        </w:rPr>
      </w:pPr>
      <w:r w:rsidRPr="00FE749F">
        <w:rPr>
          <w:rFonts w:ascii="Arial" w:eastAsia="Times New Roman" w:hAnsi="Arial" w:cs="Arial"/>
          <w:sz w:val="24"/>
          <w:szCs w:val="24"/>
          <w:lang w:val="en-US"/>
        </w:rPr>
        <w:t xml:space="preserve">2.2.2.7 Susţinerea elevilor din </w:t>
      </w:r>
      <w:r w:rsidR="00796544">
        <w:rPr>
          <w:rFonts w:ascii="Arial" w:eastAsia="Times New Roman" w:hAnsi="Arial" w:cs="Arial"/>
          <w:sz w:val="24"/>
          <w:szCs w:val="24"/>
          <w:lang w:val="en-US"/>
        </w:rPr>
        <w:t xml:space="preserve">mediul rural care frecventează </w:t>
      </w:r>
      <w:r w:rsidRPr="00FE749F">
        <w:rPr>
          <w:rFonts w:ascii="Arial" w:eastAsia="Times New Roman" w:hAnsi="Arial" w:cs="Arial"/>
          <w:sz w:val="24"/>
          <w:szCs w:val="24"/>
          <w:lang w:val="en-US"/>
        </w:rPr>
        <w:t xml:space="preserve">licee sau şcoli profesionale din alte localităţi </w:t>
      </w:r>
      <w:r w:rsidRPr="00081D5F">
        <w:rPr>
          <w:rFonts w:ascii="Arial" w:eastAsia="Times New Roman" w:hAnsi="Arial" w:cs="Arial"/>
          <w:sz w:val="24"/>
          <w:szCs w:val="24"/>
          <w:lang w:val="en-US"/>
        </w:rPr>
        <w:t>(</w:t>
      </w:r>
      <w:r w:rsidRPr="00FE749F">
        <w:rPr>
          <w:rFonts w:ascii="Arial" w:eastAsia="Times New Roman" w:hAnsi="Arial" w:cs="Arial"/>
          <w:i/>
          <w:sz w:val="24"/>
          <w:szCs w:val="24"/>
          <w:lang w:val="en-US"/>
        </w:rPr>
        <w:t>Nivel de prioritate: Masură suport);</w:t>
      </w:r>
    </w:p>
    <w:p w:rsidR="00FB4004" w:rsidRPr="00FE749F" w:rsidRDefault="00FB4004" w:rsidP="000C6A67">
      <w:pPr>
        <w:spacing w:after="0" w:line="240" w:lineRule="auto"/>
        <w:jc w:val="both"/>
        <w:rPr>
          <w:rFonts w:ascii="Arial" w:hAnsi="Arial" w:cs="Arial"/>
          <w:b/>
          <w:sz w:val="24"/>
          <w:szCs w:val="24"/>
        </w:rPr>
      </w:pPr>
    </w:p>
    <w:p w:rsidR="00FB4004" w:rsidRPr="00FE749F" w:rsidRDefault="00FB4004" w:rsidP="000C6A67">
      <w:pPr>
        <w:spacing w:after="0" w:line="240" w:lineRule="auto"/>
        <w:jc w:val="both"/>
        <w:rPr>
          <w:rFonts w:ascii="Arial" w:hAnsi="Arial" w:cs="Arial"/>
          <w:b/>
          <w:sz w:val="24"/>
          <w:szCs w:val="24"/>
        </w:rPr>
      </w:pPr>
      <w:r w:rsidRPr="00FE749F">
        <w:rPr>
          <w:rFonts w:ascii="Arial" w:hAnsi="Arial" w:cs="Arial"/>
          <w:b/>
          <w:sz w:val="24"/>
          <w:szCs w:val="24"/>
        </w:rPr>
        <w:t>Municipiul Arad</w:t>
      </w:r>
    </w:p>
    <w:p w:rsidR="00FB4004" w:rsidRPr="00FE749F" w:rsidRDefault="00FB4004" w:rsidP="000C6A67">
      <w:pPr>
        <w:spacing w:after="0" w:line="240" w:lineRule="auto"/>
        <w:jc w:val="both"/>
        <w:rPr>
          <w:rFonts w:ascii="Arial" w:hAnsi="Arial" w:cs="Arial"/>
          <w:sz w:val="24"/>
          <w:szCs w:val="24"/>
        </w:rPr>
      </w:pPr>
      <w:r w:rsidRPr="00FE749F">
        <w:rPr>
          <w:rFonts w:ascii="Arial" w:hAnsi="Arial" w:cs="Arial"/>
          <w:sz w:val="24"/>
          <w:szCs w:val="24"/>
        </w:rPr>
        <w:t xml:space="preserve">S-a elaborat </w:t>
      </w:r>
      <w:r w:rsidRPr="00FE749F">
        <w:rPr>
          <w:rFonts w:ascii="Arial" w:hAnsi="Arial" w:cs="Arial"/>
          <w:b/>
          <w:sz w:val="24"/>
          <w:szCs w:val="24"/>
        </w:rPr>
        <w:t>Strategia privind dezvoltarea învățământului preuniversitar din Municipiul Arad</w:t>
      </w:r>
      <w:r w:rsidRPr="00FE749F">
        <w:rPr>
          <w:rFonts w:ascii="Arial" w:hAnsi="Arial" w:cs="Arial"/>
          <w:sz w:val="24"/>
          <w:szCs w:val="24"/>
        </w:rPr>
        <w:t xml:space="preserve">, </w:t>
      </w:r>
      <w:r w:rsidRPr="00FE749F">
        <w:rPr>
          <w:rFonts w:ascii="Arial" w:hAnsi="Arial" w:cs="Arial"/>
          <w:b/>
          <w:sz w:val="24"/>
          <w:szCs w:val="24"/>
        </w:rPr>
        <w:t>pentru perioada 2016-20</w:t>
      </w:r>
      <w:r w:rsidR="00081D5F">
        <w:rPr>
          <w:rFonts w:ascii="Arial" w:hAnsi="Arial" w:cs="Arial"/>
          <w:b/>
          <w:sz w:val="24"/>
          <w:szCs w:val="24"/>
        </w:rPr>
        <w:t>2</w:t>
      </w:r>
      <w:r w:rsidRPr="00FE749F">
        <w:rPr>
          <w:rFonts w:ascii="Arial" w:hAnsi="Arial" w:cs="Arial"/>
          <w:b/>
          <w:sz w:val="24"/>
          <w:szCs w:val="24"/>
        </w:rPr>
        <w:t>5</w:t>
      </w:r>
      <w:r w:rsidRPr="00FE749F">
        <w:rPr>
          <w:rFonts w:ascii="Arial" w:hAnsi="Arial" w:cs="Arial"/>
          <w:sz w:val="24"/>
          <w:szCs w:val="24"/>
        </w:rPr>
        <w:t xml:space="preserve">, finalizată în iunie 2016, asumtă de către primăria Municipiului Arad în vederea implementării. Procesul de elaborare a cuprins evenimente de largă consultare a factorilor de interes. </w:t>
      </w:r>
    </w:p>
    <w:p w:rsidR="00FB4004" w:rsidRPr="00FE749F" w:rsidRDefault="00FB4004" w:rsidP="000C6A67">
      <w:pPr>
        <w:spacing w:after="0" w:line="240" w:lineRule="auto"/>
        <w:jc w:val="both"/>
        <w:rPr>
          <w:rFonts w:ascii="Arial" w:hAnsi="Arial" w:cs="Arial"/>
          <w:sz w:val="24"/>
          <w:szCs w:val="24"/>
        </w:rPr>
      </w:pPr>
      <w:r w:rsidRPr="00FE749F">
        <w:rPr>
          <w:rFonts w:ascii="Arial" w:hAnsi="Arial" w:cs="Arial"/>
          <w:sz w:val="24"/>
          <w:szCs w:val="24"/>
        </w:rPr>
        <w:t xml:space="preserve">Din </w:t>
      </w:r>
      <w:r w:rsidRPr="00FE749F">
        <w:rPr>
          <w:rFonts w:ascii="Arial" w:hAnsi="Arial" w:cs="Arial"/>
          <w:b/>
          <w:sz w:val="24"/>
          <w:szCs w:val="24"/>
        </w:rPr>
        <w:t>intoducere</w:t>
      </w:r>
      <w:r w:rsidRPr="00FE749F">
        <w:rPr>
          <w:rFonts w:ascii="Arial" w:hAnsi="Arial" w:cs="Arial"/>
          <w:sz w:val="24"/>
          <w:szCs w:val="24"/>
        </w:rPr>
        <w:t xml:space="preserve"> reținem următoarele intenții: „Acest document prezintă strategia privind dezvoltarea învățământului preuniversitar din municipiul Arad, în </w:t>
      </w:r>
      <w:r w:rsidRPr="00FE749F">
        <w:rPr>
          <w:rFonts w:ascii="Arial" w:hAnsi="Arial" w:cs="Arial"/>
          <w:b/>
          <w:sz w:val="24"/>
          <w:szCs w:val="24"/>
        </w:rPr>
        <w:t>perioada 2016-2025.</w:t>
      </w:r>
      <w:r w:rsidRPr="00FE749F">
        <w:rPr>
          <w:rFonts w:ascii="Arial" w:hAnsi="Arial" w:cs="Arial"/>
          <w:sz w:val="24"/>
          <w:szCs w:val="24"/>
        </w:rPr>
        <w:t xml:space="preserve"> Strategia privind dezvoltarea învățământului preuniversitar din municipiul Arad vizează </w:t>
      </w:r>
      <w:r w:rsidRPr="00FE749F">
        <w:rPr>
          <w:rFonts w:ascii="Arial" w:hAnsi="Arial" w:cs="Arial"/>
          <w:b/>
          <w:sz w:val="24"/>
          <w:szCs w:val="24"/>
        </w:rPr>
        <w:t>reperele strategice de dezvoltare pe o perioadă de 10</w:t>
      </w:r>
      <w:r w:rsidRPr="00FE749F">
        <w:rPr>
          <w:rFonts w:ascii="Arial" w:hAnsi="Arial" w:cs="Arial"/>
          <w:sz w:val="24"/>
          <w:szCs w:val="24"/>
        </w:rPr>
        <w:t xml:space="preserve"> ani și pune la dispoziția actorilor locali instrumente de lucru care să permită dezvoltarea, promovarea și implementarea unor proiecte care vor facilita dezvoltarea sustenabilă a învățământului preuniversitar arădean, pe termen scurt, mediu și lung. </w:t>
      </w:r>
    </w:p>
    <w:p w:rsidR="00FB4004" w:rsidRPr="00B25A7E" w:rsidRDefault="00FB4004" w:rsidP="000C6A67">
      <w:pPr>
        <w:spacing w:after="0" w:line="240" w:lineRule="auto"/>
        <w:jc w:val="both"/>
        <w:rPr>
          <w:rFonts w:ascii="Arial" w:hAnsi="Arial" w:cs="Arial"/>
          <w:sz w:val="24"/>
          <w:szCs w:val="24"/>
        </w:rPr>
      </w:pPr>
      <w:r w:rsidRPr="00FE749F">
        <w:rPr>
          <w:rFonts w:ascii="Arial" w:hAnsi="Arial" w:cs="Arial"/>
          <w:b/>
          <w:sz w:val="24"/>
          <w:szCs w:val="24"/>
        </w:rPr>
        <w:t>Viziunea:</w:t>
      </w:r>
      <w:r w:rsidRPr="00FE749F">
        <w:rPr>
          <w:rFonts w:ascii="Arial" w:hAnsi="Arial" w:cs="Arial"/>
          <w:sz w:val="24"/>
          <w:szCs w:val="24"/>
        </w:rPr>
        <w:t xml:space="preserve"> Învățământul preuniversitar din municipiul Arad va deveni un învățământ modern, adaptat și orientat către nevoile societății, în acord cu tendințele înregistrate în domeniul educațional la nivel național și internațional. În viziunea acestei strategii, </w:t>
      </w:r>
      <w:r w:rsidRPr="00FE749F">
        <w:rPr>
          <w:rFonts w:ascii="Arial" w:hAnsi="Arial" w:cs="Arial"/>
          <w:b/>
          <w:sz w:val="24"/>
          <w:szCs w:val="24"/>
        </w:rPr>
        <w:t xml:space="preserve">Primăria Municipiului Arad și Consiliul local vor fi principalii catalizatori </w:t>
      </w:r>
      <w:r w:rsidRPr="00FE749F">
        <w:rPr>
          <w:rFonts w:ascii="Arial" w:hAnsi="Arial" w:cs="Arial"/>
          <w:sz w:val="24"/>
          <w:szCs w:val="24"/>
        </w:rPr>
        <w:t xml:space="preserve">în armonizarea nevoilor identificate și transferul de informații către alte domenii sectoriale, de ceea ce reflectă o atitudine realistă și responsabilă, orientată către nevoile comunității locale. </w:t>
      </w:r>
      <w:r w:rsidRPr="00FE749F">
        <w:rPr>
          <w:rFonts w:ascii="Arial" w:hAnsi="Arial" w:cs="Arial"/>
          <w:b/>
          <w:sz w:val="24"/>
          <w:szCs w:val="24"/>
        </w:rPr>
        <w:t>Prioritățile</w:t>
      </w:r>
      <w:r w:rsidRPr="00FE749F">
        <w:rPr>
          <w:rFonts w:ascii="Arial" w:hAnsi="Arial" w:cs="Arial"/>
          <w:sz w:val="24"/>
          <w:szCs w:val="24"/>
        </w:rPr>
        <w:t xml:space="preserve"> stabilite în acest document vor permite analizarea, elaborarea și evaluarea inițiativelor relevante la nivel local, necesare pentru ca aceasta să devină operațională și să conducă la atingerea </w:t>
      </w:r>
      <w:r w:rsidRPr="00FE749F">
        <w:rPr>
          <w:rFonts w:ascii="Arial" w:hAnsi="Arial" w:cs="Arial"/>
          <w:b/>
          <w:sz w:val="24"/>
          <w:szCs w:val="24"/>
          <w:u w:val="single"/>
        </w:rPr>
        <w:t>obiectivului general propus</w:t>
      </w:r>
      <w:r w:rsidRPr="00FE749F">
        <w:rPr>
          <w:rFonts w:ascii="Arial" w:hAnsi="Arial" w:cs="Arial"/>
          <w:b/>
          <w:sz w:val="24"/>
          <w:szCs w:val="24"/>
        </w:rPr>
        <w:t xml:space="preserve">: Eficientizarea rețelei învățământului preuniversitar din Municipiul Arad, în vederea promovării unui învățământ orientat pe valori, creativitate, dobândire de cunoștințe, competențe și abilități diverse”. </w:t>
      </w:r>
      <w:r w:rsidRPr="00B25A7E">
        <w:rPr>
          <w:rFonts w:ascii="Arial" w:hAnsi="Arial" w:cs="Arial"/>
          <w:sz w:val="24"/>
          <w:szCs w:val="24"/>
        </w:rPr>
        <w:t>Printre partenerii în elaborarea acestei strategii se numără și CLDPS Arad.</w:t>
      </w:r>
    </w:p>
    <w:p w:rsidR="00FB4004" w:rsidRPr="00FE749F" w:rsidRDefault="00FB4004" w:rsidP="000C6A67">
      <w:pPr>
        <w:spacing w:after="0" w:line="240" w:lineRule="auto"/>
        <w:jc w:val="both"/>
        <w:rPr>
          <w:rFonts w:ascii="Arial" w:hAnsi="Arial" w:cs="Arial"/>
          <w:sz w:val="24"/>
          <w:szCs w:val="24"/>
        </w:rPr>
      </w:pPr>
      <w:r w:rsidRPr="00FE749F">
        <w:rPr>
          <w:rFonts w:ascii="Arial" w:hAnsi="Arial" w:cs="Arial"/>
          <w:b/>
          <w:sz w:val="24"/>
          <w:szCs w:val="24"/>
        </w:rPr>
        <w:t xml:space="preserve">Un aspect inovativ este Anexa prin </w:t>
      </w:r>
      <w:r w:rsidRPr="00FE749F">
        <w:rPr>
          <w:rFonts w:ascii="Arial" w:hAnsi="Arial" w:cs="Arial"/>
          <w:sz w:val="24"/>
          <w:szCs w:val="24"/>
        </w:rPr>
        <w:t xml:space="preserve">Harta interactivă a unităților de învățământ din municipiul Arad. </w:t>
      </w:r>
    </w:p>
    <w:p w:rsidR="00B25A7E" w:rsidRDefault="00FB4004" w:rsidP="00B25A7E">
      <w:pPr>
        <w:spacing w:after="240" w:line="240" w:lineRule="auto"/>
        <w:jc w:val="both"/>
        <w:rPr>
          <w:rFonts w:ascii="Arial" w:hAnsi="Arial" w:cs="Arial"/>
          <w:sz w:val="24"/>
          <w:szCs w:val="24"/>
        </w:rPr>
      </w:pPr>
      <w:r w:rsidRPr="00FE749F">
        <w:rPr>
          <w:rFonts w:ascii="Arial" w:hAnsi="Arial" w:cs="Arial"/>
          <w:sz w:val="24"/>
          <w:szCs w:val="24"/>
        </w:rPr>
        <w:t xml:space="preserve">Pentru implmentare sunt definite indicatori, institutii și parteneriate responsabile, termene și modalități de monitorizare.  PLAI al județului Arad este considerat dorument de referință, menționat în bibliografie. </w:t>
      </w:r>
    </w:p>
    <w:p w:rsidR="00FB4004" w:rsidRPr="00B25A7E" w:rsidRDefault="00FB4004" w:rsidP="005E2E6D">
      <w:pPr>
        <w:spacing w:after="0" w:line="240" w:lineRule="auto"/>
        <w:jc w:val="both"/>
        <w:rPr>
          <w:rFonts w:ascii="Arial" w:hAnsi="Arial" w:cs="Arial"/>
          <w:sz w:val="24"/>
          <w:szCs w:val="24"/>
        </w:rPr>
      </w:pPr>
      <w:r w:rsidRPr="00FE749F">
        <w:rPr>
          <w:rFonts w:ascii="Arial" w:hAnsi="Arial" w:cs="Arial"/>
          <w:b/>
          <w:sz w:val="24"/>
          <w:szCs w:val="24"/>
        </w:rPr>
        <w:t xml:space="preserve">Județul   Caraș Severin </w:t>
      </w:r>
      <w:r w:rsidRPr="00FE749F">
        <w:rPr>
          <w:rStyle w:val="FootnoteReference"/>
          <w:rFonts w:ascii="Arial" w:hAnsi="Arial" w:cs="Arial"/>
          <w:b/>
          <w:sz w:val="24"/>
          <w:szCs w:val="24"/>
        </w:rPr>
        <w:footnoteReference w:id="23"/>
      </w:r>
    </w:p>
    <w:p w:rsidR="00F82144" w:rsidRDefault="00FB4004" w:rsidP="005E2E6D">
      <w:pPr>
        <w:autoSpaceDE w:val="0"/>
        <w:autoSpaceDN w:val="0"/>
        <w:adjustRightInd w:val="0"/>
        <w:spacing w:after="0" w:line="240" w:lineRule="auto"/>
        <w:jc w:val="both"/>
        <w:rPr>
          <w:rFonts w:ascii="Arial" w:hAnsi="Arial" w:cs="Arial"/>
          <w:sz w:val="24"/>
          <w:szCs w:val="24"/>
        </w:rPr>
      </w:pPr>
      <w:r w:rsidRPr="00FE749F">
        <w:rPr>
          <w:rFonts w:ascii="Arial" w:hAnsi="Arial" w:cs="Arial"/>
          <w:b/>
          <w:bCs/>
          <w:iCs/>
          <w:sz w:val="24"/>
          <w:szCs w:val="24"/>
        </w:rPr>
        <w:t>Strategia de dezvoltare durabilă a judeţului Caraş-Severin 2015-2020</w:t>
      </w:r>
      <w:r w:rsidRPr="00FE749F">
        <w:rPr>
          <w:rFonts w:ascii="Arial" w:hAnsi="Arial" w:cs="Arial"/>
          <w:bCs/>
          <w:iCs/>
          <w:sz w:val="24"/>
          <w:szCs w:val="24"/>
        </w:rPr>
        <w:t xml:space="preserve">, </w:t>
      </w:r>
      <w:hyperlink r:id="rId15" w:history="1">
        <w:r w:rsidRPr="00F82144">
          <w:rPr>
            <w:rStyle w:val="Hyperlink"/>
            <w:rFonts w:ascii="Arial" w:hAnsi="Arial" w:cs="Arial"/>
            <w:sz w:val="20"/>
            <w:szCs w:val="20"/>
          </w:rPr>
          <w:t>http://www.cjcs.ro/data_files/strategii_de_dezvoltare/strategie_dezvoltare_2015.pdf</w:t>
        </w:r>
      </w:hyperlink>
    </w:p>
    <w:p w:rsidR="00FB4004" w:rsidRPr="00FE749F" w:rsidRDefault="00FB4004" w:rsidP="000C6A67">
      <w:pPr>
        <w:autoSpaceDE w:val="0"/>
        <w:autoSpaceDN w:val="0"/>
        <w:adjustRightInd w:val="0"/>
        <w:spacing w:after="0" w:line="240" w:lineRule="auto"/>
        <w:jc w:val="both"/>
        <w:rPr>
          <w:rFonts w:ascii="Arial" w:hAnsi="Arial" w:cs="Arial"/>
          <w:bCs/>
          <w:iCs/>
          <w:sz w:val="24"/>
          <w:szCs w:val="24"/>
        </w:rPr>
      </w:pPr>
      <w:r w:rsidRPr="00FE749F">
        <w:rPr>
          <w:rFonts w:ascii="Arial" w:hAnsi="Arial" w:cs="Arial"/>
          <w:sz w:val="24"/>
          <w:szCs w:val="24"/>
        </w:rPr>
        <w:t>este  fundamentată pe o diagnoză extinsă, care cuprinde și paragraful I.7.1. Învățământ (pag 87 – 98) sintetizată în analiza SWOT, în care aspectul legat de educație și formare profesională cuprinde, printre altele, drept punct tare  „Fundamentarea cifrei de şcolarizare şi stabilirea reţelei unităţilor de învăţământ preuniversitar de stat pentru anul şcolar 2013- 2014, în baza Planul Regional de Acţiune pentru Învăţământ (PRAI), și Planul Local de Acţiune pe</w:t>
      </w:r>
      <w:r w:rsidR="00B25A7E">
        <w:rPr>
          <w:rFonts w:ascii="Arial" w:hAnsi="Arial" w:cs="Arial"/>
          <w:sz w:val="24"/>
          <w:szCs w:val="24"/>
        </w:rPr>
        <w:t>ntru Învăţământ (PLAI) precum</w:t>
      </w:r>
      <w:r w:rsidRPr="00FE749F">
        <w:rPr>
          <w:rFonts w:ascii="Arial" w:hAnsi="Arial" w:cs="Arial"/>
          <w:sz w:val="24"/>
          <w:szCs w:val="24"/>
        </w:rPr>
        <w:t xml:space="preserve"> şi Planul de Acţiune al Şcolii (PAS) care stabilesc (prognozează) nevoia de calificare pe termen mediu şi scurt;</w:t>
      </w:r>
    </w:p>
    <w:p w:rsidR="00FB4004" w:rsidRPr="00FE749F" w:rsidRDefault="00FB4004" w:rsidP="000C6A67">
      <w:pPr>
        <w:autoSpaceDE w:val="0"/>
        <w:autoSpaceDN w:val="0"/>
        <w:adjustRightInd w:val="0"/>
        <w:spacing w:after="0" w:line="240" w:lineRule="auto"/>
        <w:rPr>
          <w:rFonts w:ascii="Arial" w:hAnsi="Arial" w:cs="Arial"/>
          <w:b/>
          <w:sz w:val="24"/>
          <w:szCs w:val="24"/>
        </w:rPr>
      </w:pPr>
      <w:r w:rsidRPr="00FE749F">
        <w:rPr>
          <w:rFonts w:ascii="Arial" w:hAnsi="Arial" w:cs="Arial"/>
          <w:b/>
          <w:sz w:val="24"/>
          <w:szCs w:val="24"/>
        </w:rPr>
        <w:t>Partea de strategie este strcuturat</w:t>
      </w:r>
      <w:r w:rsidR="00B25A7E">
        <w:rPr>
          <w:rFonts w:ascii="Arial" w:hAnsi="Arial" w:cs="Arial"/>
          <w:b/>
          <w:sz w:val="24"/>
          <w:szCs w:val="24"/>
        </w:rPr>
        <w:t xml:space="preserve">ă </w:t>
      </w:r>
      <w:r w:rsidRPr="00FE749F">
        <w:rPr>
          <w:rFonts w:ascii="Arial" w:hAnsi="Arial" w:cs="Arial"/>
          <w:b/>
          <w:sz w:val="24"/>
          <w:szCs w:val="24"/>
        </w:rPr>
        <w:t xml:space="preserve">pe axe prioritare, </w:t>
      </w:r>
      <w:r>
        <w:rPr>
          <w:rFonts w:ascii="Arial" w:hAnsi="Arial" w:cs="Arial"/>
          <w:b/>
          <w:sz w:val="24"/>
          <w:szCs w:val="24"/>
        </w:rPr>
        <w:t xml:space="preserve">dintre care relevant pentru PRAI este </w:t>
      </w:r>
      <w:r w:rsidRPr="00FE749F">
        <w:rPr>
          <w:rFonts w:ascii="Arial" w:hAnsi="Arial" w:cs="Arial"/>
          <w:sz w:val="24"/>
          <w:szCs w:val="24"/>
        </w:rPr>
        <w:t xml:space="preserve">VIII. </w:t>
      </w:r>
      <w:r w:rsidRPr="00FE749F">
        <w:rPr>
          <w:rFonts w:ascii="Arial" w:hAnsi="Arial" w:cs="Arial"/>
          <w:b/>
          <w:sz w:val="24"/>
          <w:szCs w:val="24"/>
        </w:rPr>
        <w:t>Creșterea calității în sectoarele: învățământ, sănătate, asistență socială și dezvoltarea capitalului uman</w:t>
      </w:r>
      <w:r w:rsidR="00B25A7E">
        <w:rPr>
          <w:rFonts w:ascii="Arial" w:hAnsi="Arial" w:cs="Arial"/>
          <w:b/>
          <w:sz w:val="24"/>
          <w:szCs w:val="24"/>
        </w:rPr>
        <w:t>.</w:t>
      </w:r>
    </w:p>
    <w:p w:rsidR="00FB4004" w:rsidRPr="00FE749F" w:rsidRDefault="00FB4004" w:rsidP="000C6A67">
      <w:pPr>
        <w:autoSpaceDE w:val="0"/>
        <w:autoSpaceDN w:val="0"/>
        <w:adjustRightInd w:val="0"/>
        <w:spacing w:after="0" w:line="240" w:lineRule="auto"/>
        <w:jc w:val="both"/>
        <w:rPr>
          <w:rFonts w:ascii="Arial" w:hAnsi="Arial" w:cs="Arial"/>
          <w:b/>
          <w:sz w:val="24"/>
          <w:szCs w:val="24"/>
        </w:rPr>
      </w:pPr>
      <w:r w:rsidRPr="00FE749F">
        <w:rPr>
          <w:rFonts w:ascii="Arial" w:hAnsi="Arial" w:cs="Arial"/>
          <w:b/>
          <w:sz w:val="24"/>
          <w:szCs w:val="24"/>
        </w:rPr>
        <w:t xml:space="preserve">Cele patru priorități de dezvoltare </w:t>
      </w:r>
      <w:r w:rsidRPr="00FE749F">
        <w:rPr>
          <w:rFonts w:ascii="Arial" w:hAnsi="Arial" w:cs="Arial"/>
          <w:sz w:val="24"/>
          <w:szCs w:val="24"/>
        </w:rPr>
        <w:t>corelate cu sectorul învățământ, sunt detaliate în</w:t>
      </w:r>
      <w:r w:rsidRPr="00FE749F">
        <w:rPr>
          <w:rFonts w:ascii="Arial" w:hAnsi="Arial" w:cs="Arial"/>
          <w:b/>
          <w:sz w:val="24"/>
          <w:szCs w:val="24"/>
        </w:rPr>
        <w:t xml:space="preserve"> Operațiuni / Măsuri / Acțiuni </w:t>
      </w:r>
      <w:r w:rsidRPr="00FE749F">
        <w:rPr>
          <w:rFonts w:ascii="Arial" w:hAnsi="Arial" w:cs="Arial"/>
          <w:sz w:val="24"/>
          <w:szCs w:val="24"/>
        </w:rPr>
        <w:t>specifice, cu alocarea de termene de realire pentru fiecare, astfel:</w:t>
      </w:r>
    </w:p>
    <w:p w:rsidR="00FB4004" w:rsidRPr="00FE749F" w:rsidRDefault="00FB4004" w:rsidP="000C6A67">
      <w:pPr>
        <w:autoSpaceDE w:val="0"/>
        <w:autoSpaceDN w:val="0"/>
        <w:adjustRightInd w:val="0"/>
        <w:spacing w:after="0" w:line="240" w:lineRule="auto"/>
        <w:jc w:val="both"/>
        <w:rPr>
          <w:rFonts w:ascii="Arial" w:hAnsi="Arial" w:cs="Arial"/>
          <w:b/>
          <w:i/>
          <w:iCs/>
          <w:sz w:val="24"/>
          <w:szCs w:val="24"/>
        </w:rPr>
      </w:pPr>
      <w:r w:rsidRPr="00FE749F">
        <w:rPr>
          <w:rFonts w:ascii="Arial" w:hAnsi="Arial" w:cs="Arial"/>
          <w:b/>
          <w:i/>
          <w:iCs/>
          <w:sz w:val="24"/>
          <w:szCs w:val="24"/>
        </w:rPr>
        <w:lastRenderedPageBreak/>
        <w:t>VIII.1.1.Îmbunătățirea accesului populației la educație, precum</w:t>
      </w:r>
      <w:r w:rsidR="00B25A7E">
        <w:rPr>
          <w:rFonts w:ascii="Arial" w:hAnsi="Arial" w:cs="Arial"/>
          <w:b/>
          <w:i/>
          <w:iCs/>
          <w:sz w:val="24"/>
          <w:szCs w:val="24"/>
        </w:rPr>
        <w:t xml:space="preserve"> </w:t>
      </w:r>
      <w:r w:rsidRPr="00FE749F">
        <w:rPr>
          <w:rFonts w:ascii="Arial" w:hAnsi="Arial" w:cs="Arial"/>
          <w:b/>
          <w:i/>
          <w:iCs/>
          <w:sz w:val="24"/>
          <w:szCs w:val="24"/>
        </w:rPr>
        <w:t>și creșterea calității acesteia</w:t>
      </w:r>
      <w:r w:rsidR="00B25A7E">
        <w:rPr>
          <w:rFonts w:ascii="Arial" w:hAnsi="Arial" w:cs="Arial"/>
          <w:b/>
          <w:i/>
          <w:iCs/>
          <w:sz w:val="24"/>
          <w:szCs w:val="24"/>
        </w:rPr>
        <w:t>.</w:t>
      </w:r>
    </w:p>
    <w:p w:rsidR="00FB4004" w:rsidRPr="00FE749F" w:rsidRDefault="00FB4004" w:rsidP="000C6A67">
      <w:pPr>
        <w:autoSpaceDE w:val="0"/>
        <w:autoSpaceDN w:val="0"/>
        <w:adjustRightInd w:val="0"/>
        <w:spacing w:after="0" w:line="240" w:lineRule="auto"/>
        <w:jc w:val="both"/>
        <w:rPr>
          <w:rFonts w:ascii="Arial" w:hAnsi="Arial" w:cs="Arial"/>
          <w:b/>
          <w:i/>
          <w:iCs/>
          <w:sz w:val="24"/>
          <w:szCs w:val="24"/>
        </w:rPr>
      </w:pPr>
      <w:r w:rsidRPr="00FE749F">
        <w:rPr>
          <w:rFonts w:ascii="Arial" w:hAnsi="Arial" w:cs="Arial"/>
          <w:b/>
          <w:sz w:val="24"/>
          <w:szCs w:val="24"/>
        </w:rPr>
        <w:t xml:space="preserve">VIII.1.2. </w:t>
      </w:r>
      <w:r w:rsidRPr="00FE749F">
        <w:rPr>
          <w:rFonts w:ascii="Arial" w:hAnsi="Arial" w:cs="Arial"/>
          <w:b/>
          <w:i/>
          <w:iCs/>
          <w:sz w:val="24"/>
          <w:szCs w:val="24"/>
        </w:rPr>
        <w:t>Cuprinderea copiilor cu nevoi speciale şi din grupuri vulnerabile în învăţământul special sau de masă</w:t>
      </w:r>
      <w:r w:rsidR="00B25A7E">
        <w:rPr>
          <w:rFonts w:ascii="Arial" w:hAnsi="Arial" w:cs="Arial"/>
          <w:b/>
          <w:i/>
          <w:iCs/>
          <w:sz w:val="24"/>
          <w:szCs w:val="24"/>
        </w:rPr>
        <w:t xml:space="preserve">. </w:t>
      </w:r>
      <w:r w:rsidRPr="00FE749F">
        <w:rPr>
          <w:rFonts w:ascii="Arial" w:hAnsi="Arial" w:cs="Arial"/>
          <w:sz w:val="24"/>
          <w:szCs w:val="24"/>
        </w:rPr>
        <w:t>Identificarea copiilor cu nevoi speciale şi din grupuri vulnerabile prin colaborarea I.S.J. C</w:t>
      </w:r>
      <w:r w:rsidR="00B25A7E">
        <w:rPr>
          <w:rFonts w:ascii="Arial" w:hAnsi="Arial" w:cs="Arial"/>
          <w:sz w:val="24"/>
          <w:szCs w:val="24"/>
        </w:rPr>
        <w:t>araș</w:t>
      </w:r>
      <w:r w:rsidRPr="00FE749F">
        <w:rPr>
          <w:rFonts w:ascii="Arial" w:hAnsi="Arial" w:cs="Arial"/>
          <w:sz w:val="24"/>
          <w:szCs w:val="24"/>
        </w:rPr>
        <w:t>-S</w:t>
      </w:r>
      <w:r w:rsidR="00034DB3">
        <w:rPr>
          <w:rFonts w:ascii="Arial" w:hAnsi="Arial" w:cs="Arial"/>
          <w:sz w:val="24"/>
          <w:szCs w:val="24"/>
        </w:rPr>
        <w:t>everin</w:t>
      </w:r>
      <w:r w:rsidRPr="00FE749F">
        <w:rPr>
          <w:rFonts w:ascii="Arial" w:hAnsi="Arial" w:cs="Arial"/>
          <w:sz w:val="24"/>
          <w:szCs w:val="24"/>
        </w:rPr>
        <w:t xml:space="preserve"> cu C.J.R.A.E. şi comisia de specialitate de la nivelul Consiliului Judeţean;</w:t>
      </w:r>
    </w:p>
    <w:p w:rsidR="00FB4004" w:rsidRPr="00FE749F" w:rsidRDefault="00FB4004" w:rsidP="00A827CF">
      <w:pPr>
        <w:pStyle w:val="ListParagraph"/>
        <w:numPr>
          <w:ilvl w:val="0"/>
          <w:numId w:val="2"/>
        </w:numPr>
        <w:autoSpaceDE w:val="0"/>
        <w:autoSpaceDN w:val="0"/>
        <w:adjustRightInd w:val="0"/>
        <w:jc w:val="both"/>
        <w:rPr>
          <w:rFonts w:ascii="Arial" w:hAnsi="Arial" w:cs="Arial"/>
          <w:sz w:val="24"/>
          <w:szCs w:val="24"/>
        </w:rPr>
      </w:pPr>
      <w:r w:rsidRPr="00FE749F">
        <w:rPr>
          <w:rFonts w:ascii="Arial" w:hAnsi="Arial" w:cs="Arial"/>
          <w:sz w:val="24"/>
          <w:szCs w:val="24"/>
        </w:rPr>
        <w:t>Integrarea în învăţământul de masă şi susţinerea prin programe de sprijin a copiilor cu nevoi speciale;</w:t>
      </w:r>
    </w:p>
    <w:p w:rsidR="00FB4004" w:rsidRPr="00FE749F" w:rsidRDefault="00FB4004" w:rsidP="00A827CF">
      <w:pPr>
        <w:pStyle w:val="ListParagraph"/>
        <w:numPr>
          <w:ilvl w:val="0"/>
          <w:numId w:val="2"/>
        </w:numPr>
        <w:autoSpaceDE w:val="0"/>
        <w:autoSpaceDN w:val="0"/>
        <w:adjustRightInd w:val="0"/>
        <w:jc w:val="both"/>
        <w:rPr>
          <w:rFonts w:ascii="Arial" w:hAnsi="Arial" w:cs="Arial"/>
          <w:sz w:val="24"/>
          <w:szCs w:val="24"/>
        </w:rPr>
      </w:pPr>
      <w:r w:rsidRPr="00FE749F">
        <w:rPr>
          <w:rFonts w:ascii="Arial" w:hAnsi="Arial" w:cs="Arial"/>
          <w:sz w:val="24"/>
          <w:szCs w:val="24"/>
        </w:rPr>
        <w:t>Dezvoltarea parteneriatului de lucru în echipă interdisciplinară (profesor de sprijin-cadre didactice din învăţământul de masă) în vederea optimizării procesului de integrare şcolară a copiilor cu dizabilităţi;</w:t>
      </w:r>
    </w:p>
    <w:p w:rsidR="00FB4004" w:rsidRPr="00FE749F" w:rsidRDefault="00FB4004" w:rsidP="00A827CF">
      <w:pPr>
        <w:pStyle w:val="ListParagraph"/>
        <w:numPr>
          <w:ilvl w:val="0"/>
          <w:numId w:val="2"/>
        </w:numPr>
        <w:autoSpaceDE w:val="0"/>
        <w:autoSpaceDN w:val="0"/>
        <w:adjustRightInd w:val="0"/>
        <w:jc w:val="both"/>
        <w:rPr>
          <w:rFonts w:ascii="Arial" w:hAnsi="Arial" w:cs="Arial"/>
          <w:sz w:val="24"/>
          <w:szCs w:val="24"/>
        </w:rPr>
      </w:pPr>
      <w:r w:rsidRPr="00FE749F">
        <w:rPr>
          <w:rFonts w:ascii="Arial" w:hAnsi="Arial" w:cs="Arial"/>
          <w:sz w:val="24"/>
          <w:szCs w:val="24"/>
        </w:rPr>
        <w:t>Organizarea de cursuri de formare specifice în vederea eficientizării activităţii profesorilor;</w:t>
      </w:r>
    </w:p>
    <w:p w:rsidR="00FB4004" w:rsidRPr="00FE749F" w:rsidRDefault="00FB4004" w:rsidP="00A827CF">
      <w:pPr>
        <w:pStyle w:val="ListParagraph"/>
        <w:numPr>
          <w:ilvl w:val="0"/>
          <w:numId w:val="2"/>
        </w:numPr>
        <w:autoSpaceDE w:val="0"/>
        <w:autoSpaceDN w:val="0"/>
        <w:adjustRightInd w:val="0"/>
        <w:jc w:val="both"/>
        <w:rPr>
          <w:rFonts w:ascii="Arial" w:hAnsi="Arial" w:cs="Arial"/>
          <w:sz w:val="24"/>
          <w:szCs w:val="24"/>
        </w:rPr>
      </w:pPr>
      <w:r w:rsidRPr="00FE749F">
        <w:rPr>
          <w:rFonts w:ascii="Arial" w:hAnsi="Arial" w:cs="Arial"/>
          <w:sz w:val="24"/>
          <w:szCs w:val="24"/>
        </w:rPr>
        <w:t>Acţiuni de informare a cadrelor didactice din toate unităţile de învăţământ cu privire la reglementările legislative în vigoare referitoare la Strategia Naţională de Acţiune Comunitară şi de promovare a voluntariatului;</w:t>
      </w:r>
    </w:p>
    <w:p w:rsidR="00FB4004" w:rsidRPr="00FE749F" w:rsidRDefault="00FB4004" w:rsidP="00A827CF">
      <w:pPr>
        <w:pStyle w:val="ListParagraph"/>
        <w:numPr>
          <w:ilvl w:val="0"/>
          <w:numId w:val="2"/>
        </w:numPr>
        <w:autoSpaceDE w:val="0"/>
        <w:autoSpaceDN w:val="0"/>
        <w:adjustRightInd w:val="0"/>
        <w:jc w:val="both"/>
        <w:rPr>
          <w:rFonts w:ascii="Arial" w:hAnsi="Arial" w:cs="Arial"/>
          <w:sz w:val="24"/>
          <w:szCs w:val="24"/>
        </w:rPr>
      </w:pPr>
      <w:r w:rsidRPr="00FE749F">
        <w:rPr>
          <w:rFonts w:ascii="Arial" w:hAnsi="Arial" w:cs="Arial"/>
          <w:sz w:val="24"/>
          <w:szCs w:val="24"/>
        </w:rPr>
        <w:t>Monitorizări şi analize ale progresului înregistrat de elevii din î</w:t>
      </w:r>
      <w:r w:rsidR="00E30301">
        <w:rPr>
          <w:rFonts w:ascii="Arial" w:hAnsi="Arial" w:cs="Arial"/>
          <w:sz w:val="24"/>
          <w:szCs w:val="24"/>
        </w:rPr>
        <w:t>nvăţământul special.</w:t>
      </w:r>
    </w:p>
    <w:p w:rsidR="00FB4004" w:rsidRPr="00FE749F" w:rsidRDefault="00FB4004" w:rsidP="000C6A67">
      <w:pPr>
        <w:autoSpaceDE w:val="0"/>
        <w:autoSpaceDN w:val="0"/>
        <w:adjustRightInd w:val="0"/>
        <w:spacing w:after="0" w:line="240" w:lineRule="auto"/>
        <w:jc w:val="both"/>
        <w:rPr>
          <w:rFonts w:ascii="Arial" w:hAnsi="Arial" w:cs="Arial"/>
          <w:sz w:val="24"/>
          <w:szCs w:val="24"/>
        </w:rPr>
      </w:pPr>
      <w:r w:rsidRPr="00FE749F">
        <w:rPr>
          <w:rFonts w:ascii="Arial" w:hAnsi="Arial" w:cs="Arial"/>
          <w:b/>
          <w:i/>
          <w:iCs/>
          <w:sz w:val="24"/>
          <w:szCs w:val="24"/>
        </w:rPr>
        <w:t>VIII.1.3. Susţinerea formării continue a cadrelor didactice şi stabilirea de criterii relevante de evaluare a cadrelor didactice</w:t>
      </w:r>
    </w:p>
    <w:p w:rsidR="00FB4004" w:rsidRPr="00FE749F" w:rsidRDefault="00FB4004" w:rsidP="00A827CF">
      <w:pPr>
        <w:pStyle w:val="ListParagraph"/>
        <w:numPr>
          <w:ilvl w:val="0"/>
          <w:numId w:val="3"/>
        </w:numPr>
        <w:autoSpaceDE w:val="0"/>
        <w:autoSpaceDN w:val="0"/>
        <w:adjustRightInd w:val="0"/>
        <w:jc w:val="both"/>
        <w:rPr>
          <w:rFonts w:ascii="Arial" w:hAnsi="Arial" w:cs="Arial"/>
          <w:sz w:val="24"/>
          <w:szCs w:val="24"/>
        </w:rPr>
      </w:pPr>
      <w:r w:rsidRPr="00FE749F">
        <w:rPr>
          <w:rFonts w:ascii="Arial" w:hAnsi="Arial" w:cs="Arial"/>
          <w:sz w:val="24"/>
          <w:szCs w:val="24"/>
        </w:rPr>
        <w:t>Investigarea nevoilor de formare prin aplicarea de chestionare în unităţile de învăţământ preuniversitar în vederea unei diagnoze - prognoze pe termen scurt şi mediu;</w:t>
      </w:r>
    </w:p>
    <w:p w:rsidR="00FB4004" w:rsidRPr="00FE749F" w:rsidRDefault="00FB4004" w:rsidP="00A827CF">
      <w:pPr>
        <w:pStyle w:val="ListParagraph"/>
        <w:numPr>
          <w:ilvl w:val="0"/>
          <w:numId w:val="3"/>
        </w:numPr>
        <w:autoSpaceDE w:val="0"/>
        <w:autoSpaceDN w:val="0"/>
        <w:adjustRightInd w:val="0"/>
        <w:jc w:val="both"/>
        <w:rPr>
          <w:rFonts w:ascii="Arial" w:hAnsi="Arial" w:cs="Arial"/>
          <w:sz w:val="24"/>
          <w:szCs w:val="24"/>
        </w:rPr>
      </w:pPr>
      <w:r w:rsidRPr="00FE749F">
        <w:rPr>
          <w:rFonts w:ascii="Arial" w:hAnsi="Arial" w:cs="Arial"/>
          <w:sz w:val="24"/>
          <w:szCs w:val="24"/>
        </w:rPr>
        <w:t xml:space="preserve">Analiza </w:t>
      </w:r>
      <w:r w:rsidR="00ED010B">
        <w:rPr>
          <w:rFonts w:ascii="Arial" w:hAnsi="Arial" w:cs="Arial"/>
          <w:sz w:val="24"/>
          <w:szCs w:val="24"/>
        </w:rPr>
        <w:t xml:space="preserve">nevoilor de formare din sistem, </w:t>
      </w:r>
      <w:r w:rsidRPr="00FE749F">
        <w:rPr>
          <w:rFonts w:ascii="Arial" w:hAnsi="Arial" w:cs="Arial"/>
          <w:sz w:val="24"/>
          <w:szCs w:val="24"/>
        </w:rPr>
        <w:t>stabilirea reperelor curriculare şi calificărilor de formare iniţială teoretică în specialitate a personalului didactic;</w:t>
      </w:r>
    </w:p>
    <w:p w:rsidR="00FB4004" w:rsidRPr="00FE749F" w:rsidRDefault="00FB4004" w:rsidP="00A827CF">
      <w:pPr>
        <w:pStyle w:val="ListParagraph"/>
        <w:numPr>
          <w:ilvl w:val="0"/>
          <w:numId w:val="3"/>
        </w:numPr>
        <w:autoSpaceDE w:val="0"/>
        <w:autoSpaceDN w:val="0"/>
        <w:adjustRightInd w:val="0"/>
        <w:jc w:val="both"/>
        <w:rPr>
          <w:rFonts w:ascii="Arial" w:hAnsi="Arial" w:cs="Arial"/>
          <w:sz w:val="24"/>
          <w:szCs w:val="24"/>
        </w:rPr>
      </w:pPr>
      <w:r w:rsidRPr="00FE749F">
        <w:rPr>
          <w:rFonts w:ascii="Arial" w:hAnsi="Arial" w:cs="Arial"/>
          <w:sz w:val="24"/>
          <w:szCs w:val="24"/>
        </w:rPr>
        <w:t>Organizarea de conferinţe, întâlniri, dezbateri, precum şi producerea şi distribuirea de materiale pentru diseminarea informaţiilor şi valorizarea rezultatelor proiectelor naţionale şi internaţionale relevante pentru activitatea de informare, consiliere şi orientare în carieră;</w:t>
      </w:r>
    </w:p>
    <w:p w:rsidR="00FB4004" w:rsidRPr="00FE749F" w:rsidRDefault="00FB4004" w:rsidP="00A827CF">
      <w:pPr>
        <w:pStyle w:val="ListParagraph"/>
        <w:numPr>
          <w:ilvl w:val="0"/>
          <w:numId w:val="3"/>
        </w:numPr>
        <w:autoSpaceDE w:val="0"/>
        <w:autoSpaceDN w:val="0"/>
        <w:adjustRightInd w:val="0"/>
        <w:jc w:val="both"/>
        <w:rPr>
          <w:rFonts w:ascii="Arial" w:hAnsi="Arial" w:cs="Arial"/>
          <w:sz w:val="24"/>
          <w:szCs w:val="24"/>
        </w:rPr>
      </w:pPr>
      <w:r w:rsidRPr="00FE749F">
        <w:rPr>
          <w:rFonts w:ascii="Arial" w:hAnsi="Arial" w:cs="Arial"/>
          <w:sz w:val="24"/>
          <w:szCs w:val="24"/>
        </w:rPr>
        <w:t>Dezvoltarea colaborării interinstituţionale şi asumarea responsabilităţilor pentru asigurarea tuturor tipurilor de informaţii necesare centrelor de consiliere în vederea eficientizării serviciilor oferite (locuri de muncă vacante, oferta de formare profesională, informaţii despre calificări, informaţii despre agenţii economici, studii şi prognoze privind piaţa muncii);</w:t>
      </w:r>
    </w:p>
    <w:p w:rsidR="00FB4004" w:rsidRPr="00FE749F" w:rsidRDefault="00FB4004" w:rsidP="00A827CF">
      <w:pPr>
        <w:pStyle w:val="ListParagraph"/>
        <w:numPr>
          <w:ilvl w:val="0"/>
          <w:numId w:val="3"/>
        </w:numPr>
        <w:autoSpaceDE w:val="0"/>
        <w:autoSpaceDN w:val="0"/>
        <w:adjustRightInd w:val="0"/>
        <w:jc w:val="both"/>
        <w:rPr>
          <w:rFonts w:ascii="Arial" w:hAnsi="Arial" w:cs="Arial"/>
          <w:sz w:val="24"/>
          <w:szCs w:val="24"/>
        </w:rPr>
      </w:pPr>
      <w:r w:rsidRPr="00FE749F">
        <w:rPr>
          <w:rFonts w:ascii="Arial" w:hAnsi="Arial" w:cs="Arial"/>
          <w:sz w:val="24"/>
          <w:szCs w:val="24"/>
        </w:rPr>
        <w:t>Constituirea reţelei permanente de unităţi de învăţământ, în vederea realizării pregătirii practice din cadrul masterului didactic;</w:t>
      </w:r>
    </w:p>
    <w:p w:rsidR="00FB4004" w:rsidRPr="00FE749F" w:rsidRDefault="00ED010B" w:rsidP="00A827CF">
      <w:pPr>
        <w:pStyle w:val="ListParagraph"/>
        <w:numPr>
          <w:ilvl w:val="0"/>
          <w:numId w:val="3"/>
        </w:numPr>
        <w:autoSpaceDE w:val="0"/>
        <w:autoSpaceDN w:val="0"/>
        <w:adjustRightInd w:val="0"/>
        <w:jc w:val="both"/>
        <w:rPr>
          <w:rFonts w:ascii="Arial" w:hAnsi="Arial" w:cs="Arial"/>
          <w:sz w:val="24"/>
          <w:szCs w:val="24"/>
        </w:rPr>
      </w:pPr>
      <w:r>
        <w:rPr>
          <w:rFonts w:ascii="Arial" w:hAnsi="Arial" w:cs="Arial"/>
          <w:sz w:val="24"/>
          <w:szCs w:val="24"/>
        </w:rPr>
        <w:t xml:space="preserve">Monitorizarea ⁄ </w:t>
      </w:r>
      <w:r w:rsidR="00FB4004" w:rsidRPr="00FE749F">
        <w:rPr>
          <w:rFonts w:ascii="Arial" w:hAnsi="Arial" w:cs="Arial"/>
          <w:sz w:val="24"/>
          <w:szCs w:val="24"/>
        </w:rPr>
        <w:t>susţinerea personalul didactic, precum şi personalul de conducere, de îndrumare şi de control din învăţământul preuniversitar să participe periodic la programe de formare continuă, astfel încât să acumuleze, la fiecare interval consecutiv de 5 ani, considerat de la data promovării examenului de definitivare în învăţământ, minimum 90 de credite profesionale transferabile. Art. 245. - din Legea 1 din 5 ianuarie 2011 (Legea 1/2011) a educaţiei naționale</w:t>
      </w:r>
      <w:r>
        <w:rPr>
          <w:rFonts w:ascii="Arial" w:hAnsi="Arial" w:cs="Arial"/>
          <w:sz w:val="24"/>
          <w:szCs w:val="24"/>
        </w:rPr>
        <w:t>.</w:t>
      </w:r>
      <w:r w:rsidR="00FB4004" w:rsidRPr="00FE749F">
        <w:rPr>
          <w:rFonts w:ascii="Arial" w:hAnsi="Arial" w:cs="Arial"/>
          <w:sz w:val="24"/>
          <w:szCs w:val="24"/>
        </w:rPr>
        <w:t xml:space="preserve"> </w:t>
      </w:r>
    </w:p>
    <w:p w:rsidR="00EB54A1" w:rsidRPr="00FE749F" w:rsidRDefault="00EB54A1" w:rsidP="000C6A67">
      <w:pPr>
        <w:spacing w:after="0" w:line="240" w:lineRule="auto"/>
        <w:jc w:val="both"/>
        <w:rPr>
          <w:rFonts w:ascii="Arial" w:hAnsi="Arial" w:cs="Arial"/>
          <w:sz w:val="24"/>
          <w:szCs w:val="24"/>
        </w:rPr>
      </w:pPr>
    </w:p>
    <w:p w:rsidR="00FB4004" w:rsidRPr="00380BB8" w:rsidRDefault="00016460" w:rsidP="005E2E6D">
      <w:pPr>
        <w:spacing w:after="0" w:line="240" w:lineRule="auto"/>
        <w:rPr>
          <w:rFonts w:ascii="Arial" w:hAnsi="Arial" w:cs="Arial"/>
          <w:b/>
          <w:sz w:val="24"/>
          <w:szCs w:val="24"/>
        </w:rPr>
      </w:pPr>
      <w:r>
        <w:rPr>
          <w:rFonts w:ascii="Arial" w:hAnsi="Arial" w:cs="Arial"/>
          <w:b/>
          <w:sz w:val="24"/>
          <w:szCs w:val="24"/>
        </w:rPr>
        <w:t xml:space="preserve"> </w:t>
      </w:r>
      <w:r w:rsidR="00FB4004">
        <w:rPr>
          <w:rFonts w:ascii="Arial" w:hAnsi="Arial" w:cs="Arial"/>
          <w:b/>
          <w:sz w:val="24"/>
          <w:szCs w:val="24"/>
        </w:rPr>
        <w:t xml:space="preserve">Județul Hunedoara </w:t>
      </w:r>
    </w:p>
    <w:p w:rsidR="003842F0" w:rsidRDefault="00FB4004" w:rsidP="00E30301">
      <w:pPr>
        <w:spacing w:after="0" w:line="240" w:lineRule="auto"/>
        <w:jc w:val="both"/>
        <w:rPr>
          <w:rFonts w:ascii="Arial" w:hAnsi="Arial" w:cs="Arial"/>
          <w:sz w:val="24"/>
          <w:szCs w:val="24"/>
        </w:rPr>
      </w:pPr>
      <w:r w:rsidRPr="00FE749F">
        <w:rPr>
          <w:rFonts w:ascii="Arial" w:hAnsi="Arial" w:cs="Arial"/>
          <w:sz w:val="24"/>
          <w:szCs w:val="24"/>
        </w:rPr>
        <w:t>Județul Hunedoara își propune în strategia de dezvoltare pentru perioada 2014-2020, să devină ”</w:t>
      </w:r>
      <w:r w:rsidRPr="00FE749F">
        <w:rPr>
          <w:rFonts w:ascii="Arial" w:hAnsi="Arial" w:cs="Arial"/>
          <w:b/>
          <w:sz w:val="24"/>
          <w:szCs w:val="24"/>
        </w:rPr>
        <w:t>Hunedoara recunoscută – performantă -  incluzivă -  conectată și verde”.</w:t>
      </w:r>
      <w:r w:rsidRPr="00FE749F">
        <w:rPr>
          <w:rFonts w:ascii="Arial" w:hAnsi="Arial" w:cs="Arial"/>
          <w:sz w:val="24"/>
          <w:szCs w:val="24"/>
        </w:rPr>
        <w:t xml:space="preserve"> </w:t>
      </w:r>
      <w:r w:rsidRPr="00FE749F">
        <w:rPr>
          <w:rStyle w:val="FootnoteReference"/>
          <w:rFonts w:ascii="Arial" w:hAnsi="Arial" w:cs="Arial"/>
          <w:sz w:val="24"/>
          <w:szCs w:val="24"/>
        </w:rPr>
        <w:footnoteReference w:id="24"/>
      </w:r>
      <w:r w:rsidRPr="00FE749F">
        <w:rPr>
          <w:rFonts w:ascii="Arial" w:hAnsi="Arial" w:cs="Arial"/>
          <w:b/>
          <w:sz w:val="24"/>
          <w:szCs w:val="24"/>
        </w:rPr>
        <w:t>Planul de dezvoltare</w:t>
      </w:r>
      <w:r w:rsidRPr="00FE749F">
        <w:rPr>
          <w:rFonts w:ascii="Arial" w:hAnsi="Arial" w:cs="Arial"/>
          <w:sz w:val="24"/>
          <w:szCs w:val="24"/>
        </w:rPr>
        <w:t xml:space="preserve"> a județului Hunedoara pe perioada 2014-2020 este </w:t>
      </w:r>
      <w:r w:rsidRPr="00FE749F">
        <w:rPr>
          <w:rFonts w:ascii="Arial" w:hAnsi="Arial" w:cs="Arial"/>
          <w:sz w:val="24"/>
          <w:szCs w:val="24"/>
        </w:rPr>
        <w:lastRenderedPageBreak/>
        <w:t xml:space="preserve">strcuturat pe un </w:t>
      </w:r>
      <w:r w:rsidRPr="00FE749F">
        <w:rPr>
          <w:rFonts w:ascii="Arial" w:hAnsi="Arial" w:cs="Arial"/>
          <w:b/>
          <w:sz w:val="24"/>
          <w:szCs w:val="24"/>
        </w:rPr>
        <w:t>sistem de Obiective, Domenii prioritare și Direcții de acțiune subsecvente.</w:t>
      </w:r>
      <w:r w:rsidRPr="00FE749F">
        <w:rPr>
          <w:rFonts w:ascii="Arial" w:hAnsi="Arial" w:cs="Arial"/>
          <w:sz w:val="24"/>
          <w:szCs w:val="24"/>
        </w:rPr>
        <w:t xml:space="preserve"> </w:t>
      </w:r>
    </w:p>
    <w:p w:rsidR="00FB4004" w:rsidRPr="00FE749F" w:rsidRDefault="00FB4004" w:rsidP="00E30301">
      <w:pPr>
        <w:spacing w:after="0" w:line="240" w:lineRule="auto"/>
        <w:jc w:val="both"/>
        <w:rPr>
          <w:rFonts w:ascii="Arial" w:hAnsi="Arial" w:cs="Arial"/>
          <w:sz w:val="24"/>
          <w:szCs w:val="24"/>
        </w:rPr>
      </w:pPr>
      <w:r w:rsidRPr="00FE749F">
        <w:rPr>
          <w:rFonts w:ascii="Arial" w:hAnsi="Arial" w:cs="Arial"/>
          <w:b/>
          <w:sz w:val="24"/>
          <w:szCs w:val="24"/>
        </w:rPr>
        <w:t>Os3. Hunedoara inclusivă –</w:t>
      </w:r>
      <w:r w:rsidRPr="00FE749F">
        <w:rPr>
          <w:rFonts w:ascii="Arial" w:hAnsi="Arial" w:cs="Arial"/>
          <w:sz w:val="24"/>
          <w:szCs w:val="24"/>
        </w:rPr>
        <w:t xml:space="preserve"> înseamnă un județ cu un  capital uman și social crescut, care asigură echitabil servicii și oportunități de dezvoltare, și este dezvoltat în patru domenii prioritare, dintre care primele două au direcții dedicate educației și formării profesionale. </w:t>
      </w:r>
    </w:p>
    <w:p w:rsidR="00FB4004" w:rsidRPr="001A66B4" w:rsidRDefault="00FB4004" w:rsidP="00E30301">
      <w:pPr>
        <w:spacing w:after="0" w:line="240" w:lineRule="auto"/>
        <w:jc w:val="both"/>
        <w:rPr>
          <w:rFonts w:ascii="Arial" w:hAnsi="Arial" w:cs="Arial"/>
          <w:b/>
          <w:sz w:val="24"/>
          <w:szCs w:val="24"/>
        </w:rPr>
      </w:pPr>
      <w:r w:rsidRPr="001A66B4">
        <w:rPr>
          <w:rFonts w:ascii="Arial" w:hAnsi="Arial" w:cs="Arial"/>
          <w:b/>
          <w:sz w:val="24"/>
          <w:szCs w:val="24"/>
        </w:rPr>
        <w:t xml:space="preserve">3.1. Dezvoltarea capitalului uman și reintegrarea pe piața forței de muncă, cu </w:t>
      </w:r>
    </w:p>
    <w:p w:rsidR="00FB4004" w:rsidRPr="00FE749F" w:rsidRDefault="00FB4004" w:rsidP="00E30301">
      <w:pPr>
        <w:spacing w:after="0" w:line="240" w:lineRule="auto"/>
        <w:jc w:val="both"/>
        <w:rPr>
          <w:rFonts w:ascii="Arial" w:hAnsi="Arial" w:cs="Arial"/>
          <w:sz w:val="24"/>
          <w:szCs w:val="24"/>
        </w:rPr>
      </w:pPr>
      <w:r w:rsidRPr="00FE749F">
        <w:rPr>
          <w:rFonts w:ascii="Arial" w:hAnsi="Arial" w:cs="Arial"/>
          <w:sz w:val="24"/>
          <w:szCs w:val="24"/>
        </w:rPr>
        <w:t>3.1.1. dezvoltarea de programe de formare, calificare și recalificare a forței</w:t>
      </w:r>
      <w:r>
        <w:rPr>
          <w:rFonts w:ascii="Arial" w:hAnsi="Arial" w:cs="Arial"/>
          <w:sz w:val="24"/>
          <w:szCs w:val="24"/>
        </w:rPr>
        <w:t xml:space="preserve"> d</w:t>
      </w:r>
      <w:r w:rsidRPr="00FE749F">
        <w:rPr>
          <w:rFonts w:ascii="Arial" w:hAnsi="Arial" w:cs="Arial"/>
          <w:sz w:val="24"/>
          <w:szCs w:val="24"/>
        </w:rPr>
        <w:t>e muncă în acord cu cerințele pieței muncii și cu sectoarele industriale reprezentative</w:t>
      </w:r>
    </w:p>
    <w:p w:rsidR="00FB4004" w:rsidRPr="00FE749F" w:rsidRDefault="00FB4004" w:rsidP="00E30301">
      <w:pPr>
        <w:tabs>
          <w:tab w:val="left" w:pos="450"/>
          <w:tab w:val="left" w:pos="540"/>
          <w:tab w:val="left" w:pos="630"/>
          <w:tab w:val="left" w:pos="720"/>
        </w:tabs>
        <w:spacing w:after="0" w:line="240" w:lineRule="auto"/>
        <w:jc w:val="both"/>
        <w:rPr>
          <w:rFonts w:ascii="Arial" w:hAnsi="Arial" w:cs="Arial"/>
          <w:sz w:val="24"/>
          <w:szCs w:val="24"/>
        </w:rPr>
      </w:pPr>
      <w:r w:rsidRPr="00FE749F">
        <w:rPr>
          <w:rFonts w:ascii="Arial" w:hAnsi="Arial" w:cs="Arial"/>
          <w:sz w:val="24"/>
          <w:szCs w:val="24"/>
        </w:rPr>
        <w:t>3.1.2. consilierea pentru integra</w:t>
      </w:r>
      <w:r w:rsidR="00EB54A1">
        <w:rPr>
          <w:rFonts w:ascii="Arial" w:hAnsi="Arial" w:cs="Arial"/>
          <w:sz w:val="24"/>
          <w:szCs w:val="24"/>
        </w:rPr>
        <w:t>rea pe piața muncii în cadrul c</w:t>
      </w:r>
      <w:r w:rsidRPr="00FE749F">
        <w:rPr>
          <w:rFonts w:ascii="Arial" w:hAnsi="Arial" w:cs="Arial"/>
          <w:sz w:val="24"/>
          <w:szCs w:val="24"/>
        </w:rPr>
        <w:t xml:space="preserve">omunităților afectate de restructurări masive </w:t>
      </w:r>
    </w:p>
    <w:p w:rsidR="00FB4004" w:rsidRPr="001A66B4" w:rsidRDefault="00FB4004" w:rsidP="00E30301">
      <w:pPr>
        <w:spacing w:after="0" w:line="240" w:lineRule="auto"/>
        <w:jc w:val="both"/>
        <w:rPr>
          <w:rFonts w:ascii="Arial" w:hAnsi="Arial" w:cs="Arial"/>
          <w:b/>
          <w:sz w:val="24"/>
          <w:szCs w:val="24"/>
        </w:rPr>
      </w:pPr>
      <w:r w:rsidRPr="001A66B4">
        <w:rPr>
          <w:rFonts w:ascii="Arial" w:hAnsi="Arial" w:cs="Arial"/>
          <w:b/>
          <w:sz w:val="24"/>
          <w:szCs w:val="24"/>
        </w:rPr>
        <w:t xml:space="preserve">3.2. Creșterea accesului populației la servicii sociale, sănătate și de cultură </w:t>
      </w:r>
    </w:p>
    <w:p w:rsidR="00FB4004" w:rsidRPr="00FE749F" w:rsidRDefault="00FB4004" w:rsidP="00E30301">
      <w:pPr>
        <w:spacing w:after="0" w:line="240" w:lineRule="auto"/>
        <w:jc w:val="both"/>
        <w:rPr>
          <w:rFonts w:ascii="Arial" w:hAnsi="Arial" w:cs="Arial"/>
          <w:sz w:val="24"/>
          <w:szCs w:val="24"/>
        </w:rPr>
      </w:pPr>
      <w:r w:rsidRPr="00FE749F">
        <w:rPr>
          <w:rFonts w:ascii="Arial" w:hAnsi="Arial" w:cs="Arial"/>
          <w:sz w:val="24"/>
          <w:szCs w:val="24"/>
        </w:rPr>
        <w:t>3.2.2. Creșterea performaței și atractivității sistemului de învățământ județean,  pentru toate nivelurile de educație</w:t>
      </w:r>
      <w:r w:rsidR="00E30301">
        <w:rPr>
          <w:rFonts w:ascii="Arial" w:hAnsi="Arial" w:cs="Arial"/>
          <w:sz w:val="24"/>
          <w:szCs w:val="24"/>
        </w:rPr>
        <w:t>;</w:t>
      </w:r>
      <w:r w:rsidRPr="00FE749F">
        <w:rPr>
          <w:rFonts w:ascii="Arial" w:hAnsi="Arial" w:cs="Arial"/>
          <w:sz w:val="24"/>
          <w:szCs w:val="24"/>
        </w:rPr>
        <w:t xml:space="preserve"> </w:t>
      </w:r>
    </w:p>
    <w:p w:rsidR="00FB4004" w:rsidRPr="00FE749F" w:rsidRDefault="00FB4004" w:rsidP="00E30301">
      <w:pPr>
        <w:spacing w:after="0" w:line="240" w:lineRule="auto"/>
        <w:jc w:val="both"/>
        <w:rPr>
          <w:rFonts w:ascii="Arial" w:hAnsi="Arial" w:cs="Arial"/>
          <w:sz w:val="24"/>
          <w:szCs w:val="24"/>
        </w:rPr>
      </w:pPr>
      <w:r w:rsidRPr="00FE749F">
        <w:rPr>
          <w:rFonts w:ascii="Arial" w:hAnsi="Arial" w:cs="Arial"/>
          <w:sz w:val="24"/>
          <w:szCs w:val="24"/>
        </w:rPr>
        <w:t>3.3. Sprijinirea dezvoltării comunităților din zonele dezavantajare sau marginalizate</w:t>
      </w:r>
      <w:r w:rsidR="00E30301">
        <w:rPr>
          <w:rFonts w:ascii="Arial" w:hAnsi="Arial" w:cs="Arial"/>
          <w:sz w:val="24"/>
          <w:szCs w:val="24"/>
        </w:rPr>
        <w:t>;</w:t>
      </w:r>
    </w:p>
    <w:p w:rsidR="00FB4004" w:rsidRPr="00FE749F" w:rsidRDefault="00FB4004" w:rsidP="00E30301">
      <w:pPr>
        <w:spacing w:after="0" w:line="240" w:lineRule="auto"/>
        <w:jc w:val="both"/>
        <w:rPr>
          <w:rFonts w:ascii="Arial" w:hAnsi="Arial" w:cs="Arial"/>
          <w:sz w:val="24"/>
          <w:szCs w:val="24"/>
        </w:rPr>
      </w:pPr>
      <w:r w:rsidRPr="00FE749F">
        <w:rPr>
          <w:rFonts w:ascii="Arial" w:hAnsi="Arial" w:cs="Arial"/>
          <w:sz w:val="24"/>
          <w:szCs w:val="24"/>
        </w:rPr>
        <w:t>3.4. Dezvoltare și coeziunea comunitară în jurul identității locale</w:t>
      </w:r>
      <w:r w:rsidR="00E30301">
        <w:rPr>
          <w:rFonts w:ascii="Arial" w:hAnsi="Arial" w:cs="Arial"/>
          <w:sz w:val="24"/>
          <w:szCs w:val="24"/>
        </w:rPr>
        <w:t>.</w:t>
      </w:r>
      <w:r w:rsidRPr="00FE749F">
        <w:rPr>
          <w:rFonts w:ascii="Arial" w:hAnsi="Arial" w:cs="Arial"/>
          <w:sz w:val="24"/>
          <w:szCs w:val="24"/>
        </w:rPr>
        <w:t xml:space="preserve"> </w:t>
      </w:r>
    </w:p>
    <w:p w:rsidR="00FB4004" w:rsidRPr="00FE749F" w:rsidRDefault="00FB4004" w:rsidP="00E30301">
      <w:pPr>
        <w:spacing w:after="0" w:line="240" w:lineRule="auto"/>
        <w:jc w:val="both"/>
        <w:rPr>
          <w:rFonts w:ascii="Arial" w:hAnsi="Arial" w:cs="Arial"/>
          <w:b/>
          <w:sz w:val="24"/>
          <w:szCs w:val="24"/>
        </w:rPr>
      </w:pPr>
      <w:r w:rsidRPr="00FE749F">
        <w:rPr>
          <w:rFonts w:ascii="Arial" w:hAnsi="Arial" w:cs="Arial"/>
          <w:b/>
          <w:sz w:val="24"/>
          <w:szCs w:val="24"/>
        </w:rPr>
        <w:t xml:space="preserve">Planul de acțiuni definește următoarele măsuri  concrete corelate cu direcțiile de acțiune: </w:t>
      </w:r>
    </w:p>
    <w:p w:rsidR="00FB4004" w:rsidRPr="00FE749F" w:rsidRDefault="00FB4004" w:rsidP="00E30301">
      <w:pPr>
        <w:spacing w:after="0" w:line="240" w:lineRule="auto"/>
        <w:jc w:val="both"/>
        <w:rPr>
          <w:rFonts w:ascii="Arial" w:hAnsi="Arial" w:cs="Arial"/>
          <w:sz w:val="24"/>
          <w:szCs w:val="24"/>
        </w:rPr>
      </w:pPr>
      <w:r w:rsidRPr="00FE749F">
        <w:rPr>
          <w:rFonts w:ascii="Arial" w:hAnsi="Arial" w:cs="Arial"/>
          <w:sz w:val="24"/>
          <w:szCs w:val="24"/>
        </w:rPr>
        <w:t>3.1.1.Analiza la nivel județean cu privire la adecvarea specializărilor din învățământul liceal, postliceal și universitar la cererea de pe piața forței de muncă</w:t>
      </w:r>
      <w:r w:rsidR="003842F0">
        <w:rPr>
          <w:rFonts w:ascii="Arial" w:hAnsi="Arial" w:cs="Arial"/>
          <w:sz w:val="24"/>
          <w:szCs w:val="24"/>
        </w:rPr>
        <w:t>;</w:t>
      </w:r>
      <w:r w:rsidRPr="00FE749F">
        <w:rPr>
          <w:rFonts w:ascii="Arial" w:hAnsi="Arial" w:cs="Arial"/>
          <w:sz w:val="24"/>
          <w:szCs w:val="24"/>
        </w:rPr>
        <w:t xml:space="preserve"> </w:t>
      </w:r>
    </w:p>
    <w:p w:rsidR="00FB4004" w:rsidRPr="00FE749F" w:rsidRDefault="00FB4004" w:rsidP="00E30301">
      <w:pPr>
        <w:spacing w:after="0" w:line="240" w:lineRule="auto"/>
        <w:jc w:val="both"/>
        <w:rPr>
          <w:rFonts w:ascii="Arial" w:hAnsi="Arial" w:cs="Arial"/>
          <w:sz w:val="24"/>
          <w:szCs w:val="24"/>
        </w:rPr>
      </w:pPr>
      <w:r w:rsidRPr="00FE749F">
        <w:rPr>
          <w:rFonts w:ascii="Arial" w:hAnsi="Arial" w:cs="Arial"/>
          <w:sz w:val="24"/>
          <w:szCs w:val="24"/>
        </w:rPr>
        <w:t>3.1.2 Consilierea familiilor cu risc social major pentru reducerea abandonului școlar</w:t>
      </w:r>
      <w:r w:rsidR="003842F0">
        <w:rPr>
          <w:rFonts w:ascii="Arial" w:hAnsi="Arial" w:cs="Arial"/>
          <w:sz w:val="24"/>
          <w:szCs w:val="24"/>
        </w:rPr>
        <w:t>;</w:t>
      </w:r>
      <w:r w:rsidRPr="00FE749F">
        <w:rPr>
          <w:rFonts w:ascii="Arial" w:hAnsi="Arial" w:cs="Arial"/>
          <w:sz w:val="24"/>
          <w:szCs w:val="24"/>
        </w:rPr>
        <w:t xml:space="preserve"> </w:t>
      </w:r>
    </w:p>
    <w:p w:rsidR="00FB4004" w:rsidRPr="00FE749F" w:rsidRDefault="00FB4004" w:rsidP="00E30301">
      <w:pPr>
        <w:spacing w:after="0" w:line="240" w:lineRule="auto"/>
        <w:jc w:val="both"/>
        <w:rPr>
          <w:rFonts w:ascii="Arial" w:hAnsi="Arial" w:cs="Arial"/>
          <w:sz w:val="24"/>
          <w:szCs w:val="24"/>
        </w:rPr>
      </w:pPr>
      <w:r w:rsidRPr="00FE749F">
        <w:rPr>
          <w:rFonts w:ascii="Arial" w:hAnsi="Arial" w:cs="Arial"/>
          <w:sz w:val="24"/>
          <w:szCs w:val="24"/>
        </w:rPr>
        <w:t>3.1.2.Creșterea gradului de conștientizare a nevoii de educație prin acordarea de burse pentru un număr de 100 elevi/an, care provin din grupuri vulnerabile</w:t>
      </w:r>
      <w:r w:rsidR="003842F0">
        <w:rPr>
          <w:rFonts w:ascii="Arial" w:hAnsi="Arial" w:cs="Arial"/>
          <w:sz w:val="24"/>
          <w:szCs w:val="24"/>
        </w:rPr>
        <w:t>;</w:t>
      </w:r>
    </w:p>
    <w:p w:rsidR="00FB4004" w:rsidRPr="00FE749F" w:rsidRDefault="00FB4004" w:rsidP="00E30301">
      <w:pPr>
        <w:spacing w:after="0" w:line="240" w:lineRule="auto"/>
        <w:jc w:val="both"/>
        <w:rPr>
          <w:rFonts w:ascii="Arial" w:hAnsi="Arial" w:cs="Arial"/>
          <w:sz w:val="24"/>
          <w:szCs w:val="24"/>
        </w:rPr>
      </w:pPr>
      <w:r w:rsidRPr="00FE749F">
        <w:rPr>
          <w:rFonts w:ascii="Arial" w:hAnsi="Arial" w:cs="Arial"/>
          <w:sz w:val="24"/>
          <w:szCs w:val="24"/>
        </w:rPr>
        <w:t>3.2.1. Dezvoltarea de facilități after-school în mediul rural pentru elevii ai căror părinți sunt ple</w:t>
      </w:r>
      <w:r w:rsidR="003842F0">
        <w:rPr>
          <w:rFonts w:ascii="Arial" w:hAnsi="Arial" w:cs="Arial"/>
          <w:sz w:val="24"/>
          <w:szCs w:val="24"/>
        </w:rPr>
        <w:t>cați la muncă (în străinătate);</w:t>
      </w:r>
    </w:p>
    <w:p w:rsidR="00FB4004" w:rsidRPr="00FE749F" w:rsidRDefault="00FB4004" w:rsidP="00E30301">
      <w:pPr>
        <w:spacing w:after="0" w:line="240" w:lineRule="auto"/>
        <w:jc w:val="both"/>
        <w:rPr>
          <w:rFonts w:ascii="Arial" w:hAnsi="Arial" w:cs="Arial"/>
          <w:sz w:val="24"/>
          <w:szCs w:val="24"/>
        </w:rPr>
      </w:pPr>
      <w:r w:rsidRPr="00FE749F">
        <w:rPr>
          <w:rFonts w:ascii="Arial" w:hAnsi="Arial" w:cs="Arial"/>
          <w:sz w:val="24"/>
          <w:szCs w:val="24"/>
        </w:rPr>
        <w:t>3.2.2. Înființarea unui centru județean de de excelență în educație (activități extracurriculare, pregătirea levilor pentru concursuri școlare) în Valea Jiului</w:t>
      </w:r>
      <w:r w:rsidR="003842F0">
        <w:rPr>
          <w:rFonts w:ascii="Arial" w:hAnsi="Arial" w:cs="Arial"/>
          <w:sz w:val="24"/>
          <w:szCs w:val="24"/>
        </w:rPr>
        <w:t>;</w:t>
      </w:r>
      <w:r w:rsidRPr="00FE749F">
        <w:rPr>
          <w:rFonts w:ascii="Arial" w:hAnsi="Arial" w:cs="Arial"/>
          <w:sz w:val="24"/>
          <w:szCs w:val="24"/>
        </w:rPr>
        <w:t xml:space="preserve"> </w:t>
      </w:r>
    </w:p>
    <w:p w:rsidR="00FB4004" w:rsidRPr="00FE749F" w:rsidRDefault="00FB4004" w:rsidP="00E30301">
      <w:pPr>
        <w:spacing w:after="0" w:line="240" w:lineRule="auto"/>
        <w:jc w:val="both"/>
        <w:rPr>
          <w:rFonts w:ascii="Arial" w:hAnsi="Arial" w:cs="Arial"/>
          <w:sz w:val="24"/>
          <w:szCs w:val="24"/>
        </w:rPr>
      </w:pPr>
      <w:r w:rsidRPr="00FE749F">
        <w:rPr>
          <w:rFonts w:ascii="Arial" w:hAnsi="Arial" w:cs="Arial"/>
          <w:sz w:val="24"/>
          <w:szCs w:val="24"/>
        </w:rPr>
        <w:t xml:space="preserve">3.2.2. Dezvoltarea unui program ce practică și mentorat pentru tinerii între 15 și 25 de ani, din învățământul general și tehnic, în vederea tranziției de </w:t>
      </w:r>
      <w:r w:rsidR="003842F0">
        <w:rPr>
          <w:rFonts w:ascii="Arial" w:hAnsi="Arial" w:cs="Arial"/>
          <w:sz w:val="24"/>
          <w:szCs w:val="24"/>
        </w:rPr>
        <w:t>l</w:t>
      </w:r>
      <w:r w:rsidRPr="00FE749F">
        <w:rPr>
          <w:rFonts w:ascii="Arial" w:hAnsi="Arial" w:cs="Arial"/>
          <w:sz w:val="24"/>
          <w:szCs w:val="24"/>
        </w:rPr>
        <w:t>a școală la viața activă</w:t>
      </w:r>
      <w:r w:rsidR="003842F0">
        <w:rPr>
          <w:rFonts w:ascii="Arial" w:hAnsi="Arial" w:cs="Arial"/>
          <w:sz w:val="24"/>
          <w:szCs w:val="24"/>
        </w:rPr>
        <w:t>;</w:t>
      </w:r>
    </w:p>
    <w:p w:rsidR="00FB4004" w:rsidRPr="00FE749F" w:rsidRDefault="00FB4004" w:rsidP="00E30301">
      <w:pPr>
        <w:spacing w:after="0" w:line="240" w:lineRule="auto"/>
        <w:jc w:val="both"/>
        <w:rPr>
          <w:rFonts w:ascii="Arial" w:hAnsi="Arial" w:cs="Arial"/>
          <w:sz w:val="24"/>
          <w:szCs w:val="24"/>
        </w:rPr>
      </w:pPr>
      <w:r w:rsidRPr="00FE749F">
        <w:rPr>
          <w:rFonts w:ascii="Arial" w:hAnsi="Arial" w:cs="Arial"/>
          <w:sz w:val="24"/>
          <w:szCs w:val="24"/>
        </w:rPr>
        <w:t>3.2.2. Promovarea conceptului de învățare și educație continuă la toate nivelurile ( învățământ preuniversitar, universitar, educația adulților) pentru dezvoltarea resurselor umane.</w:t>
      </w:r>
    </w:p>
    <w:p w:rsidR="00FB4004" w:rsidRPr="00FE749F" w:rsidRDefault="00FB4004" w:rsidP="00E30301">
      <w:pPr>
        <w:spacing w:after="0" w:line="240" w:lineRule="auto"/>
        <w:jc w:val="both"/>
        <w:rPr>
          <w:rFonts w:ascii="Arial" w:hAnsi="Arial" w:cs="Arial"/>
          <w:sz w:val="24"/>
          <w:szCs w:val="24"/>
        </w:rPr>
      </w:pPr>
    </w:p>
    <w:p w:rsidR="00FB4004" w:rsidRPr="00FE749F" w:rsidRDefault="00FB4004" w:rsidP="00E30301">
      <w:pPr>
        <w:spacing w:after="0" w:line="240" w:lineRule="auto"/>
        <w:jc w:val="both"/>
        <w:rPr>
          <w:rFonts w:ascii="Arial" w:hAnsi="Arial" w:cs="Arial"/>
          <w:sz w:val="24"/>
          <w:szCs w:val="24"/>
        </w:rPr>
      </w:pPr>
      <w:r w:rsidRPr="00FE749F">
        <w:rPr>
          <w:rFonts w:ascii="Arial" w:hAnsi="Arial" w:cs="Arial"/>
          <w:b/>
          <w:sz w:val="24"/>
          <w:szCs w:val="24"/>
        </w:rPr>
        <w:t>Municipiul Hunedoara</w:t>
      </w:r>
      <w:r w:rsidRPr="00FE749F">
        <w:rPr>
          <w:rFonts w:ascii="Arial" w:hAnsi="Arial" w:cs="Arial"/>
          <w:sz w:val="24"/>
          <w:szCs w:val="24"/>
        </w:rPr>
        <w:t xml:space="preserve"> și-a fundamentat investițiile pentru urnătoarea perioadă prin </w:t>
      </w:r>
      <w:r w:rsidRPr="00FE749F">
        <w:rPr>
          <w:rFonts w:ascii="Arial" w:hAnsi="Arial" w:cs="Arial"/>
          <w:b/>
          <w:sz w:val="24"/>
          <w:szCs w:val="24"/>
        </w:rPr>
        <w:t>Stragegia de Dezvoltare Durabilă  a Municipiului Hunedoara2014-2020</w:t>
      </w:r>
      <w:r w:rsidRPr="00FE749F">
        <w:rPr>
          <w:rFonts w:ascii="Arial" w:hAnsi="Arial" w:cs="Arial"/>
          <w:sz w:val="24"/>
          <w:szCs w:val="24"/>
        </w:rPr>
        <w:t xml:space="preserve">, </w:t>
      </w:r>
      <w:r w:rsidRPr="00FE749F">
        <w:rPr>
          <w:rStyle w:val="FootnoteReference"/>
          <w:rFonts w:ascii="Arial" w:hAnsi="Arial" w:cs="Arial"/>
          <w:sz w:val="24"/>
          <w:szCs w:val="24"/>
        </w:rPr>
        <w:footnoteReference w:id="25"/>
      </w:r>
      <w:r w:rsidRPr="00FE749F">
        <w:rPr>
          <w:rFonts w:ascii="Arial" w:hAnsi="Arial" w:cs="Arial"/>
          <w:sz w:val="24"/>
          <w:szCs w:val="24"/>
        </w:rPr>
        <w:t xml:space="preserve"> și prin </w:t>
      </w:r>
    </w:p>
    <w:p w:rsidR="00FB4004" w:rsidRPr="00FE749F" w:rsidRDefault="00FB4004" w:rsidP="00E30301">
      <w:pPr>
        <w:spacing w:after="0" w:line="240" w:lineRule="auto"/>
        <w:jc w:val="both"/>
        <w:rPr>
          <w:rFonts w:ascii="Arial" w:hAnsi="Arial" w:cs="Arial"/>
          <w:sz w:val="24"/>
          <w:szCs w:val="24"/>
        </w:rPr>
      </w:pPr>
      <w:r w:rsidRPr="00CF7EF1">
        <w:rPr>
          <w:rFonts w:ascii="Arial" w:hAnsi="Arial" w:cs="Arial"/>
          <w:b/>
          <w:sz w:val="24"/>
          <w:szCs w:val="24"/>
        </w:rPr>
        <w:t>Procente de absolvire a învățământului secundar, și rezultatele la examenul de bacalaureat, apoi înscrierea în programele TVET</w:t>
      </w:r>
      <w:r w:rsidRPr="00FE749F">
        <w:rPr>
          <w:rFonts w:ascii="Arial" w:hAnsi="Arial" w:cs="Arial"/>
          <w:sz w:val="24"/>
          <w:szCs w:val="24"/>
        </w:rPr>
        <w:t xml:space="preserve"> sunt considerate aspecte care necesită intervenție. </w:t>
      </w:r>
    </w:p>
    <w:p w:rsidR="00FB4004" w:rsidRPr="00FE749F" w:rsidRDefault="00FB4004" w:rsidP="00E30301">
      <w:pPr>
        <w:spacing w:after="0" w:line="240" w:lineRule="auto"/>
        <w:jc w:val="both"/>
        <w:rPr>
          <w:rFonts w:ascii="Arial" w:hAnsi="Arial" w:cs="Arial"/>
          <w:sz w:val="24"/>
          <w:szCs w:val="24"/>
        </w:rPr>
      </w:pPr>
      <w:r>
        <w:rPr>
          <w:rFonts w:ascii="Arial" w:hAnsi="Arial" w:cs="Arial"/>
          <w:b/>
          <w:sz w:val="24"/>
          <w:szCs w:val="24"/>
        </w:rPr>
        <w:t>Obiecti</w:t>
      </w:r>
      <w:r w:rsidRPr="00FE749F">
        <w:rPr>
          <w:rFonts w:ascii="Arial" w:hAnsi="Arial" w:cs="Arial"/>
          <w:b/>
          <w:sz w:val="24"/>
          <w:szCs w:val="24"/>
        </w:rPr>
        <w:t>vul tematic 10</w:t>
      </w:r>
      <w:r w:rsidRPr="00FE749F">
        <w:rPr>
          <w:rFonts w:ascii="Arial" w:hAnsi="Arial" w:cs="Arial"/>
          <w:sz w:val="24"/>
          <w:szCs w:val="24"/>
        </w:rPr>
        <w:t>. Investiții în învățământ, abilități și formare continuă,  precizează că</w:t>
      </w:r>
      <w:r>
        <w:rPr>
          <w:rFonts w:ascii="Arial" w:hAnsi="Arial" w:cs="Arial"/>
          <w:sz w:val="24"/>
          <w:szCs w:val="24"/>
        </w:rPr>
        <w:t xml:space="preserve"> </w:t>
      </w:r>
      <w:r w:rsidRPr="00380BB8">
        <w:rPr>
          <w:rFonts w:ascii="Arial" w:hAnsi="Arial" w:cs="Arial"/>
          <w:i/>
          <w:sz w:val="24"/>
          <w:szCs w:val="24"/>
        </w:rPr>
        <w:t>” Învățământul vocațional trebuie, de asemenea, extins și îmbunătățit pentru a oferi un număr suficient de tehnicieni calificați (mână de lucuru specializată)”</w:t>
      </w:r>
      <w:r w:rsidRPr="00FE749F">
        <w:rPr>
          <w:rFonts w:ascii="Arial" w:hAnsi="Arial" w:cs="Arial"/>
          <w:sz w:val="24"/>
          <w:szCs w:val="24"/>
        </w:rPr>
        <w:t xml:space="preserve"> (pag.273). </w:t>
      </w:r>
    </w:p>
    <w:p w:rsidR="00FB4004" w:rsidRPr="00FE749F" w:rsidRDefault="00FB4004" w:rsidP="00E30301">
      <w:pPr>
        <w:spacing w:after="0" w:line="240" w:lineRule="auto"/>
        <w:jc w:val="both"/>
        <w:rPr>
          <w:rFonts w:ascii="Arial" w:hAnsi="Arial" w:cs="Arial"/>
          <w:sz w:val="24"/>
          <w:szCs w:val="24"/>
        </w:rPr>
      </w:pPr>
      <w:r>
        <w:rPr>
          <w:rFonts w:ascii="Arial" w:hAnsi="Arial" w:cs="Arial"/>
          <w:sz w:val="24"/>
          <w:szCs w:val="24"/>
        </w:rPr>
        <w:t>Obiectivele spe</w:t>
      </w:r>
      <w:r w:rsidRPr="00FE749F">
        <w:rPr>
          <w:rFonts w:ascii="Arial" w:hAnsi="Arial" w:cs="Arial"/>
          <w:sz w:val="24"/>
          <w:szCs w:val="24"/>
        </w:rPr>
        <w:t xml:space="preserve">cifice se propun a fi atinse prin masuri, de exmplu: </w:t>
      </w:r>
    </w:p>
    <w:p w:rsidR="008C3623" w:rsidRDefault="00FB4004" w:rsidP="00445724">
      <w:pPr>
        <w:pStyle w:val="ListParagraph"/>
        <w:numPr>
          <w:ilvl w:val="0"/>
          <w:numId w:val="19"/>
        </w:numPr>
        <w:jc w:val="both"/>
        <w:rPr>
          <w:rFonts w:ascii="Arial" w:hAnsi="Arial" w:cs="Arial"/>
          <w:sz w:val="24"/>
          <w:szCs w:val="24"/>
        </w:rPr>
      </w:pPr>
      <w:r w:rsidRPr="008C3623">
        <w:rPr>
          <w:rFonts w:ascii="Arial" w:hAnsi="Arial" w:cs="Arial"/>
          <w:sz w:val="24"/>
          <w:szCs w:val="24"/>
        </w:rPr>
        <w:t>dezvoltarea de programe de formare la locul de muncă;</w:t>
      </w:r>
    </w:p>
    <w:p w:rsidR="008C3623" w:rsidRDefault="00FB4004" w:rsidP="00445724">
      <w:pPr>
        <w:pStyle w:val="ListParagraph"/>
        <w:numPr>
          <w:ilvl w:val="0"/>
          <w:numId w:val="19"/>
        </w:numPr>
        <w:jc w:val="both"/>
        <w:rPr>
          <w:rFonts w:ascii="Arial" w:hAnsi="Arial" w:cs="Arial"/>
          <w:sz w:val="24"/>
          <w:szCs w:val="24"/>
        </w:rPr>
      </w:pPr>
      <w:r w:rsidRPr="008C3623">
        <w:rPr>
          <w:rFonts w:ascii="Arial" w:hAnsi="Arial" w:cs="Arial"/>
          <w:sz w:val="24"/>
          <w:szCs w:val="24"/>
        </w:rPr>
        <w:t xml:space="preserve">consolidarea capacității furnizorilor de TVET de a oferi programe </w:t>
      </w:r>
      <w:r w:rsidR="008C3623" w:rsidRPr="008C3623">
        <w:rPr>
          <w:rFonts w:ascii="Arial" w:hAnsi="Arial" w:cs="Arial"/>
          <w:sz w:val="24"/>
          <w:szCs w:val="24"/>
        </w:rPr>
        <w:t>attractive</w:t>
      </w:r>
      <w:r w:rsidR="008C3623">
        <w:rPr>
          <w:rFonts w:ascii="Arial" w:hAnsi="Arial" w:cs="Arial"/>
          <w:sz w:val="24"/>
          <w:szCs w:val="24"/>
        </w:rPr>
        <w:t>;</w:t>
      </w:r>
    </w:p>
    <w:p w:rsidR="00FB4004" w:rsidRPr="008C3623" w:rsidRDefault="00FB4004" w:rsidP="00445724">
      <w:pPr>
        <w:pStyle w:val="ListParagraph"/>
        <w:numPr>
          <w:ilvl w:val="0"/>
          <w:numId w:val="19"/>
        </w:numPr>
        <w:jc w:val="both"/>
        <w:rPr>
          <w:rFonts w:ascii="Arial" w:hAnsi="Arial" w:cs="Arial"/>
          <w:sz w:val="24"/>
          <w:szCs w:val="24"/>
        </w:rPr>
      </w:pPr>
      <w:r w:rsidRPr="008C3623">
        <w:rPr>
          <w:rFonts w:ascii="Arial" w:hAnsi="Arial" w:cs="Arial"/>
          <w:sz w:val="24"/>
          <w:szCs w:val="24"/>
        </w:rPr>
        <w:t>promovarea parteneriatelor  și a rețelelor  și spr</w:t>
      </w:r>
      <w:r w:rsidR="008C3623">
        <w:rPr>
          <w:rFonts w:ascii="Arial" w:hAnsi="Arial" w:cs="Arial"/>
          <w:sz w:val="24"/>
          <w:szCs w:val="24"/>
        </w:rPr>
        <w:t>ijinirea formării continue.</w:t>
      </w:r>
    </w:p>
    <w:p w:rsidR="00FB4004" w:rsidRPr="008C3623" w:rsidRDefault="00FB4004" w:rsidP="00E30301">
      <w:pPr>
        <w:spacing w:after="240" w:line="240" w:lineRule="auto"/>
        <w:jc w:val="both"/>
        <w:rPr>
          <w:rFonts w:ascii="Arial" w:hAnsi="Arial" w:cs="Arial"/>
          <w:sz w:val="24"/>
          <w:szCs w:val="24"/>
        </w:rPr>
      </w:pPr>
      <w:r w:rsidRPr="00FE749F">
        <w:rPr>
          <w:rFonts w:ascii="Arial" w:hAnsi="Arial" w:cs="Arial"/>
          <w:sz w:val="24"/>
          <w:szCs w:val="24"/>
        </w:rPr>
        <w:t>Pentru previzionarea nevoilor și cerințelor de competențe și abilități sunt preluate analize</w:t>
      </w:r>
      <w:r>
        <w:rPr>
          <w:rFonts w:ascii="Arial" w:hAnsi="Arial" w:cs="Arial"/>
          <w:sz w:val="24"/>
          <w:szCs w:val="24"/>
        </w:rPr>
        <w:t xml:space="preserve"> CEDEFOP (Skills forecast, 2012</w:t>
      </w:r>
      <w:r w:rsidRPr="00FE749F">
        <w:rPr>
          <w:rFonts w:ascii="Arial" w:hAnsi="Arial" w:cs="Arial"/>
          <w:sz w:val="24"/>
          <w:szCs w:val="24"/>
        </w:rPr>
        <w:t xml:space="preserve">), și sunt preluate și datele din Studiile INS, </w:t>
      </w:r>
      <w:r w:rsidRPr="00FE749F">
        <w:rPr>
          <w:rFonts w:ascii="Arial" w:hAnsi="Arial" w:cs="Arial"/>
          <w:sz w:val="24"/>
          <w:szCs w:val="24"/>
        </w:rPr>
        <w:lastRenderedPageBreak/>
        <w:t xml:space="preserve">proiecțiile și anuarul statistic al României, fără defalcare la nivel regional, județean și local. Având în vederea disparitățile, diferențele majore dintre regiuni, aceasta detaliere este necesară, pentru a surprinde specificul local. </w:t>
      </w:r>
    </w:p>
    <w:p w:rsidR="008C3623" w:rsidRDefault="00FB4004" w:rsidP="005E2E6D">
      <w:pPr>
        <w:widowControl w:val="0"/>
        <w:autoSpaceDE w:val="0"/>
        <w:autoSpaceDN w:val="0"/>
        <w:adjustRightInd w:val="0"/>
        <w:snapToGrid w:val="0"/>
        <w:spacing w:after="0" w:line="240" w:lineRule="auto"/>
        <w:jc w:val="both"/>
        <w:rPr>
          <w:rFonts w:ascii="Arial" w:hAnsi="Arial" w:cs="Arial"/>
          <w:b/>
          <w:sz w:val="24"/>
          <w:szCs w:val="24"/>
        </w:rPr>
      </w:pPr>
      <w:r>
        <w:rPr>
          <w:rFonts w:ascii="Arial" w:hAnsi="Arial" w:cs="Arial"/>
          <w:b/>
          <w:sz w:val="24"/>
          <w:szCs w:val="24"/>
        </w:rPr>
        <w:t xml:space="preserve">Judetul Timiș </w:t>
      </w:r>
    </w:p>
    <w:p w:rsidR="00F64E59" w:rsidRDefault="00FB4004" w:rsidP="005E2E6D">
      <w:pPr>
        <w:widowControl w:val="0"/>
        <w:autoSpaceDE w:val="0"/>
        <w:autoSpaceDN w:val="0"/>
        <w:adjustRightInd w:val="0"/>
        <w:snapToGrid w:val="0"/>
        <w:spacing w:after="0" w:line="240" w:lineRule="auto"/>
        <w:jc w:val="both"/>
        <w:rPr>
          <w:rStyle w:val="HTMLCite"/>
          <w:rFonts w:ascii="Arial" w:hAnsi="Arial" w:cs="Arial"/>
          <w:b/>
          <w:i w:val="0"/>
          <w:iCs w:val="0"/>
          <w:sz w:val="24"/>
          <w:szCs w:val="24"/>
        </w:rPr>
      </w:pPr>
      <w:r w:rsidRPr="00FE749F">
        <w:rPr>
          <w:rFonts w:ascii="Arial" w:hAnsi="Arial" w:cs="Arial"/>
          <w:sz w:val="24"/>
          <w:szCs w:val="24"/>
        </w:rPr>
        <w:t>Strategia şi Programul Strategic de dezvoltare economico socială a Județului Timiș pentru perioada 2015-2020/(2023)</w:t>
      </w:r>
      <w:r w:rsidRPr="00FE749F">
        <w:rPr>
          <w:rFonts w:ascii="Arial" w:hAnsi="Arial" w:cs="Arial"/>
          <w:b/>
          <w:sz w:val="24"/>
          <w:szCs w:val="24"/>
        </w:rPr>
        <w:t xml:space="preserve"> creionează direcțiile și obiectivele asumate de ju</w:t>
      </w:r>
      <w:r>
        <w:rPr>
          <w:rFonts w:ascii="Arial" w:hAnsi="Arial" w:cs="Arial"/>
          <w:b/>
          <w:sz w:val="24"/>
          <w:szCs w:val="24"/>
        </w:rPr>
        <w:t>d</w:t>
      </w:r>
      <w:r w:rsidRPr="00FE749F">
        <w:rPr>
          <w:rFonts w:ascii="Arial" w:hAnsi="Arial" w:cs="Arial"/>
          <w:b/>
          <w:sz w:val="24"/>
          <w:szCs w:val="24"/>
        </w:rPr>
        <w:t>eț pentru următorul ciclu de planificare</w:t>
      </w:r>
      <w:r w:rsidRPr="00F64E59">
        <w:rPr>
          <w:rFonts w:ascii="Arial" w:hAnsi="Arial" w:cs="Arial"/>
          <w:color w:val="00B0F0"/>
          <w:sz w:val="20"/>
          <w:szCs w:val="20"/>
        </w:rPr>
        <w:t xml:space="preserve">: </w:t>
      </w:r>
      <w:hyperlink r:id="rId16" w:history="1">
        <w:r w:rsidRPr="00F64E59">
          <w:rPr>
            <w:rStyle w:val="Hyperlink"/>
            <w:rFonts w:ascii="Arial" w:hAnsi="Arial" w:cs="Arial"/>
            <w:color w:val="00B0F0"/>
            <w:sz w:val="20"/>
            <w:szCs w:val="20"/>
          </w:rPr>
          <w:t>www.cjtimis.ro/judetul-timis/strategia-de-dezvoltare-a-jude.html</w:t>
        </w:r>
      </w:hyperlink>
    </w:p>
    <w:p w:rsidR="00FB4004" w:rsidRPr="00F64E59" w:rsidRDefault="00FB4004" w:rsidP="00F64E59">
      <w:pPr>
        <w:widowControl w:val="0"/>
        <w:autoSpaceDE w:val="0"/>
        <w:autoSpaceDN w:val="0"/>
        <w:adjustRightInd w:val="0"/>
        <w:snapToGrid w:val="0"/>
        <w:spacing w:after="0" w:line="240" w:lineRule="auto"/>
        <w:jc w:val="both"/>
        <w:rPr>
          <w:rFonts w:ascii="Arial" w:hAnsi="Arial" w:cs="Arial"/>
          <w:b/>
          <w:sz w:val="24"/>
          <w:szCs w:val="24"/>
        </w:rPr>
      </w:pPr>
      <w:r w:rsidRPr="00FE749F">
        <w:rPr>
          <w:rFonts w:ascii="Arial" w:hAnsi="Arial" w:cs="Arial"/>
          <w:sz w:val="24"/>
          <w:szCs w:val="24"/>
        </w:rPr>
        <w:t xml:space="preserve">Documentul este structurat pe </w:t>
      </w:r>
      <w:r w:rsidRPr="00FE749F">
        <w:rPr>
          <w:rFonts w:ascii="Arial" w:hAnsi="Arial" w:cs="Arial"/>
          <w:b/>
          <w:sz w:val="24"/>
          <w:szCs w:val="24"/>
        </w:rPr>
        <w:t>Obiective de dezvoltare</w:t>
      </w:r>
      <w:r w:rsidRPr="00FE749F">
        <w:rPr>
          <w:rFonts w:ascii="Arial" w:hAnsi="Arial" w:cs="Arial"/>
          <w:sz w:val="24"/>
          <w:szCs w:val="24"/>
        </w:rPr>
        <w:t xml:space="preserve"> definite pentru fiecare din cele </w:t>
      </w:r>
      <w:r w:rsidRPr="00FE749F">
        <w:rPr>
          <w:rFonts w:ascii="Arial" w:hAnsi="Arial" w:cs="Arial"/>
          <w:b/>
          <w:sz w:val="24"/>
          <w:szCs w:val="24"/>
        </w:rPr>
        <w:t>11 axe strategice</w:t>
      </w:r>
      <w:r w:rsidRPr="00FE749F">
        <w:rPr>
          <w:rFonts w:ascii="Arial" w:hAnsi="Arial" w:cs="Arial"/>
          <w:sz w:val="24"/>
          <w:szCs w:val="24"/>
        </w:rPr>
        <w:t xml:space="preserve">, iar </w:t>
      </w:r>
      <w:r w:rsidRPr="00FE749F">
        <w:rPr>
          <w:rFonts w:ascii="Arial" w:hAnsi="Arial" w:cs="Arial"/>
          <w:i/>
          <w:sz w:val="24"/>
          <w:szCs w:val="24"/>
        </w:rPr>
        <w:t>Educația</w:t>
      </w:r>
      <w:r w:rsidRPr="00FE749F">
        <w:rPr>
          <w:rFonts w:ascii="Arial" w:hAnsi="Arial" w:cs="Arial"/>
          <w:sz w:val="24"/>
          <w:szCs w:val="24"/>
        </w:rPr>
        <w:t xml:space="preserve"> și </w:t>
      </w:r>
      <w:r w:rsidRPr="00FE749F">
        <w:rPr>
          <w:rFonts w:ascii="Arial" w:hAnsi="Arial" w:cs="Arial"/>
          <w:i/>
          <w:sz w:val="24"/>
          <w:szCs w:val="24"/>
        </w:rPr>
        <w:t>Resursele Umane</w:t>
      </w:r>
      <w:r w:rsidRPr="00FE749F">
        <w:rPr>
          <w:rFonts w:ascii="Arial" w:hAnsi="Arial" w:cs="Arial"/>
          <w:sz w:val="24"/>
          <w:szCs w:val="24"/>
        </w:rPr>
        <w:t xml:space="preserve"> constituie o axă de si</w:t>
      </w:r>
      <w:r>
        <w:rPr>
          <w:rFonts w:ascii="Arial" w:hAnsi="Arial" w:cs="Arial"/>
          <w:sz w:val="24"/>
          <w:szCs w:val="24"/>
        </w:rPr>
        <w:t xml:space="preserve">ne stătătoare, prioritară, având drept Obiectiv de dezvoltare: </w:t>
      </w:r>
      <w:r w:rsidRPr="00CF7EF1">
        <w:rPr>
          <w:rFonts w:ascii="Arial" w:hAnsi="Arial" w:cs="Arial"/>
          <w:sz w:val="24"/>
          <w:szCs w:val="24"/>
        </w:rPr>
        <w:t>„</w:t>
      </w:r>
      <w:r w:rsidRPr="00CF7EF1">
        <w:rPr>
          <w:rFonts w:ascii="Arial" w:hAnsi="Arial" w:cs="Arial"/>
          <w:b/>
          <w:i/>
          <w:iCs/>
          <w:sz w:val="24"/>
          <w:szCs w:val="24"/>
        </w:rPr>
        <w:t>Crearea unor condiţii necesare dezvoltării capitalului uman in reproiectarea inovativă a produselor, serviciilor și tehnologiilor din toate domeniile vieții economico-sociale, în educaţia iniţială şi cea continuă, în strânsă corelare cu cerinţele pieţei muncii şi cu standardele europene„</w:t>
      </w:r>
    </w:p>
    <w:p w:rsidR="00FB4004" w:rsidRPr="00FE749F" w:rsidRDefault="00FB4004" w:rsidP="00F64E59">
      <w:pPr>
        <w:spacing w:after="0" w:line="240" w:lineRule="auto"/>
        <w:jc w:val="both"/>
        <w:rPr>
          <w:rFonts w:ascii="Arial" w:hAnsi="Arial" w:cs="Arial"/>
          <w:sz w:val="24"/>
          <w:szCs w:val="24"/>
        </w:rPr>
      </w:pPr>
      <w:r w:rsidRPr="00FE749F">
        <w:rPr>
          <w:rFonts w:ascii="Arial" w:hAnsi="Arial" w:cs="Arial"/>
          <w:b/>
          <w:sz w:val="24"/>
          <w:szCs w:val="24"/>
        </w:rPr>
        <w:t>Pentru Axa 3 – Educație și resurse umane</w:t>
      </w:r>
      <w:r w:rsidRPr="00FE749F">
        <w:rPr>
          <w:rFonts w:ascii="Arial" w:hAnsi="Arial" w:cs="Arial"/>
          <w:sz w:val="24"/>
          <w:szCs w:val="24"/>
        </w:rPr>
        <w:t xml:space="preserve"> sunt detaliate cinci Domnenii de intervenție, fiecare cu un set de măsuri concrete, și la nivel de domeniu de intervenție sunt identificare și instituțiile cu responsabilități și competențele aferente acestor aspirații. Aici sunt nominalizate: Consiliul Judeţean Timiş,</w:t>
      </w:r>
      <w:r w:rsidR="008C3623">
        <w:rPr>
          <w:rFonts w:ascii="Arial" w:hAnsi="Arial" w:cs="Arial"/>
          <w:sz w:val="24"/>
          <w:szCs w:val="24"/>
        </w:rPr>
        <w:t xml:space="preserve"> Administraţia publică locală, </w:t>
      </w:r>
      <w:r w:rsidRPr="00FE749F">
        <w:rPr>
          <w:rFonts w:ascii="Arial" w:hAnsi="Arial" w:cs="Arial"/>
          <w:sz w:val="24"/>
          <w:szCs w:val="24"/>
        </w:rPr>
        <w:t>Inspectoratul Şcolar al Judeţului Timiş,  Unităţi de învăţământ, Unităţi de formare profesională, Ministerul Muncii, Familiei şi Protecţiei Sociale, Agenţia Judeţeană de Ocupare a Forţei de Muncă Timiş, Mediul de afaceri, Agenţii de dezvoltare judeţeană/ regional.</w:t>
      </w:r>
    </w:p>
    <w:p w:rsidR="00FB4004" w:rsidRPr="008C3623" w:rsidRDefault="00FB4004" w:rsidP="000C6A67">
      <w:pPr>
        <w:spacing w:after="0" w:line="240" w:lineRule="auto"/>
        <w:jc w:val="both"/>
        <w:rPr>
          <w:rFonts w:ascii="Times New Roman" w:hAnsi="Times New Roman"/>
          <w:sz w:val="24"/>
          <w:szCs w:val="24"/>
        </w:rPr>
      </w:pPr>
      <w:r w:rsidRPr="007F4928">
        <w:rPr>
          <w:rFonts w:ascii="Times New Roman" w:hAnsi="Times New Roman"/>
          <w:sz w:val="24"/>
          <w:szCs w:val="24"/>
        </w:rPr>
        <w:t xml:space="preserve"> </w:t>
      </w:r>
      <w:r w:rsidRPr="00FE749F">
        <w:rPr>
          <w:rFonts w:ascii="Arial" w:hAnsi="Arial" w:cs="Arial"/>
          <w:b/>
          <w:sz w:val="24"/>
          <w:szCs w:val="24"/>
        </w:rPr>
        <w:t>Strateg</w:t>
      </w:r>
      <w:r>
        <w:rPr>
          <w:rFonts w:ascii="Arial" w:hAnsi="Arial" w:cs="Arial"/>
          <w:b/>
          <w:sz w:val="24"/>
          <w:szCs w:val="24"/>
        </w:rPr>
        <w:t>ia de Dezvoltare Integrală a Pol</w:t>
      </w:r>
      <w:r w:rsidRPr="00FE749F">
        <w:rPr>
          <w:rFonts w:ascii="Arial" w:hAnsi="Arial" w:cs="Arial"/>
          <w:b/>
          <w:sz w:val="24"/>
          <w:szCs w:val="24"/>
        </w:rPr>
        <w:t>ului de Creștere Timișoara 2015-2020 /Plan Integrat de Dezvoltare – Primăria Municipiului Timișoara</w:t>
      </w:r>
    </w:p>
    <w:p w:rsidR="00FB4004" w:rsidRPr="00F64E59" w:rsidRDefault="00DC3D41" w:rsidP="000C6A67">
      <w:pPr>
        <w:spacing w:after="0" w:line="240" w:lineRule="auto"/>
        <w:jc w:val="both"/>
        <w:rPr>
          <w:rFonts w:ascii="Arial" w:hAnsi="Arial" w:cs="Arial"/>
          <w:color w:val="0070C0"/>
          <w:sz w:val="20"/>
          <w:szCs w:val="20"/>
        </w:rPr>
      </w:pPr>
      <w:hyperlink r:id="rId17" w:history="1">
        <w:r w:rsidR="00FB4004" w:rsidRPr="00F64E59">
          <w:rPr>
            <w:rStyle w:val="Hyperlink"/>
            <w:rFonts w:ascii="Arial" w:hAnsi="Arial" w:cs="Arial"/>
            <w:color w:val="0070C0"/>
            <w:sz w:val="20"/>
            <w:szCs w:val="20"/>
          </w:rPr>
          <w:t>http://www.primariatm.ro/ik/index.php?meniuId=2&amp;viewCat=2686&amp;sectiune=primaria</w:t>
        </w:r>
      </w:hyperlink>
    </w:p>
    <w:p w:rsidR="00FB4004" w:rsidRPr="00FE749F" w:rsidRDefault="00FB4004" w:rsidP="000C6A67">
      <w:pPr>
        <w:spacing w:after="0" w:line="240" w:lineRule="auto"/>
        <w:jc w:val="both"/>
        <w:rPr>
          <w:rFonts w:ascii="Arial" w:hAnsi="Arial" w:cs="Arial"/>
          <w:sz w:val="24"/>
          <w:szCs w:val="24"/>
        </w:rPr>
      </w:pPr>
      <w:r w:rsidRPr="00FE749F">
        <w:rPr>
          <w:rFonts w:ascii="Arial" w:hAnsi="Arial" w:cs="Arial"/>
          <w:sz w:val="24"/>
          <w:szCs w:val="24"/>
        </w:rPr>
        <w:t xml:space="preserve">Versiunea finală a acestei strategii a fost publicată în 21.04.2016, cuprinde capitole de analiză, audit, identificare de probleme și soluții, precum și plan de acțiune cu portofolii de proiecte în anexă. </w:t>
      </w:r>
    </w:p>
    <w:p w:rsidR="00FB4004" w:rsidRPr="00FE749F" w:rsidRDefault="00FB4004" w:rsidP="000C6A67">
      <w:pPr>
        <w:spacing w:after="0" w:line="240" w:lineRule="auto"/>
        <w:jc w:val="both"/>
        <w:rPr>
          <w:rFonts w:ascii="Arial" w:hAnsi="Arial" w:cs="Arial"/>
          <w:sz w:val="24"/>
          <w:szCs w:val="24"/>
        </w:rPr>
      </w:pPr>
      <w:r w:rsidRPr="00FE749F">
        <w:rPr>
          <w:rFonts w:ascii="Arial" w:hAnsi="Arial" w:cs="Arial"/>
          <w:sz w:val="24"/>
          <w:szCs w:val="24"/>
        </w:rPr>
        <w:t xml:space="preserve">Capitolul 4.3 Nevoi, Probleme, Soluții abordează în mod distinct problematica </w:t>
      </w:r>
      <w:r w:rsidRPr="00FE749F">
        <w:rPr>
          <w:rFonts w:ascii="Arial" w:hAnsi="Arial" w:cs="Arial"/>
          <w:b/>
          <w:sz w:val="24"/>
          <w:szCs w:val="24"/>
        </w:rPr>
        <w:t>învățământ</w:t>
      </w:r>
      <w:r w:rsidRPr="00FE749F">
        <w:rPr>
          <w:rFonts w:ascii="Arial" w:hAnsi="Arial" w:cs="Arial"/>
          <w:sz w:val="24"/>
          <w:szCs w:val="24"/>
        </w:rPr>
        <w:t xml:space="preserve">, și concluzionează următoarea lista de probleme și soluții aferente, iar pentru unele din aceste soluții sunt prezentate și </w:t>
      </w:r>
      <w:r w:rsidRPr="00FE749F">
        <w:rPr>
          <w:rFonts w:ascii="Arial" w:hAnsi="Arial" w:cs="Arial"/>
          <w:b/>
          <w:sz w:val="24"/>
          <w:szCs w:val="24"/>
        </w:rPr>
        <w:t>proiecte concrete în portofoliul din anexă.</w:t>
      </w:r>
      <w:r w:rsidRPr="00FE749F">
        <w:rPr>
          <w:rFonts w:ascii="Arial" w:hAnsi="Arial" w:cs="Arial"/>
          <w:sz w:val="24"/>
          <w:szCs w:val="24"/>
        </w:rPr>
        <w:t xml:space="preserve"> </w:t>
      </w:r>
    </w:p>
    <w:p w:rsidR="00DD5F85" w:rsidRDefault="00DD5F85" w:rsidP="000C6A67">
      <w:pPr>
        <w:spacing w:after="0" w:line="240" w:lineRule="auto"/>
        <w:jc w:val="both"/>
        <w:rPr>
          <w:rFonts w:ascii="Arial" w:hAnsi="Arial" w:cs="Arial"/>
          <w:color w:val="000000" w:themeColor="text1"/>
          <w:sz w:val="24"/>
          <w:szCs w:val="24"/>
        </w:rPr>
      </w:pPr>
    </w:p>
    <w:p w:rsidR="00DD5F85" w:rsidRDefault="00DD5F85" w:rsidP="000C6A67">
      <w:pPr>
        <w:spacing w:after="0" w:line="240" w:lineRule="auto"/>
        <w:jc w:val="both"/>
        <w:rPr>
          <w:rFonts w:ascii="Arial" w:hAnsi="Arial" w:cs="Arial"/>
          <w:color w:val="000000" w:themeColor="text1"/>
          <w:sz w:val="24"/>
          <w:szCs w:val="24"/>
        </w:rPr>
      </w:pPr>
    </w:p>
    <w:p w:rsidR="00DD5F85" w:rsidRDefault="00DD5F85" w:rsidP="000C6A67">
      <w:pPr>
        <w:spacing w:after="0" w:line="240" w:lineRule="auto"/>
        <w:rPr>
          <w:rFonts w:ascii="Arial" w:hAnsi="Arial" w:cs="Arial"/>
          <w:color w:val="000000" w:themeColor="text1"/>
          <w:sz w:val="24"/>
          <w:szCs w:val="24"/>
        </w:rPr>
      </w:pPr>
    </w:p>
    <w:p w:rsidR="00727B0A" w:rsidRDefault="00727B0A" w:rsidP="000C6A67">
      <w:pPr>
        <w:spacing w:after="0" w:line="240" w:lineRule="auto"/>
        <w:rPr>
          <w:rFonts w:ascii="Arial" w:hAnsi="Arial" w:cs="Arial"/>
          <w:color w:val="000000" w:themeColor="text1"/>
          <w:sz w:val="24"/>
          <w:szCs w:val="24"/>
        </w:rPr>
      </w:pPr>
    </w:p>
    <w:p w:rsidR="00727B0A" w:rsidRDefault="00727B0A" w:rsidP="000C6A67">
      <w:pPr>
        <w:spacing w:after="0" w:line="240" w:lineRule="auto"/>
        <w:rPr>
          <w:rFonts w:ascii="Arial" w:hAnsi="Arial" w:cs="Arial"/>
          <w:color w:val="000000" w:themeColor="text1"/>
          <w:sz w:val="24"/>
          <w:szCs w:val="24"/>
        </w:rPr>
      </w:pPr>
    </w:p>
    <w:p w:rsidR="00727B0A" w:rsidRDefault="00727B0A" w:rsidP="000C6A67">
      <w:pPr>
        <w:spacing w:after="0" w:line="240" w:lineRule="auto"/>
        <w:rPr>
          <w:rFonts w:ascii="Arial" w:hAnsi="Arial" w:cs="Arial"/>
          <w:color w:val="000000" w:themeColor="text1"/>
          <w:sz w:val="24"/>
          <w:szCs w:val="24"/>
        </w:rPr>
      </w:pPr>
    </w:p>
    <w:p w:rsidR="008C3623" w:rsidRDefault="008C3623" w:rsidP="000C6A67">
      <w:pPr>
        <w:spacing w:after="0" w:line="240" w:lineRule="auto"/>
        <w:rPr>
          <w:rFonts w:ascii="Arial" w:hAnsi="Arial" w:cs="Arial"/>
          <w:color w:val="000000" w:themeColor="text1"/>
          <w:sz w:val="24"/>
          <w:szCs w:val="24"/>
        </w:rPr>
      </w:pPr>
    </w:p>
    <w:p w:rsidR="008C3623" w:rsidRDefault="008C3623" w:rsidP="000C6A67">
      <w:pPr>
        <w:spacing w:after="0" w:line="240" w:lineRule="auto"/>
        <w:rPr>
          <w:rFonts w:ascii="Arial" w:hAnsi="Arial" w:cs="Arial"/>
          <w:color w:val="000000" w:themeColor="text1"/>
          <w:sz w:val="24"/>
          <w:szCs w:val="24"/>
        </w:rPr>
      </w:pPr>
    </w:p>
    <w:p w:rsidR="00380D0F" w:rsidRDefault="00380D0F" w:rsidP="000C6A67">
      <w:pPr>
        <w:spacing w:after="0" w:line="240" w:lineRule="auto"/>
        <w:rPr>
          <w:rFonts w:ascii="Arial" w:hAnsi="Arial" w:cs="Arial"/>
          <w:color w:val="000000" w:themeColor="text1"/>
          <w:sz w:val="24"/>
          <w:szCs w:val="24"/>
        </w:rPr>
      </w:pPr>
    </w:p>
    <w:p w:rsidR="00380D0F" w:rsidRDefault="00380D0F" w:rsidP="000C6A67">
      <w:pPr>
        <w:spacing w:after="0" w:line="240" w:lineRule="auto"/>
        <w:rPr>
          <w:rFonts w:ascii="Arial" w:hAnsi="Arial" w:cs="Arial"/>
          <w:color w:val="000000" w:themeColor="text1"/>
          <w:sz w:val="24"/>
          <w:szCs w:val="24"/>
        </w:rPr>
      </w:pPr>
    </w:p>
    <w:p w:rsidR="00380D0F" w:rsidRDefault="00380D0F" w:rsidP="000C6A67">
      <w:pPr>
        <w:spacing w:after="0" w:line="240" w:lineRule="auto"/>
        <w:rPr>
          <w:rFonts w:ascii="Arial" w:hAnsi="Arial" w:cs="Arial"/>
          <w:color w:val="000000" w:themeColor="text1"/>
          <w:sz w:val="24"/>
          <w:szCs w:val="24"/>
        </w:rPr>
      </w:pPr>
    </w:p>
    <w:p w:rsidR="00380D0F" w:rsidRDefault="00380D0F" w:rsidP="000C6A67">
      <w:pPr>
        <w:spacing w:after="0" w:line="240" w:lineRule="auto"/>
        <w:rPr>
          <w:rFonts w:ascii="Arial" w:hAnsi="Arial" w:cs="Arial"/>
          <w:color w:val="000000" w:themeColor="text1"/>
          <w:sz w:val="24"/>
          <w:szCs w:val="24"/>
        </w:rPr>
      </w:pPr>
    </w:p>
    <w:p w:rsidR="00380D0F" w:rsidRDefault="00380D0F" w:rsidP="000C6A67">
      <w:pPr>
        <w:spacing w:after="0" w:line="240" w:lineRule="auto"/>
        <w:rPr>
          <w:rFonts w:ascii="Arial" w:hAnsi="Arial" w:cs="Arial"/>
          <w:color w:val="000000" w:themeColor="text1"/>
          <w:sz w:val="24"/>
          <w:szCs w:val="24"/>
        </w:rPr>
      </w:pPr>
    </w:p>
    <w:p w:rsidR="00380D0F" w:rsidRDefault="00380D0F" w:rsidP="000C6A67">
      <w:pPr>
        <w:spacing w:after="0" w:line="240" w:lineRule="auto"/>
        <w:rPr>
          <w:rFonts w:ascii="Arial" w:hAnsi="Arial" w:cs="Arial"/>
          <w:color w:val="000000" w:themeColor="text1"/>
          <w:sz w:val="24"/>
          <w:szCs w:val="24"/>
        </w:rPr>
      </w:pPr>
    </w:p>
    <w:p w:rsidR="00380D0F" w:rsidRDefault="00380D0F" w:rsidP="000C6A67">
      <w:pPr>
        <w:spacing w:after="0" w:line="240" w:lineRule="auto"/>
        <w:rPr>
          <w:rFonts w:ascii="Arial" w:hAnsi="Arial" w:cs="Arial"/>
          <w:color w:val="000000" w:themeColor="text1"/>
          <w:sz w:val="24"/>
          <w:szCs w:val="24"/>
        </w:rPr>
      </w:pPr>
    </w:p>
    <w:p w:rsidR="00380D0F" w:rsidRDefault="00380D0F" w:rsidP="000C6A67">
      <w:pPr>
        <w:spacing w:after="0" w:line="240" w:lineRule="auto"/>
        <w:rPr>
          <w:rFonts w:ascii="Arial" w:hAnsi="Arial" w:cs="Arial"/>
          <w:color w:val="000000" w:themeColor="text1"/>
          <w:sz w:val="24"/>
          <w:szCs w:val="24"/>
        </w:rPr>
      </w:pPr>
    </w:p>
    <w:p w:rsidR="00A604C1" w:rsidRDefault="00A604C1" w:rsidP="000C6A67">
      <w:pPr>
        <w:spacing w:after="0" w:line="240" w:lineRule="auto"/>
        <w:rPr>
          <w:rFonts w:ascii="Arial" w:hAnsi="Arial" w:cs="Arial"/>
          <w:color w:val="000000" w:themeColor="text1"/>
          <w:sz w:val="24"/>
          <w:szCs w:val="24"/>
        </w:rPr>
      </w:pPr>
    </w:p>
    <w:p w:rsidR="00A604C1" w:rsidRDefault="00A604C1" w:rsidP="000C6A67">
      <w:pPr>
        <w:spacing w:after="0" w:line="240" w:lineRule="auto"/>
        <w:rPr>
          <w:rFonts w:ascii="Arial" w:hAnsi="Arial" w:cs="Arial"/>
          <w:color w:val="000000" w:themeColor="text1"/>
          <w:sz w:val="24"/>
          <w:szCs w:val="24"/>
        </w:rPr>
      </w:pPr>
    </w:p>
    <w:p w:rsidR="00727B0A" w:rsidRPr="00DD5F85" w:rsidRDefault="00727B0A" w:rsidP="000C6A67">
      <w:pPr>
        <w:spacing w:after="0" w:line="240" w:lineRule="auto"/>
        <w:rPr>
          <w:rFonts w:ascii="Arial" w:hAnsi="Arial" w:cs="Arial"/>
          <w:color w:val="000000" w:themeColor="text1"/>
          <w:sz w:val="24"/>
          <w:szCs w:val="24"/>
        </w:rPr>
      </w:pPr>
    </w:p>
    <w:p w:rsidR="00F2266B" w:rsidRPr="00DD5F85" w:rsidRDefault="001A346C" w:rsidP="000C6A67">
      <w:pPr>
        <w:pStyle w:val="Heading1"/>
        <w:spacing w:before="0" w:line="240" w:lineRule="auto"/>
        <w:jc w:val="center"/>
        <w:rPr>
          <w:rFonts w:ascii="Arial" w:hAnsi="Arial" w:cs="Arial"/>
          <w:color w:val="000000" w:themeColor="text1"/>
        </w:rPr>
      </w:pPr>
      <w:bookmarkStart w:id="9" w:name="_Toc465489973"/>
      <w:bookmarkStart w:id="10" w:name="_Toc488066009"/>
      <w:r w:rsidRPr="00DD5F85">
        <w:rPr>
          <w:rFonts w:ascii="Arial" w:hAnsi="Arial" w:cs="Arial"/>
          <w:color w:val="000000" w:themeColor="text1"/>
        </w:rPr>
        <w:lastRenderedPageBreak/>
        <w:t>3</w:t>
      </w:r>
      <w:r w:rsidR="00F2266B" w:rsidRPr="00DD5F85">
        <w:rPr>
          <w:rFonts w:ascii="Arial" w:hAnsi="Arial" w:cs="Arial"/>
          <w:color w:val="000000" w:themeColor="text1"/>
        </w:rPr>
        <w:t>. Aspecte demografice</w:t>
      </w:r>
      <w:bookmarkEnd w:id="9"/>
      <w:bookmarkEnd w:id="10"/>
    </w:p>
    <w:p w:rsidR="00F2266B" w:rsidRPr="00DD5F85" w:rsidRDefault="00F2266B" w:rsidP="000C6A67">
      <w:pPr>
        <w:spacing w:after="0" w:line="240" w:lineRule="auto"/>
        <w:jc w:val="both"/>
        <w:rPr>
          <w:rFonts w:ascii="Arial" w:hAnsi="Arial" w:cs="Arial"/>
          <w:color w:val="000000" w:themeColor="text1"/>
          <w:sz w:val="28"/>
          <w:szCs w:val="28"/>
        </w:rPr>
      </w:pPr>
    </w:p>
    <w:p w:rsidR="00F2266B" w:rsidRPr="008E0724" w:rsidRDefault="001A346C" w:rsidP="000C6A67">
      <w:pPr>
        <w:pStyle w:val="Heading2"/>
        <w:spacing w:before="0" w:line="240" w:lineRule="auto"/>
        <w:jc w:val="both"/>
        <w:rPr>
          <w:rFonts w:ascii="Arial" w:hAnsi="Arial" w:cs="Arial"/>
          <w:color w:val="000000" w:themeColor="text1"/>
          <w:sz w:val="24"/>
          <w:szCs w:val="24"/>
        </w:rPr>
      </w:pPr>
      <w:bookmarkStart w:id="11" w:name="_Toc465489974"/>
      <w:bookmarkStart w:id="12" w:name="_Toc488066010"/>
      <w:r w:rsidRPr="008E0724">
        <w:rPr>
          <w:rFonts w:ascii="Arial" w:hAnsi="Arial" w:cs="Arial"/>
          <w:color w:val="000000" w:themeColor="text1"/>
          <w:sz w:val="24"/>
          <w:szCs w:val="24"/>
        </w:rPr>
        <w:t>3</w:t>
      </w:r>
      <w:r w:rsidR="00F2266B" w:rsidRPr="008E0724">
        <w:rPr>
          <w:rFonts w:ascii="Arial" w:hAnsi="Arial" w:cs="Arial"/>
          <w:color w:val="000000" w:themeColor="text1"/>
          <w:sz w:val="24"/>
          <w:szCs w:val="24"/>
        </w:rPr>
        <w:t>.1. Evoluţii şi situaţia actuală</w:t>
      </w:r>
      <w:bookmarkEnd w:id="11"/>
      <w:r w:rsidR="00673F52" w:rsidRPr="008E0724">
        <w:rPr>
          <w:rStyle w:val="FootnoteReference"/>
          <w:rFonts w:ascii="Arial" w:hAnsi="Arial" w:cs="Arial"/>
          <w:color w:val="000000" w:themeColor="text1"/>
          <w:sz w:val="24"/>
          <w:szCs w:val="24"/>
        </w:rPr>
        <w:footnoteReference w:id="26"/>
      </w:r>
      <w:bookmarkEnd w:id="12"/>
    </w:p>
    <w:p w:rsidR="00FB4004" w:rsidRPr="00F74A1E" w:rsidRDefault="001A346C" w:rsidP="00380D0F">
      <w:pPr>
        <w:pStyle w:val="Heading3"/>
        <w:spacing w:before="0" w:line="240" w:lineRule="auto"/>
        <w:jc w:val="both"/>
        <w:rPr>
          <w:rFonts w:ascii="Arial" w:hAnsi="Arial" w:cs="Arial"/>
          <w:b w:val="0"/>
          <w:bCs w:val="0"/>
          <w:i/>
          <w:sz w:val="24"/>
          <w:szCs w:val="24"/>
        </w:rPr>
      </w:pPr>
      <w:bookmarkStart w:id="13" w:name="_Toc465489975"/>
      <w:bookmarkStart w:id="14" w:name="_Toc488066011"/>
      <w:r w:rsidRPr="00F74A1E">
        <w:rPr>
          <w:rFonts w:ascii="Arial" w:hAnsi="Arial" w:cs="Arial"/>
          <w:b w:val="0"/>
          <w:i/>
          <w:color w:val="000000" w:themeColor="text1"/>
          <w:sz w:val="24"/>
          <w:szCs w:val="24"/>
        </w:rPr>
        <w:t>3</w:t>
      </w:r>
      <w:r w:rsidR="00F2266B" w:rsidRPr="00F74A1E">
        <w:rPr>
          <w:rFonts w:ascii="Arial" w:hAnsi="Arial" w:cs="Arial"/>
          <w:b w:val="0"/>
          <w:i/>
          <w:color w:val="000000" w:themeColor="text1"/>
          <w:sz w:val="24"/>
          <w:szCs w:val="24"/>
        </w:rPr>
        <w:t>.1.1. Statistica recensământului populaţiei 2011</w:t>
      </w:r>
      <w:bookmarkEnd w:id="13"/>
      <w:bookmarkEnd w:id="14"/>
    </w:p>
    <w:p w:rsidR="00FB4004" w:rsidRDefault="00FB4004" w:rsidP="00380D0F">
      <w:pPr>
        <w:spacing w:after="0" w:line="240" w:lineRule="auto"/>
        <w:jc w:val="both"/>
        <w:rPr>
          <w:rFonts w:ascii="Arial" w:hAnsi="Arial" w:cs="Arial"/>
          <w:sz w:val="24"/>
          <w:szCs w:val="24"/>
          <w:lang w:eastAsia="ro-RO"/>
        </w:rPr>
      </w:pPr>
      <w:r w:rsidRPr="00EE3305">
        <w:rPr>
          <w:rFonts w:ascii="Arial" w:hAnsi="Arial" w:cs="Arial"/>
          <w:bCs/>
          <w:sz w:val="24"/>
          <w:szCs w:val="24"/>
        </w:rPr>
        <w:t xml:space="preserve">În conformitate cu datele recensământului populației din 2011, și datele publicate în Anuarul Statistic 2013, populația </w:t>
      </w:r>
      <w:r w:rsidRPr="00EE3305">
        <w:rPr>
          <w:rFonts w:ascii="Arial" w:hAnsi="Arial" w:cs="Arial"/>
          <w:b/>
          <w:bCs/>
          <w:sz w:val="24"/>
          <w:szCs w:val="24"/>
        </w:rPr>
        <w:t xml:space="preserve">Regiunii Vest, </w:t>
      </w:r>
      <w:r w:rsidRPr="00EE3305">
        <w:rPr>
          <w:rFonts w:ascii="Arial" w:hAnsi="Arial" w:cs="Arial"/>
          <w:b/>
          <w:sz w:val="24"/>
          <w:szCs w:val="24"/>
        </w:rPr>
        <w:t>cu 1.828.313</w:t>
      </w:r>
      <w:r w:rsidRPr="00EE3305">
        <w:rPr>
          <w:rFonts w:ascii="Arial" w:hAnsi="Arial" w:cs="Arial"/>
          <w:sz w:val="24"/>
          <w:szCs w:val="24"/>
        </w:rPr>
        <w:t xml:space="preserve"> de locuitori înregistrați reprezintă 9% din populația României (20.121.641 locuitori), cu o distribuție neuniformă între județele regiunii: județul Arad cu 430.629 locuitori, Caraș Severin cu 295.579 locuitori, Hunedoara cu 418.565 locuitori și județul Timiș cu 683.540 de locuitori.</w:t>
      </w:r>
      <w:r w:rsidRPr="00EE3305">
        <w:rPr>
          <w:rFonts w:ascii="Arial" w:hAnsi="Arial" w:cs="Arial"/>
          <w:sz w:val="24"/>
          <w:szCs w:val="24"/>
          <w:lang w:eastAsia="ro-RO"/>
        </w:rPr>
        <w:t xml:space="preserve"> </w:t>
      </w:r>
    </w:p>
    <w:p w:rsidR="00E62A2A" w:rsidRPr="00584026" w:rsidRDefault="00E62A2A" w:rsidP="00E62A2A">
      <w:pPr>
        <w:spacing w:after="0" w:line="240" w:lineRule="auto"/>
        <w:jc w:val="center"/>
        <w:rPr>
          <w:rFonts w:ascii="Arial" w:hAnsi="Arial" w:cs="Arial"/>
          <w:color w:val="000000" w:themeColor="text1"/>
        </w:rPr>
      </w:pPr>
      <w:r w:rsidRPr="00584026">
        <w:rPr>
          <w:rFonts w:ascii="Arial" w:hAnsi="Arial" w:cs="Arial"/>
          <w:color w:val="000000" w:themeColor="text1"/>
        </w:rPr>
        <w:t xml:space="preserve">Figura </w:t>
      </w:r>
      <w:r>
        <w:rPr>
          <w:rFonts w:ascii="Arial" w:hAnsi="Arial" w:cs="Arial"/>
          <w:color w:val="000000" w:themeColor="text1"/>
        </w:rPr>
        <w:t>2</w:t>
      </w:r>
      <w:r w:rsidRPr="00584026">
        <w:rPr>
          <w:rFonts w:ascii="Arial" w:hAnsi="Arial" w:cs="Arial"/>
          <w:color w:val="000000" w:themeColor="text1"/>
        </w:rPr>
        <w:t>.</w:t>
      </w:r>
    </w:p>
    <w:p w:rsidR="00E62A2A" w:rsidRPr="00F74A1E" w:rsidRDefault="00E62A2A" w:rsidP="00E62A2A">
      <w:pPr>
        <w:spacing w:after="0" w:line="240" w:lineRule="auto"/>
        <w:jc w:val="center"/>
        <w:rPr>
          <w:rFonts w:ascii="Arial" w:hAnsi="Arial" w:cs="Arial"/>
          <w:color w:val="000000" w:themeColor="text1"/>
          <w:sz w:val="24"/>
          <w:szCs w:val="24"/>
        </w:rPr>
      </w:pPr>
      <w:r w:rsidRPr="00C717DE">
        <w:rPr>
          <w:noProof/>
          <w:bdr w:val="single" w:sz="18" w:space="0" w:color="002060"/>
          <w:lang w:val="en-US"/>
        </w:rPr>
        <w:drawing>
          <wp:inline distT="0" distB="0" distL="0" distR="0">
            <wp:extent cx="5372100" cy="2305050"/>
            <wp:effectExtent l="19050" t="0" r="19050" b="0"/>
            <wp:docPr id="7"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E62A2A" w:rsidRDefault="00E62A2A" w:rsidP="00E62A2A">
      <w:pPr>
        <w:spacing w:after="0" w:line="240" w:lineRule="auto"/>
        <w:jc w:val="center"/>
        <w:rPr>
          <w:rFonts w:ascii="Arial" w:hAnsi="Arial" w:cs="Arial"/>
          <w:color w:val="000000" w:themeColor="text1"/>
        </w:rPr>
      </w:pPr>
      <w:r w:rsidRPr="009F6C33">
        <w:rPr>
          <w:rFonts w:ascii="Arial" w:hAnsi="Arial" w:cs="Arial"/>
          <w:color w:val="000000" w:themeColor="text1"/>
        </w:rPr>
        <w:t>Sursa: Sursa: INS , Baza de tate TEMPO</w:t>
      </w:r>
    </w:p>
    <w:p w:rsidR="00E62A2A" w:rsidRPr="009F6C33" w:rsidRDefault="00E62A2A" w:rsidP="00E62A2A">
      <w:pPr>
        <w:spacing w:after="0" w:line="240" w:lineRule="auto"/>
        <w:jc w:val="center"/>
        <w:rPr>
          <w:rFonts w:ascii="Arial" w:hAnsi="Arial" w:cs="Arial"/>
          <w:color w:val="000000" w:themeColor="text1"/>
        </w:rPr>
      </w:pPr>
    </w:p>
    <w:p w:rsidR="00E62A2A" w:rsidRPr="00E62A2A" w:rsidRDefault="00E62A2A" w:rsidP="00E62A2A">
      <w:pPr>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Evoluția populației în perioada 2008-2015 arată în ultimii doi ani depășirea valorilor din 2008 în fiecare județ al regiunii, cu disparitățile tradiționale dintre județe în ceea ce privește numărul total al locuitorilor, care se păstrează. </w:t>
      </w:r>
    </w:p>
    <w:p w:rsidR="00FB4004" w:rsidRPr="00EE3305" w:rsidRDefault="00FB4004" w:rsidP="00E62A2A">
      <w:pPr>
        <w:spacing w:after="0" w:line="240" w:lineRule="auto"/>
        <w:jc w:val="both"/>
        <w:rPr>
          <w:rFonts w:ascii="Arial" w:hAnsi="Arial" w:cs="Arial"/>
          <w:sz w:val="24"/>
          <w:szCs w:val="24"/>
          <w:lang w:eastAsia="ro-RO"/>
        </w:rPr>
      </w:pPr>
      <w:r w:rsidRPr="00EE3305">
        <w:rPr>
          <w:rFonts w:ascii="Arial" w:hAnsi="Arial" w:cs="Arial"/>
          <w:sz w:val="24"/>
          <w:szCs w:val="24"/>
          <w:lang w:eastAsia="ro-RO"/>
        </w:rPr>
        <w:t>Din analiza datelor statistice se observă disparități în rândul populației pe grupe de vârstă. Populația tânără (0-14 ani) reprezintă 14,5% din total, iar populația adultă (15-64 ani) reprezintă 70,1% din total. In cadrul populației adulte ponderea cea mai mare o reprezintă populația din grupa de vârstă 30-64 de ani 50,59%,  în timp ce tinerii cu vârste cuprinse între 15-19 ani și 20-24 ani înregistrează ponderi de 5,51% respectiv 7,39%. Ponderea populației vârstnice (peste 65 ani) reprezintă 15,40% din totalul populației.</w:t>
      </w:r>
    </w:p>
    <w:p w:rsidR="00FB4004" w:rsidRPr="00EE3305" w:rsidRDefault="00FB4004" w:rsidP="00F74A1E">
      <w:pPr>
        <w:spacing w:after="0" w:line="240" w:lineRule="auto"/>
        <w:jc w:val="both"/>
        <w:rPr>
          <w:rFonts w:ascii="Arial" w:hAnsi="Arial" w:cs="Arial"/>
          <w:sz w:val="24"/>
          <w:szCs w:val="24"/>
        </w:rPr>
      </w:pPr>
      <w:r w:rsidRPr="00EE3305">
        <w:rPr>
          <w:rFonts w:ascii="Arial" w:hAnsi="Arial" w:cs="Arial"/>
          <w:bCs/>
          <w:sz w:val="24"/>
          <w:szCs w:val="24"/>
        </w:rPr>
        <w:t>Distribuția pe grupe de vârstă</w:t>
      </w:r>
      <w:r w:rsidRPr="00EE3305">
        <w:rPr>
          <w:rFonts w:ascii="Arial" w:hAnsi="Arial" w:cs="Arial"/>
          <w:sz w:val="24"/>
          <w:szCs w:val="24"/>
        </w:rPr>
        <w:t xml:space="preserve"> este similară între județe, și similară cu ponderile înregistrate la nivel național. </w:t>
      </w:r>
    </w:p>
    <w:p w:rsidR="00FB4004" w:rsidRPr="00EE3305" w:rsidRDefault="00FB4004" w:rsidP="00F74A1E">
      <w:pPr>
        <w:spacing w:after="0" w:line="240" w:lineRule="auto"/>
        <w:jc w:val="both"/>
        <w:rPr>
          <w:rFonts w:ascii="Arial" w:hAnsi="Arial" w:cs="Arial"/>
          <w:sz w:val="24"/>
          <w:szCs w:val="24"/>
        </w:rPr>
      </w:pPr>
      <w:r w:rsidRPr="00EE3305">
        <w:rPr>
          <w:rFonts w:ascii="Arial" w:hAnsi="Arial" w:cs="Arial"/>
          <w:sz w:val="24"/>
          <w:szCs w:val="24"/>
        </w:rPr>
        <w:t>La nivelul Regiunii Vest, se observă o diferență mare între populația care trăiește în mediul urban 1.135.415 locuitori (62,10%) și cea din mediul rural, ce însumează 692.898 locuitori (37,90 %.). Decalajul dintre cele două</w:t>
      </w:r>
      <w:r>
        <w:rPr>
          <w:rFonts w:ascii="Arial" w:hAnsi="Arial" w:cs="Arial"/>
          <w:sz w:val="24"/>
          <w:szCs w:val="24"/>
        </w:rPr>
        <w:t xml:space="preserve"> medii rezidente este de 24,2 puncte procentuale</w:t>
      </w:r>
      <w:r w:rsidRPr="00EE3305">
        <w:rPr>
          <w:rFonts w:ascii="Arial" w:hAnsi="Arial" w:cs="Arial"/>
          <w:sz w:val="24"/>
          <w:szCs w:val="24"/>
        </w:rPr>
        <w:t>. În ceea ce privește gradul de urbanizare a regiunii, acesta se plasează peste media națională (53,97%) pentru fiecare dintre județele regiunii, județul Hunedoara (</w:t>
      </w:r>
      <w:r>
        <w:rPr>
          <w:rFonts w:ascii="Arial" w:hAnsi="Arial" w:cs="Arial"/>
          <w:sz w:val="24"/>
          <w:szCs w:val="24"/>
        </w:rPr>
        <w:t xml:space="preserve">cu </w:t>
      </w:r>
      <w:r w:rsidRPr="00EE3305">
        <w:rPr>
          <w:rFonts w:ascii="Arial" w:hAnsi="Arial" w:cs="Arial"/>
          <w:sz w:val="24"/>
          <w:szCs w:val="24"/>
        </w:rPr>
        <w:t>75%)</w:t>
      </w:r>
      <w:r>
        <w:rPr>
          <w:rFonts w:ascii="Arial" w:hAnsi="Arial" w:cs="Arial"/>
          <w:sz w:val="24"/>
          <w:szCs w:val="24"/>
        </w:rPr>
        <w:t xml:space="preserve"> fiind</w:t>
      </w:r>
      <w:r w:rsidRPr="00EE3305">
        <w:rPr>
          <w:rFonts w:ascii="Arial" w:hAnsi="Arial" w:cs="Arial"/>
          <w:sz w:val="24"/>
          <w:szCs w:val="24"/>
        </w:rPr>
        <w:t xml:space="preserve"> unul dintre cele mai urbanizate județe din țară. </w:t>
      </w:r>
    </w:p>
    <w:p w:rsidR="00FB4004" w:rsidRPr="00EE3305" w:rsidRDefault="00FB4004" w:rsidP="000C6A67">
      <w:pPr>
        <w:spacing w:after="0" w:line="240" w:lineRule="auto"/>
        <w:jc w:val="both"/>
        <w:rPr>
          <w:rFonts w:ascii="Arial" w:hAnsi="Arial" w:cs="Arial"/>
          <w:color w:val="000000"/>
          <w:sz w:val="24"/>
          <w:szCs w:val="24"/>
        </w:rPr>
      </w:pPr>
      <w:r w:rsidRPr="00EE3305">
        <w:rPr>
          <w:rFonts w:ascii="Arial" w:hAnsi="Arial" w:cs="Arial"/>
          <w:color w:val="000000"/>
          <w:sz w:val="24"/>
          <w:szCs w:val="24"/>
        </w:rPr>
        <w:t xml:space="preserve">Distribuția  pe sexe pune în evidență, la nivel regional, </w:t>
      </w:r>
      <w:r w:rsidR="009F6C33">
        <w:rPr>
          <w:rFonts w:ascii="Arial" w:hAnsi="Arial" w:cs="Arial"/>
          <w:color w:val="000000"/>
          <w:sz w:val="24"/>
          <w:szCs w:val="24"/>
        </w:rPr>
        <w:t xml:space="preserve">un decalaj în favoarea persoanelor </w:t>
      </w:r>
      <w:r w:rsidRPr="00EE3305">
        <w:rPr>
          <w:rFonts w:ascii="Arial" w:hAnsi="Arial" w:cs="Arial"/>
          <w:color w:val="000000"/>
          <w:sz w:val="24"/>
          <w:szCs w:val="24"/>
        </w:rPr>
        <w:t>de sex feminin 51,62% față de  48,38% persoa</w:t>
      </w:r>
      <w:r w:rsidRPr="00EE3305">
        <w:rPr>
          <w:rFonts w:ascii="Arial" w:hAnsi="Arial" w:cs="Arial"/>
          <w:color w:val="000000"/>
          <w:sz w:val="24"/>
          <w:szCs w:val="24"/>
        </w:rPr>
        <w:softHyphen/>
        <w:t xml:space="preserve">nele de sex masculin. </w:t>
      </w:r>
      <w:r>
        <w:rPr>
          <w:rFonts w:ascii="Arial" w:hAnsi="Arial" w:cs="Arial"/>
          <w:color w:val="000000"/>
          <w:sz w:val="24"/>
          <w:szCs w:val="24"/>
        </w:rPr>
        <w:t xml:space="preserve">In mediul urban ponderile sunt </w:t>
      </w:r>
      <w:r w:rsidRPr="00EE3305">
        <w:rPr>
          <w:rFonts w:ascii="Arial" w:hAnsi="Arial" w:cs="Arial"/>
          <w:color w:val="000000"/>
          <w:sz w:val="24"/>
          <w:szCs w:val="24"/>
        </w:rPr>
        <w:t xml:space="preserve">52,12% </w:t>
      </w:r>
      <w:r>
        <w:rPr>
          <w:rFonts w:ascii="Arial" w:hAnsi="Arial" w:cs="Arial"/>
          <w:color w:val="000000"/>
          <w:sz w:val="24"/>
          <w:szCs w:val="24"/>
        </w:rPr>
        <w:t xml:space="preserve"> față de  </w:t>
      </w:r>
      <w:r w:rsidRPr="00EE3305">
        <w:rPr>
          <w:rFonts w:ascii="Arial" w:hAnsi="Arial" w:cs="Arial"/>
          <w:color w:val="000000"/>
          <w:sz w:val="24"/>
          <w:szCs w:val="24"/>
        </w:rPr>
        <w:t>47,76%</w:t>
      </w:r>
      <w:r>
        <w:rPr>
          <w:rFonts w:ascii="Arial" w:hAnsi="Arial" w:cs="Arial"/>
          <w:color w:val="000000"/>
          <w:sz w:val="24"/>
          <w:szCs w:val="24"/>
        </w:rPr>
        <w:t>;</w:t>
      </w:r>
      <w:r w:rsidR="009F6C33">
        <w:rPr>
          <w:rFonts w:ascii="Arial" w:hAnsi="Arial" w:cs="Arial"/>
          <w:color w:val="000000"/>
          <w:sz w:val="24"/>
          <w:szCs w:val="24"/>
        </w:rPr>
        <w:t xml:space="preserve"> </w:t>
      </w:r>
      <w:r>
        <w:rPr>
          <w:rFonts w:ascii="Arial" w:hAnsi="Arial" w:cs="Arial"/>
          <w:color w:val="000000"/>
          <w:sz w:val="24"/>
          <w:szCs w:val="24"/>
        </w:rPr>
        <w:t xml:space="preserve">în </w:t>
      </w:r>
      <w:r w:rsidRPr="00EE3305">
        <w:rPr>
          <w:rFonts w:ascii="Arial" w:hAnsi="Arial" w:cs="Arial"/>
          <w:color w:val="000000"/>
          <w:sz w:val="24"/>
          <w:szCs w:val="24"/>
        </w:rPr>
        <w:t xml:space="preserve">mediul rural, 50,80%  </w:t>
      </w:r>
      <w:r>
        <w:rPr>
          <w:rFonts w:ascii="Arial" w:hAnsi="Arial" w:cs="Arial"/>
          <w:color w:val="000000"/>
          <w:sz w:val="24"/>
          <w:szCs w:val="24"/>
        </w:rPr>
        <w:t xml:space="preserve">față de </w:t>
      </w:r>
      <w:r w:rsidRPr="00EE3305">
        <w:rPr>
          <w:rFonts w:ascii="Arial" w:hAnsi="Arial" w:cs="Arial"/>
          <w:color w:val="000000"/>
          <w:sz w:val="24"/>
          <w:szCs w:val="24"/>
        </w:rPr>
        <w:t xml:space="preserve">49,20%. </w:t>
      </w:r>
      <w:r>
        <w:rPr>
          <w:rFonts w:ascii="Arial" w:hAnsi="Arial" w:cs="Arial"/>
          <w:color w:val="000000"/>
          <w:sz w:val="24"/>
          <w:szCs w:val="24"/>
        </w:rPr>
        <w:t>Valorile pentru</w:t>
      </w:r>
      <w:r w:rsidRPr="00EE3305">
        <w:rPr>
          <w:rFonts w:ascii="Arial" w:hAnsi="Arial" w:cs="Arial"/>
          <w:color w:val="000000"/>
          <w:sz w:val="24"/>
          <w:szCs w:val="24"/>
        </w:rPr>
        <w:t xml:space="preserve"> nivel național</w:t>
      </w:r>
      <w:r>
        <w:rPr>
          <w:rFonts w:ascii="Arial" w:hAnsi="Arial" w:cs="Arial"/>
          <w:color w:val="000000"/>
          <w:sz w:val="24"/>
          <w:szCs w:val="24"/>
        </w:rPr>
        <w:t xml:space="preserve"> sunt </w:t>
      </w:r>
      <w:r w:rsidRPr="00EE3305">
        <w:rPr>
          <w:rFonts w:ascii="Arial" w:hAnsi="Arial" w:cs="Arial"/>
          <w:color w:val="000000"/>
          <w:sz w:val="24"/>
          <w:szCs w:val="24"/>
        </w:rPr>
        <w:t xml:space="preserve">de </w:t>
      </w:r>
      <w:r w:rsidRPr="00EE3305">
        <w:rPr>
          <w:rFonts w:ascii="Arial" w:eastAsia="Times New Roman" w:hAnsi="Arial" w:cs="Arial"/>
          <w:sz w:val="24"/>
          <w:szCs w:val="24"/>
          <w:lang w:val="en-US"/>
        </w:rPr>
        <w:t>51,35%</w:t>
      </w:r>
      <w:r w:rsidRPr="00EE3305">
        <w:rPr>
          <w:rFonts w:ascii="Arial" w:hAnsi="Arial" w:cs="Arial"/>
          <w:color w:val="000000"/>
          <w:sz w:val="24"/>
          <w:szCs w:val="24"/>
        </w:rPr>
        <w:t xml:space="preserve"> </w:t>
      </w:r>
      <w:r>
        <w:rPr>
          <w:rFonts w:ascii="Arial" w:hAnsi="Arial" w:cs="Arial"/>
          <w:color w:val="000000"/>
          <w:sz w:val="24"/>
          <w:szCs w:val="24"/>
        </w:rPr>
        <w:t xml:space="preserve">pentru </w:t>
      </w:r>
      <w:r w:rsidRPr="00EE3305">
        <w:rPr>
          <w:rFonts w:ascii="Arial" w:hAnsi="Arial" w:cs="Arial"/>
          <w:color w:val="000000"/>
          <w:sz w:val="24"/>
          <w:szCs w:val="24"/>
        </w:rPr>
        <w:t xml:space="preserve"> ponderea populației feminine </w:t>
      </w:r>
      <w:r>
        <w:rPr>
          <w:rFonts w:ascii="Arial" w:hAnsi="Arial" w:cs="Arial"/>
          <w:color w:val="000000"/>
          <w:sz w:val="24"/>
          <w:szCs w:val="24"/>
        </w:rPr>
        <w:t>și</w:t>
      </w:r>
      <w:r w:rsidRPr="00EE3305">
        <w:rPr>
          <w:rFonts w:ascii="Arial" w:hAnsi="Arial" w:cs="Arial"/>
          <w:color w:val="000000"/>
          <w:sz w:val="24"/>
          <w:szCs w:val="24"/>
        </w:rPr>
        <w:t xml:space="preserve"> </w:t>
      </w:r>
      <w:r w:rsidRPr="00EE3305">
        <w:rPr>
          <w:rFonts w:ascii="Arial" w:eastAsia="Times New Roman" w:hAnsi="Arial" w:cs="Arial"/>
          <w:sz w:val="24"/>
          <w:szCs w:val="24"/>
          <w:lang w:val="en-US"/>
        </w:rPr>
        <w:t>48,65%</w:t>
      </w:r>
      <w:r w:rsidRPr="00EE3305">
        <w:rPr>
          <w:rFonts w:ascii="Arial" w:hAnsi="Arial" w:cs="Arial"/>
          <w:color w:val="000000"/>
          <w:sz w:val="24"/>
          <w:szCs w:val="24"/>
        </w:rPr>
        <w:t xml:space="preserve"> </w:t>
      </w:r>
      <w:r>
        <w:rPr>
          <w:rFonts w:ascii="Arial" w:hAnsi="Arial" w:cs="Arial"/>
          <w:color w:val="000000"/>
          <w:sz w:val="24"/>
          <w:szCs w:val="24"/>
        </w:rPr>
        <w:t xml:space="preserve">pentru </w:t>
      </w:r>
      <w:r w:rsidRPr="00EE3305">
        <w:rPr>
          <w:rFonts w:ascii="Arial" w:hAnsi="Arial" w:cs="Arial"/>
          <w:color w:val="000000"/>
          <w:sz w:val="24"/>
          <w:szCs w:val="24"/>
        </w:rPr>
        <w:t>persoa</w:t>
      </w:r>
      <w:r w:rsidRPr="00EE3305">
        <w:rPr>
          <w:rFonts w:ascii="Arial" w:hAnsi="Arial" w:cs="Arial"/>
          <w:color w:val="000000"/>
          <w:sz w:val="24"/>
          <w:szCs w:val="24"/>
        </w:rPr>
        <w:softHyphen/>
        <w:t>nele de sex masculin</w:t>
      </w:r>
      <w:r w:rsidR="00C717DE">
        <w:rPr>
          <w:rFonts w:ascii="Arial" w:hAnsi="Arial" w:cs="Arial"/>
          <w:color w:val="000000"/>
          <w:sz w:val="24"/>
          <w:szCs w:val="24"/>
        </w:rPr>
        <w:t>.</w:t>
      </w:r>
    </w:p>
    <w:p w:rsidR="00FB4004" w:rsidRPr="00EE3305" w:rsidRDefault="00F74A1E" w:rsidP="000C6A67">
      <w:pPr>
        <w:spacing w:after="0" w:line="240" w:lineRule="auto"/>
        <w:jc w:val="both"/>
        <w:rPr>
          <w:rFonts w:ascii="Arial" w:hAnsi="Arial" w:cs="Arial"/>
          <w:i/>
          <w:sz w:val="24"/>
          <w:szCs w:val="24"/>
        </w:rPr>
      </w:pPr>
      <w:r>
        <w:rPr>
          <w:rFonts w:ascii="Arial" w:hAnsi="Arial" w:cs="Arial"/>
          <w:i/>
          <w:sz w:val="24"/>
          <w:szCs w:val="24"/>
        </w:rPr>
        <w:lastRenderedPageBreak/>
        <w:t>3.1.1.a</w:t>
      </w:r>
      <w:r w:rsidR="00E1343F">
        <w:rPr>
          <w:rFonts w:ascii="Arial" w:hAnsi="Arial" w:cs="Arial"/>
          <w:i/>
          <w:sz w:val="24"/>
          <w:szCs w:val="24"/>
        </w:rPr>
        <w:t>.</w:t>
      </w:r>
      <w:r>
        <w:rPr>
          <w:rFonts w:ascii="Arial" w:hAnsi="Arial" w:cs="Arial"/>
          <w:i/>
          <w:sz w:val="24"/>
          <w:szCs w:val="24"/>
        </w:rPr>
        <w:t xml:space="preserve"> </w:t>
      </w:r>
      <w:r w:rsidR="00FB4004" w:rsidRPr="00EE3305">
        <w:rPr>
          <w:rFonts w:ascii="Arial" w:hAnsi="Arial" w:cs="Arial"/>
          <w:i/>
          <w:sz w:val="24"/>
          <w:szCs w:val="24"/>
        </w:rPr>
        <w:t xml:space="preserve">Populatia pe grupe de vârstă și etnie </w:t>
      </w:r>
    </w:p>
    <w:p w:rsidR="00FB4004" w:rsidRPr="00EE3305" w:rsidRDefault="00FB4004" w:rsidP="000C6A67">
      <w:pPr>
        <w:autoSpaceDE w:val="0"/>
        <w:autoSpaceDN w:val="0"/>
        <w:adjustRightInd w:val="0"/>
        <w:spacing w:after="0" w:line="240" w:lineRule="auto"/>
        <w:jc w:val="both"/>
        <w:rPr>
          <w:rFonts w:ascii="Arial" w:hAnsi="Arial" w:cs="Arial"/>
          <w:sz w:val="24"/>
          <w:szCs w:val="24"/>
          <w:lang w:val="en-US"/>
        </w:rPr>
      </w:pPr>
      <w:r w:rsidRPr="00EE3305">
        <w:rPr>
          <w:rFonts w:ascii="Arial" w:hAnsi="Arial" w:cs="Arial"/>
          <w:sz w:val="24"/>
          <w:szCs w:val="24"/>
          <w:lang w:val="en-US"/>
        </w:rPr>
        <w:t xml:space="preserve">La nivel național, populația din grupa (0 - 4 ani) deţine o pondere de 5,19% din totalul populaţiei, grupa (5 – 9 ani) reprezintă 5,24%, grupa de vârstă (10 - 14 ani) reprezintă (5,41%), persoanele din grupa de vârstă (15-19 ani) reprezintă 5,50% iar persoanele cu vârsta cuprinsă între 20 – 24 de ani reprezintă 6,79% din total. </w:t>
      </w:r>
    </w:p>
    <w:p w:rsidR="00FB4004" w:rsidRPr="00EE3305" w:rsidRDefault="00FB4004" w:rsidP="000C6A67">
      <w:pPr>
        <w:autoSpaceDE w:val="0"/>
        <w:autoSpaceDN w:val="0"/>
        <w:adjustRightInd w:val="0"/>
        <w:spacing w:after="0" w:line="240" w:lineRule="auto"/>
        <w:jc w:val="both"/>
        <w:rPr>
          <w:rFonts w:ascii="Arial" w:hAnsi="Arial" w:cs="Arial"/>
          <w:sz w:val="24"/>
          <w:szCs w:val="24"/>
          <w:lang w:val="en-US"/>
        </w:rPr>
      </w:pPr>
      <w:r w:rsidRPr="00EE3305">
        <w:rPr>
          <w:rFonts w:ascii="Arial" w:hAnsi="Arial" w:cs="Arial"/>
          <w:sz w:val="24"/>
          <w:szCs w:val="24"/>
        </w:rPr>
        <w:t>Toate etniile sunt reprezentate proporțional pentru fiecare grupă de vârstă; numărul acestora justifică constituirea de clase  sau școli cu limba de predare a etniei  respective.</w:t>
      </w:r>
    </w:p>
    <w:p w:rsidR="00FB4004" w:rsidRPr="00EE3305" w:rsidRDefault="00F74A1E" w:rsidP="000C6A67">
      <w:pPr>
        <w:spacing w:after="0" w:line="240" w:lineRule="auto"/>
        <w:jc w:val="both"/>
        <w:rPr>
          <w:rFonts w:ascii="Arial" w:hAnsi="Arial" w:cs="Arial"/>
          <w:sz w:val="24"/>
          <w:szCs w:val="24"/>
        </w:rPr>
      </w:pPr>
      <w:r>
        <w:rPr>
          <w:rFonts w:ascii="Arial" w:hAnsi="Arial" w:cs="Arial"/>
          <w:i/>
          <w:sz w:val="24"/>
          <w:szCs w:val="24"/>
        </w:rPr>
        <w:t>3.1.1.b</w:t>
      </w:r>
      <w:r w:rsidR="00E1343F">
        <w:rPr>
          <w:rFonts w:ascii="Arial" w:hAnsi="Arial" w:cs="Arial"/>
          <w:i/>
          <w:sz w:val="24"/>
          <w:szCs w:val="24"/>
        </w:rPr>
        <w:t>.</w:t>
      </w:r>
      <w:r>
        <w:rPr>
          <w:rFonts w:ascii="Arial" w:hAnsi="Arial" w:cs="Arial"/>
          <w:i/>
          <w:sz w:val="24"/>
          <w:szCs w:val="24"/>
        </w:rPr>
        <w:t xml:space="preserve"> </w:t>
      </w:r>
      <w:r w:rsidR="00FB4004" w:rsidRPr="00EE3305">
        <w:rPr>
          <w:rFonts w:ascii="Arial" w:hAnsi="Arial" w:cs="Arial"/>
          <w:i/>
          <w:sz w:val="24"/>
          <w:szCs w:val="24"/>
        </w:rPr>
        <w:t>Popula</w:t>
      </w:r>
      <w:r w:rsidR="00FB4004">
        <w:rPr>
          <w:rFonts w:ascii="Arial" w:hAnsi="Arial" w:cs="Arial"/>
          <w:i/>
          <w:sz w:val="24"/>
          <w:szCs w:val="24"/>
        </w:rPr>
        <w:t>ția de 10 ani ș</w:t>
      </w:r>
      <w:r w:rsidR="00FB4004" w:rsidRPr="00EE3305">
        <w:rPr>
          <w:rFonts w:ascii="Arial" w:hAnsi="Arial" w:cs="Arial"/>
          <w:i/>
          <w:sz w:val="24"/>
          <w:szCs w:val="24"/>
        </w:rPr>
        <w:t xml:space="preserve">i peste, </w:t>
      </w:r>
      <w:r w:rsidR="00FB4004">
        <w:rPr>
          <w:rFonts w:ascii="Arial" w:hAnsi="Arial" w:cs="Arial"/>
          <w:i/>
          <w:sz w:val="24"/>
          <w:szCs w:val="24"/>
        </w:rPr>
        <w:t>după etnie și nivelul de educație al instituției de învățămâ</w:t>
      </w:r>
      <w:r w:rsidR="00FB4004" w:rsidRPr="00EE3305">
        <w:rPr>
          <w:rFonts w:ascii="Arial" w:hAnsi="Arial" w:cs="Arial"/>
          <w:i/>
          <w:sz w:val="24"/>
          <w:szCs w:val="24"/>
        </w:rPr>
        <w:t xml:space="preserve">nt absolvite </w:t>
      </w:r>
    </w:p>
    <w:p w:rsidR="00D60DAD" w:rsidRDefault="00FB4004" w:rsidP="00727B0A">
      <w:pPr>
        <w:spacing w:after="0" w:line="240" w:lineRule="auto"/>
        <w:jc w:val="both"/>
        <w:rPr>
          <w:rFonts w:ascii="Arial" w:hAnsi="Arial" w:cs="Arial"/>
          <w:sz w:val="24"/>
          <w:szCs w:val="24"/>
          <w:lang w:val="en-US"/>
        </w:rPr>
      </w:pPr>
      <w:r w:rsidRPr="00EE3305">
        <w:rPr>
          <w:rFonts w:ascii="Arial" w:hAnsi="Arial" w:cs="Arial"/>
          <w:sz w:val="24"/>
          <w:szCs w:val="24"/>
          <w:lang w:val="en-US"/>
        </w:rPr>
        <w:t>La nivel național, din totalul</w:t>
      </w:r>
      <w:r w:rsidR="00D60DAD">
        <w:rPr>
          <w:rFonts w:ascii="Arial" w:hAnsi="Arial" w:cs="Arial"/>
          <w:sz w:val="24"/>
          <w:szCs w:val="24"/>
          <w:lang w:val="en-US"/>
        </w:rPr>
        <w:t xml:space="preserve"> populaţiei de 10 ani şi peste:</w:t>
      </w:r>
      <w:r w:rsidRPr="00EE3305">
        <w:rPr>
          <w:rFonts w:ascii="Arial" w:hAnsi="Arial" w:cs="Arial"/>
          <w:sz w:val="24"/>
          <w:szCs w:val="24"/>
          <w:lang w:val="en-US"/>
        </w:rPr>
        <w:t>14,4% au nivel superior de educație, 3,2% studii postliceale și de maiștri, 65,3% nivel secundar (gimnazial, liceal și profesional), 14,2% p</w:t>
      </w:r>
      <w:r w:rsidR="00D60DAD">
        <w:rPr>
          <w:rFonts w:ascii="Arial" w:hAnsi="Arial" w:cs="Arial"/>
          <w:sz w:val="24"/>
          <w:szCs w:val="24"/>
          <w:lang w:val="en-US"/>
        </w:rPr>
        <w:t>rimar</w:t>
      </w:r>
      <w:r w:rsidRPr="00EE3305">
        <w:rPr>
          <w:rFonts w:ascii="Arial" w:hAnsi="Arial" w:cs="Arial"/>
          <w:sz w:val="24"/>
          <w:szCs w:val="24"/>
          <w:lang w:val="en-US"/>
        </w:rPr>
        <w:t xml:space="preserve"> </w:t>
      </w:r>
      <w:r w:rsidR="00727B0A">
        <w:rPr>
          <w:rFonts w:ascii="Arial" w:hAnsi="Arial" w:cs="Arial"/>
          <w:sz w:val="24"/>
          <w:szCs w:val="24"/>
        </w:rPr>
        <w:t xml:space="preserve">și </w:t>
      </w:r>
      <w:r w:rsidRPr="00EE3305">
        <w:rPr>
          <w:rFonts w:ascii="Arial" w:hAnsi="Arial" w:cs="Arial"/>
          <w:sz w:val="24"/>
          <w:szCs w:val="24"/>
          <w:lang w:val="en-US"/>
        </w:rPr>
        <w:t xml:space="preserve">3% fără școală absolvită, din care 1,4% sunt persoane analfabete. </w:t>
      </w:r>
    </w:p>
    <w:p w:rsidR="00FB4004" w:rsidRPr="00EE3305" w:rsidRDefault="00FB4004" w:rsidP="000C6A67">
      <w:pPr>
        <w:spacing w:after="0" w:line="240" w:lineRule="auto"/>
        <w:jc w:val="both"/>
        <w:rPr>
          <w:rFonts w:ascii="Arial" w:hAnsi="Arial" w:cs="Arial"/>
          <w:sz w:val="24"/>
          <w:szCs w:val="24"/>
        </w:rPr>
      </w:pPr>
      <w:r w:rsidRPr="00EE3305">
        <w:rPr>
          <w:rFonts w:ascii="Arial" w:hAnsi="Arial" w:cs="Arial"/>
          <w:sz w:val="24"/>
          <w:szCs w:val="24"/>
          <w:lang w:val="en-US"/>
        </w:rPr>
        <w:t>Conform datelor analizate</w:t>
      </w:r>
      <w:r w:rsidR="005B3B58">
        <w:rPr>
          <w:rFonts w:ascii="Arial" w:hAnsi="Arial" w:cs="Arial"/>
          <w:sz w:val="24"/>
          <w:szCs w:val="24"/>
          <w:lang w:val="en-US"/>
        </w:rPr>
        <w:t xml:space="preserve">, </w:t>
      </w:r>
      <w:r w:rsidRPr="00EE3305">
        <w:rPr>
          <w:rFonts w:ascii="Arial" w:hAnsi="Arial" w:cs="Arial"/>
          <w:sz w:val="24"/>
          <w:szCs w:val="24"/>
          <w:lang w:val="en-US"/>
        </w:rPr>
        <w:t>numărul romilor fără șco</w:t>
      </w:r>
      <w:r w:rsidR="00D60DAD">
        <w:rPr>
          <w:rFonts w:ascii="Arial" w:hAnsi="Arial" w:cs="Arial"/>
          <w:sz w:val="24"/>
          <w:szCs w:val="24"/>
          <w:lang w:val="en-US"/>
        </w:rPr>
        <w:t>ală absolvită este de 96.511, (</w:t>
      </w:r>
      <w:r w:rsidRPr="00EE3305">
        <w:rPr>
          <w:rFonts w:ascii="Arial" w:hAnsi="Arial" w:cs="Arial"/>
          <w:sz w:val="24"/>
          <w:szCs w:val="24"/>
          <w:lang w:val="en-US"/>
        </w:rPr>
        <w:t xml:space="preserve">20,2%) din care un număr de 67.480 (14,1%) sunt persoane analfabete. </w:t>
      </w:r>
    </w:p>
    <w:p w:rsidR="00FB4004" w:rsidRPr="00EE3305" w:rsidRDefault="00FB4004" w:rsidP="000C6A67">
      <w:pPr>
        <w:spacing w:after="0" w:line="240" w:lineRule="auto"/>
        <w:jc w:val="both"/>
        <w:rPr>
          <w:rFonts w:ascii="Arial" w:hAnsi="Arial" w:cs="Arial"/>
          <w:color w:val="FF0000"/>
          <w:sz w:val="24"/>
          <w:szCs w:val="24"/>
        </w:rPr>
      </w:pPr>
    </w:p>
    <w:p w:rsidR="00FB4004" w:rsidRPr="00424677" w:rsidRDefault="00C717DE" w:rsidP="000C6A67">
      <w:pPr>
        <w:spacing w:after="0" w:line="240" w:lineRule="auto"/>
        <w:jc w:val="center"/>
        <w:rPr>
          <w:rFonts w:ascii="Arial" w:hAnsi="Arial" w:cs="Arial"/>
        </w:rPr>
      </w:pPr>
      <w:r w:rsidRPr="00424677">
        <w:rPr>
          <w:rFonts w:ascii="Arial" w:hAnsi="Arial" w:cs="Arial"/>
        </w:rPr>
        <w:t xml:space="preserve">Figura </w:t>
      </w:r>
      <w:r w:rsidR="002E42E6">
        <w:rPr>
          <w:rFonts w:ascii="Arial" w:hAnsi="Arial" w:cs="Arial"/>
        </w:rPr>
        <w:t>3</w:t>
      </w:r>
      <w:r w:rsidR="00FB4004" w:rsidRPr="00424677">
        <w:rPr>
          <w:rFonts w:ascii="Arial" w:hAnsi="Arial" w:cs="Arial"/>
        </w:rPr>
        <w:t>.</w:t>
      </w:r>
    </w:p>
    <w:p w:rsidR="00FB4004" w:rsidRPr="00EE3305" w:rsidRDefault="00FB4004" w:rsidP="000C6A67">
      <w:pPr>
        <w:spacing w:after="0" w:line="240" w:lineRule="auto"/>
        <w:jc w:val="both"/>
        <w:rPr>
          <w:rFonts w:ascii="Arial" w:hAnsi="Arial" w:cs="Arial"/>
          <w:sz w:val="24"/>
          <w:szCs w:val="24"/>
        </w:rPr>
      </w:pPr>
      <w:r w:rsidRPr="00EE3305">
        <w:rPr>
          <w:rFonts w:ascii="Arial" w:hAnsi="Arial" w:cs="Arial"/>
          <w:noProof/>
          <w:sz w:val="24"/>
          <w:szCs w:val="24"/>
          <w:lang w:val="en-US"/>
        </w:rPr>
        <w:drawing>
          <wp:inline distT="0" distB="0" distL="0" distR="0">
            <wp:extent cx="5943600" cy="2733675"/>
            <wp:effectExtent l="0" t="0" r="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FB4004" w:rsidRPr="00F74A1E" w:rsidRDefault="00FB4004" w:rsidP="000C6A67">
      <w:pPr>
        <w:spacing w:after="0" w:line="240" w:lineRule="auto"/>
        <w:jc w:val="center"/>
        <w:rPr>
          <w:rFonts w:ascii="Arial" w:eastAsia="Times New Roman" w:hAnsi="Arial" w:cs="Arial"/>
          <w:lang w:val="en-US"/>
        </w:rPr>
      </w:pPr>
      <w:r w:rsidRPr="00F74A1E">
        <w:rPr>
          <w:rFonts w:ascii="Arial" w:eastAsia="Times New Roman" w:hAnsi="Arial" w:cs="Arial"/>
          <w:lang w:val="en-US"/>
        </w:rPr>
        <w:t>Sursa datelor: INS Statistica Recensământului populaţiei 2011</w:t>
      </w:r>
    </w:p>
    <w:p w:rsidR="00FB4004" w:rsidRPr="00EE3305" w:rsidRDefault="00FB4004" w:rsidP="000C6A67">
      <w:pPr>
        <w:spacing w:after="0" w:line="240" w:lineRule="auto"/>
        <w:jc w:val="both"/>
        <w:rPr>
          <w:rFonts w:ascii="Arial" w:eastAsia="Times New Roman" w:hAnsi="Arial" w:cs="Arial"/>
          <w:sz w:val="24"/>
          <w:szCs w:val="24"/>
          <w:lang w:val="en-US"/>
        </w:rPr>
      </w:pPr>
    </w:p>
    <w:p w:rsidR="00FB4004" w:rsidRPr="00EE3305" w:rsidRDefault="00FB4004" w:rsidP="000C6A67">
      <w:pPr>
        <w:spacing w:after="0" w:line="240" w:lineRule="auto"/>
        <w:jc w:val="both"/>
        <w:rPr>
          <w:rFonts w:ascii="Arial" w:hAnsi="Arial" w:cs="Arial"/>
          <w:sz w:val="24"/>
          <w:szCs w:val="24"/>
        </w:rPr>
      </w:pPr>
      <w:r w:rsidRPr="00EE3305">
        <w:rPr>
          <w:rFonts w:ascii="Arial" w:hAnsi="Arial" w:cs="Arial"/>
          <w:sz w:val="24"/>
          <w:szCs w:val="24"/>
        </w:rPr>
        <w:t xml:space="preserve">Cu privire la nivelul de educație  putem observa că județul Timiș înregistrează valori comparabile cu cele de la nivel național pentru ponderea populației de etnie romă fără școală aboslvită ( 20,3%) sau  persoane analfabete ( cu 15,2%), însă pentru celelalte județe aceste valori sunt vizibil mai bune decât media națională. </w:t>
      </w:r>
    </w:p>
    <w:p w:rsidR="000D7C65" w:rsidRPr="00DD5F85" w:rsidRDefault="000D7C65" w:rsidP="000C6A67">
      <w:pPr>
        <w:spacing w:after="0" w:line="240" w:lineRule="auto"/>
        <w:jc w:val="both"/>
        <w:rPr>
          <w:rFonts w:ascii="Arial" w:hAnsi="Arial" w:cs="Arial"/>
          <w:color w:val="000000" w:themeColor="text1"/>
          <w:sz w:val="24"/>
          <w:szCs w:val="24"/>
        </w:rPr>
      </w:pPr>
    </w:p>
    <w:p w:rsidR="000D7C65" w:rsidRPr="00F74A1E" w:rsidRDefault="001A346C" w:rsidP="000C6A67">
      <w:pPr>
        <w:pStyle w:val="Heading3"/>
        <w:spacing w:before="0" w:line="240" w:lineRule="auto"/>
        <w:jc w:val="both"/>
        <w:rPr>
          <w:rFonts w:ascii="Arial" w:hAnsi="Arial" w:cs="Arial"/>
          <w:b w:val="0"/>
          <w:i/>
          <w:color w:val="000000" w:themeColor="text1"/>
          <w:sz w:val="24"/>
          <w:szCs w:val="24"/>
        </w:rPr>
      </w:pPr>
      <w:bookmarkStart w:id="15" w:name="_Toc465489976"/>
      <w:bookmarkStart w:id="16" w:name="_Toc488066012"/>
      <w:r w:rsidRPr="00F74A1E">
        <w:rPr>
          <w:rFonts w:ascii="Arial" w:hAnsi="Arial" w:cs="Arial"/>
          <w:b w:val="0"/>
          <w:i/>
          <w:color w:val="000000" w:themeColor="text1"/>
          <w:sz w:val="24"/>
          <w:szCs w:val="24"/>
        </w:rPr>
        <w:t>3</w:t>
      </w:r>
      <w:r w:rsidR="00F2266B" w:rsidRPr="00F74A1E">
        <w:rPr>
          <w:rFonts w:ascii="Arial" w:hAnsi="Arial" w:cs="Arial"/>
          <w:b w:val="0"/>
          <w:i/>
          <w:color w:val="000000" w:themeColor="text1"/>
          <w:sz w:val="24"/>
          <w:szCs w:val="24"/>
        </w:rPr>
        <w:t>.1.2. Structura pe grupe de vârstă</w:t>
      </w:r>
      <w:bookmarkEnd w:id="15"/>
      <w:bookmarkEnd w:id="16"/>
    </w:p>
    <w:p w:rsidR="00FB4004" w:rsidRPr="00EE3305" w:rsidRDefault="00FB4004" w:rsidP="000C6A67">
      <w:pPr>
        <w:pStyle w:val="ListParagraph"/>
        <w:ind w:left="0"/>
        <w:jc w:val="both"/>
        <w:rPr>
          <w:rFonts w:ascii="Arial" w:hAnsi="Arial" w:cs="Arial"/>
          <w:i/>
          <w:color w:val="FF0000"/>
          <w:sz w:val="24"/>
          <w:szCs w:val="24"/>
        </w:rPr>
      </w:pPr>
      <w:r w:rsidRPr="00EE3305">
        <w:rPr>
          <w:rFonts w:ascii="Arial" w:hAnsi="Arial" w:cs="Arial"/>
          <w:sz w:val="24"/>
          <w:szCs w:val="24"/>
        </w:rPr>
        <w:t>In perioada 2008-2015 la nivelul regiunii avem o creștere a p</w:t>
      </w:r>
      <w:r w:rsidR="009F6C33">
        <w:rPr>
          <w:rFonts w:ascii="Arial" w:hAnsi="Arial" w:cs="Arial"/>
          <w:sz w:val="24"/>
          <w:szCs w:val="24"/>
        </w:rPr>
        <w:t>opulației cu 91.049 persoane (4,</w:t>
      </w:r>
      <w:r w:rsidRPr="00EE3305">
        <w:rPr>
          <w:rFonts w:ascii="Arial" w:hAnsi="Arial" w:cs="Arial"/>
          <w:sz w:val="24"/>
          <w:szCs w:val="24"/>
        </w:rPr>
        <w:t>73%). Pentru g</w:t>
      </w:r>
      <w:r w:rsidR="009F6C33">
        <w:rPr>
          <w:rFonts w:ascii="Arial" w:hAnsi="Arial" w:cs="Arial"/>
          <w:sz w:val="24"/>
          <w:szCs w:val="24"/>
        </w:rPr>
        <w:t xml:space="preserve">rupele de vârstă 15-19 ani și </w:t>
      </w:r>
      <w:r w:rsidRPr="00EE3305">
        <w:rPr>
          <w:rFonts w:ascii="Arial" w:hAnsi="Arial" w:cs="Arial"/>
          <w:sz w:val="24"/>
          <w:szCs w:val="24"/>
        </w:rPr>
        <w:t>20-24 ani se înregistrează o semnificativă și îngrijorătoare scădere a populației, cu 31.213 persoane (-23,82%) respectiv  cu 2.696 persoane (-25,99%)</w:t>
      </w:r>
      <w:r w:rsidR="009142A1">
        <w:rPr>
          <w:rFonts w:ascii="Arial" w:hAnsi="Arial" w:cs="Arial"/>
          <w:sz w:val="24"/>
          <w:szCs w:val="24"/>
        </w:rPr>
        <w:t>.</w:t>
      </w:r>
    </w:p>
    <w:p w:rsidR="00FB4004" w:rsidRPr="00EE3305" w:rsidRDefault="00FB4004" w:rsidP="000C6A67">
      <w:pPr>
        <w:spacing w:after="0" w:line="240" w:lineRule="auto"/>
        <w:jc w:val="both"/>
        <w:rPr>
          <w:rFonts w:ascii="Arial" w:hAnsi="Arial" w:cs="Arial"/>
          <w:sz w:val="24"/>
          <w:szCs w:val="24"/>
        </w:rPr>
      </w:pPr>
      <w:r w:rsidRPr="00EE3305">
        <w:rPr>
          <w:rFonts w:ascii="Arial" w:hAnsi="Arial" w:cs="Arial"/>
          <w:sz w:val="24"/>
          <w:szCs w:val="24"/>
        </w:rPr>
        <w:t>Creșterea populației aferentă grupelor de vârsta 25-29 de ani (cu 16.061 persoane) respectiv 30-64 de ani ( cu 107.323 persoane), poate fi corelată cu șanse de ocupare crescute la nivelul regiunii, care atrag  populația activă ( o creștere de peste 11%)</w:t>
      </w:r>
      <w:r w:rsidR="009142A1">
        <w:rPr>
          <w:rFonts w:ascii="Arial" w:hAnsi="Arial" w:cs="Arial"/>
          <w:sz w:val="24"/>
          <w:szCs w:val="24"/>
        </w:rPr>
        <w:t>.</w:t>
      </w:r>
      <w:r w:rsidRPr="00EE3305">
        <w:rPr>
          <w:rFonts w:ascii="Arial" w:hAnsi="Arial" w:cs="Arial"/>
          <w:sz w:val="24"/>
          <w:szCs w:val="24"/>
        </w:rPr>
        <w:t xml:space="preserve"> </w:t>
      </w:r>
    </w:p>
    <w:p w:rsidR="00FB4004" w:rsidRPr="00C717DE" w:rsidRDefault="00FB4004" w:rsidP="000C6A67">
      <w:pPr>
        <w:spacing w:after="0" w:line="240" w:lineRule="auto"/>
        <w:jc w:val="both"/>
        <w:rPr>
          <w:rFonts w:ascii="Arial" w:hAnsi="Arial" w:cs="Arial"/>
          <w:sz w:val="24"/>
          <w:szCs w:val="24"/>
        </w:rPr>
      </w:pPr>
      <w:r w:rsidRPr="00EE3305">
        <w:rPr>
          <w:rFonts w:ascii="Arial" w:hAnsi="Arial" w:cs="Arial"/>
          <w:sz w:val="24"/>
          <w:szCs w:val="24"/>
        </w:rPr>
        <w:t>Creșterea populației în grupa de vârstă de peste 65 de ani, cu 13, 67%, față de media națională de 7,85% este o dovadă a procesului accentuat de îmbătrânire în regiune, mai ales în județul Timiș (cu 19,68%).</w:t>
      </w:r>
    </w:p>
    <w:p w:rsidR="00F2266B" w:rsidRPr="000D7C65" w:rsidRDefault="001A346C" w:rsidP="000C6A67">
      <w:pPr>
        <w:pStyle w:val="Heading3"/>
        <w:spacing w:before="0" w:line="240" w:lineRule="auto"/>
        <w:jc w:val="both"/>
        <w:rPr>
          <w:rFonts w:ascii="Arial" w:hAnsi="Arial" w:cs="Arial"/>
          <w:b w:val="0"/>
          <w:color w:val="000000" w:themeColor="text1"/>
          <w:sz w:val="24"/>
          <w:szCs w:val="24"/>
        </w:rPr>
      </w:pPr>
      <w:r w:rsidRPr="00DD5F85">
        <w:rPr>
          <w:rFonts w:ascii="Arial" w:hAnsi="Arial" w:cs="Arial"/>
          <w:b w:val="0"/>
          <w:i/>
          <w:color w:val="000000" w:themeColor="text1"/>
          <w:sz w:val="24"/>
          <w:szCs w:val="24"/>
        </w:rPr>
        <w:lastRenderedPageBreak/>
        <w:t xml:space="preserve">   </w:t>
      </w:r>
      <w:r w:rsidR="00F2266B" w:rsidRPr="00DD5F85">
        <w:rPr>
          <w:rFonts w:ascii="Arial" w:hAnsi="Arial" w:cs="Arial"/>
          <w:b w:val="0"/>
          <w:i/>
          <w:color w:val="000000" w:themeColor="text1"/>
          <w:sz w:val="24"/>
          <w:szCs w:val="24"/>
        </w:rPr>
        <w:t xml:space="preserve">    </w:t>
      </w:r>
    </w:p>
    <w:p w:rsidR="00FB4004" w:rsidRPr="00F74A1E" w:rsidRDefault="001A346C" w:rsidP="000C6A67">
      <w:pPr>
        <w:pStyle w:val="Heading3"/>
        <w:spacing w:before="0" w:line="240" w:lineRule="auto"/>
        <w:jc w:val="both"/>
        <w:rPr>
          <w:rFonts w:ascii="Arial" w:hAnsi="Arial" w:cs="Arial"/>
          <w:b w:val="0"/>
          <w:i/>
          <w:color w:val="000000" w:themeColor="text1"/>
          <w:sz w:val="24"/>
          <w:szCs w:val="24"/>
        </w:rPr>
      </w:pPr>
      <w:bookmarkStart w:id="17" w:name="_Toc465489977"/>
      <w:bookmarkStart w:id="18" w:name="_Toc488066013"/>
      <w:r w:rsidRPr="00F74A1E">
        <w:rPr>
          <w:rFonts w:ascii="Arial" w:hAnsi="Arial" w:cs="Arial"/>
          <w:b w:val="0"/>
          <w:i/>
          <w:color w:val="000000" w:themeColor="text1"/>
          <w:sz w:val="24"/>
          <w:szCs w:val="24"/>
        </w:rPr>
        <w:t>3</w:t>
      </w:r>
      <w:r w:rsidR="00F2266B" w:rsidRPr="00F74A1E">
        <w:rPr>
          <w:rFonts w:ascii="Arial" w:hAnsi="Arial" w:cs="Arial"/>
          <w:b w:val="0"/>
          <w:i/>
          <w:color w:val="000000" w:themeColor="text1"/>
          <w:sz w:val="24"/>
          <w:szCs w:val="24"/>
        </w:rPr>
        <w:t>.1.3. Distribuţia pe medii rezidenţiale (urban/rural)</w:t>
      </w:r>
      <w:bookmarkEnd w:id="17"/>
      <w:bookmarkEnd w:id="18"/>
    </w:p>
    <w:p w:rsidR="00FB4004" w:rsidRPr="00C717DE" w:rsidRDefault="00FB4004" w:rsidP="000C6A67">
      <w:pPr>
        <w:spacing w:after="0" w:line="240" w:lineRule="auto"/>
        <w:jc w:val="both"/>
        <w:rPr>
          <w:rFonts w:ascii="Arial" w:hAnsi="Arial" w:cs="Arial"/>
          <w:sz w:val="24"/>
          <w:szCs w:val="24"/>
        </w:rPr>
      </w:pPr>
      <w:r w:rsidRPr="00C717DE">
        <w:rPr>
          <w:rFonts w:ascii="Arial" w:hAnsi="Arial" w:cs="Arial"/>
          <w:sz w:val="24"/>
          <w:szCs w:val="24"/>
        </w:rPr>
        <w:t xml:space="preserve">În intervalul 2008-2015, la nivel regional, evoluția populației pe cele două medii de rezidență a înregistrat per ansamblu o tendință generală de scădere a populației. </w:t>
      </w:r>
    </w:p>
    <w:p w:rsidR="00FB4004" w:rsidRPr="00C717DE" w:rsidRDefault="00FB4004" w:rsidP="000C6A67">
      <w:pPr>
        <w:spacing w:after="0" w:line="240" w:lineRule="auto"/>
        <w:jc w:val="both"/>
        <w:rPr>
          <w:rFonts w:ascii="Arial" w:hAnsi="Arial" w:cs="Arial"/>
          <w:sz w:val="24"/>
          <w:szCs w:val="24"/>
        </w:rPr>
      </w:pPr>
      <w:r w:rsidRPr="00C717DE">
        <w:rPr>
          <w:rFonts w:ascii="Arial" w:hAnsi="Arial" w:cs="Arial"/>
          <w:sz w:val="24"/>
          <w:szCs w:val="24"/>
        </w:rPr>
        <w:t xml:space="preserve">În condițiile unui grad de urbanizare a regiunii peste media națională, surprinde creșterea ponderii persoanelor în mediul rural față de cel urban, pentru grupele de vârstă 15-19 ani (4,6%), respectiv 20-24 de ani (5,3%), deși numărul de locuitori arată o scădere constantă în valoare absolută.  Distribuția  pe medii de rezidență urban-rural rămâne practic constantă pentru grupa de vârstă 10-14 ani. </w:t>
      </w:r>
    </w:p>
    <w:p w:rsidR="000D7C65" w:rsidRPr="00DD5F85" w:rsidRDefault="000D7C65" w:rsidP="000C6A67">
      <w:pPr>
        <w:spacing w:after="0" w:line="240" w:lineRule="auto"/>
        <w:jc w:val="both"/>
        <w:rPr>
          <w:rFonts w:ascii="Arial" w:hAnsi="Arial" w:cs="Arial"/>
          <w:color w:val="000000" w:themeColor="text1"/>
          <w:sz w:val="24"/>
          <w:szCs w:val="24"/>
        </w:rPr>
      </w:pPr>
    </w:p>
    <w:p w:rsidR="00FB4004" w:rsidRPr="00F74A1E" w:rsidRDefault="001A346C" w:rsidP="000C6A67">
      <w:pPr>
        <w:pStyle w:val="Heading3"/>
        <w:spacing w:before="0" w:line="240" w:lineRule="auto"/>
        <w:jc w:val="both"/>
        <w:rPr>
          <w:rFonts w:ascii="Arial" w:hAnsi="Arial" w:cs="Arial"/>
          <w:b w:val="0"/>
          <w:i/>
          <w:color w:val="000000" w:themeColor="text1"/>
          <w:sz w:val="24"/>
          <w:szCs w:val="24"/>
        </w:rPr>
      </w:pPr>
      <w:bookmarkStart w:id="19" w:name="_Toc465489978"/>
      <w:bookmarkStart w:id="20" w:name="_Toc488066014"/>
      <w:r w:rsidRPr="00F74A1E">
        <w:rPr>
          <w:rFonts w:ascii="Arial" w:hAnsi="Arial" w:cs="Arial"/>
          <w:b w:val="0"/>
          <w:i/>
          <w:color w:val="000000" w:themeColor="text1"/>
          <w:sz w:val="24"/>
          <w:szCs w:val="24"/>
        </w:rPr>
        <w:t>3</w:t>
      </w:r>
      <w:r w:rsidR="00F2266B" w:rsidRPr="00F74A1E">
        <w:rPr>
          <w:rFonts w:ascii="Arial" w:hAnsi="Arial" w:cs="Arial"/>
          <w:b w:val="0"/>
          <w:i/>
          <w:color w:val="000000" w:themeColor="text1"/>
          <w:sz w:val="24"/>
          <w:szCs w:val="24"/>
        </w:rPr>
        <w:t>.1.4. Distribuţia pe sexe</w:t>
      </w:r>
      <w:bookmarkEnd w:id="19"/>
      <w:bookmarkEnd w:id="20"/>
    </w:p>
    <w:p w:rsidR="00FB4004" w:rsidRPr="00EE3305" w:rsidRDefault="00FB4004" w:rsidP="000C6A67">
      <w:pPr>
        <w:spacing w:after="0" w:line="240" w:lineRule="auto"/>
        <w:jc w:val="both"/>
        <w:rPr>
          <w:rFonts w:ascii="Arial" w:hAnsi="Arial" w:cs="Arial"/>
          <w:sz w:val="24"/>
          <w:szCs w:val="24"/>
        </w:rPr>
      </w:pPr>
      <w:r w:rsidRPr="00EE3305">
        <w:rPr>
          <w:rFonts w:ascii="Arial" w:hAnsi="Arial" w:cs="Arial"/>
          <w:sz w:val="24"/>
          <w:szCs w:val="24"/>
        </w:rPr>
        <w:t>Distribuția pe sexe nu arată diferențe mari pentru diferitele grupe de vârstă; diferența de aproximativ două puncte procentuale se păstrează pentru fiecare categorie în favoarea sexului masculin, pe întreaga perioadă analizată.</w:t>
      </w:r>
    </w:p>
    <w:p w:rsidR="00FB4004" w:rsidRPr="00EE3305" w:rsidRDefault="00FB4004" w:rsidP="000C6A67">
      <w:pPr>
        <w:spacing w:after="0" w:line="240" w:lineRule="auto"/>
        <w:jc w:val="both"/>
        <w:rPr>
          <w:rFonts w:ascii="Arial" w:hAnsi="Arial" w:cs="Arial"/>
          <w:sz w:val="24"/>
          <w:szCs w:val="24"/>
        </w:rPr>
      </w:pPr>
      <w:r w:rsidRPr="00EE3305">
        <w:rPr>
          <w:rFonts w:ascii="Arial" w:hAnsi="Arial" w:cs="Arial"/>
          <w:sz w:val="24"/>
          <w:szCs w:val="24"/>
        </w:rPr>
        <w:t>Evoluția populației pe sexe și grupe de vârstă, în perioada analizată, arată o tendință generală de scădere. Populația masculină din grupa de vârstă 10-14 ani a înregistrat o scădere cu 3.495 persoane (0,2%) iar, în cazul  populației feminine, în valoare absolută scăderea este cu 3.670 persoane în timp ce  ponderea crește cu 0,2 puncte procentuale. Reduceri mari în rândul populației se înregistrează</w:t>
      </w:r>
      <w:r w:rsidR="00F74A1E">
        <w:rPr>
          <w:rFonts w:ascii="Arial" w:hAnsi="Arial" w:cs="Arial"/>
          <w:sz w:val="24"/>
          <w:szCs w:val="24"/>
        </w:rPr>
        <w:t xml:space="preserve"> la grupa de vârstă 20-24 ani, </w:t>
      </w:r>
      <w:r w:rsidRPr="00EE3305">
        <w:rPr>
          <w:rFonts w:ascii="Arial" w:hAnsi="Arial" w:cs="Arial"/>
          <w:sz w:val="24"/>
          <w:szCs w:val="24"/>
        </w:rPr>
        <w:t xml:space="preserve">cu 20.902 persoane de sex masculin și cu 22.090 persoane de sex feminin urmată de populația din grupa de vârstă 15-19 ani, cu 17.082 persoane de sex masculin și 17.233 persoane de sex feminin. Se remarcă faptul că, la toate grupele de vârstă,  scăderea mai acentuată se înregistrează în rândul populației de sex feminin. </w:t>
      </w:r>
    </w:p>
    <w:p w:rsidR="00FB4004" w:rsidRPr="000D7C65" w:rsidRDefault="00FB4004" w:rsidP="000C6A67">
      <w:pPr>
        <w:spacing w:after="0" w:line="240" w:lineRule="auto"/>
        <w:jc w:val="both"/>
        <w:rPr>
          <w:rFonts w:ascii="Arial" w:hAnsi="Arial" w:cs="Arial"/>
          <w:sz w:val="24"/>
          <w:szCs w:val="24"/>
        </w:rPr>
      </w:pPr>
      <w:r w:rsidRPr="00EE3305">
        <w:rPr>
          <w:rFonts w:ascii="Arial" w:hAnsi="Arial" w:cs="Arial"/>
          <w:sz w:val="24"/>
          <w:szCs w:val="24"/>
        </w:rPr>
        <w:t>Evoluția  pe sexe și grupe de vârstă este similartă și la nivel național.</w:t>
      </w:r>
    </w:p>
    <w:p w:rsidR="00F2266B" w:rsidRPr="00DD5F85" w:rsidRDefault="00F2266B" w:rsidP="000C6A67">
      <w:pPr>
        <w:pStyle w:val="Heading3"/>
        <w:spacing w:before="0" w:line="240" w:lineRule="auto"/>
        <w:jc w:val="both"/>
        <w:rPr>
          <w:rFonts w:ascii="Arial" w:hAnsi="Arial" w:cs="Arial"/>
          <w:b w:val="0"/>
          <w:color w:val="000000" w:themeColor="text1"/>
          <w:sz w:val="24"/>
          <w:szCs w:val="24"/>
        </w:rPr>
      </w:pPr>
      <w:r w:rsidRPr="00DD5F85">
        <w:rPr>
          <w:rFonts w:ascii="Arial" w:hAnsi="Arial" w:cs="Arial"/>
          <w:b w:val="0"/>
          <w:color w:val="000000" w:themeColor="text1"/>
          <w:sz w:val="24"/>
          <w:szCs w:val="24"/>
        </w:rPr>
        <w:t xml:space="preserve">       </w:t>
      </w:r>
    </w:p>
    <w:p w:rsidR="000D7C65" w:rsidRPr="00CB00E1" w:rsidRDefault="001A346C" w:rsidP="000C6A67">
      <w:pPr>
        <w:pStyle w:val="Heading3"/>
        <w:spacing w:before="0" w:line="240" w:lineRule="auto"/>
        <w:jc w:val="both"/>
        <w:rPr>
          <w:rFonts w:ascii="Arial" w:hAnsi="Arial" w:cs="Arial"/>
          <w:b w:val="0"/>
          <w:i/>
          <w:color w:val="000000" w:themeColor="text1"/>
          <w:sz w:val="24"/>
          <w:szCs w:val="24"/>
        </w:rPr>
      </w:pPr>
      <w:bookmarkStart w:id="21" w:name="_Toc465489979"/>
      <w:bookmarkStart w:id="22" w:name="_Toc488066015"/>
      <w:r w:rsidRPr="00CB00E1">
        <w:rPr>
          <w:rFonts w:ascii="Arial" w:hAnsi="Arial" w:cs="Arial"/>
          <w:b w:val="0"/>
          <w:i/>
          <w:color w:val="000000" w:themeColor="text1"/>
          <w:sz w:val="24"/>
          <w:szCs w:val="24"/>
        </w:rPr>
        <w:t>3</w:t>
      </w:r>
      <w:r w:rsidR="00F2266B" w:rsidRPr="00CB00E1">
        <w:rPr>
          <w:rFonts w:ascii="Arial" w:hAnsi="Arial" w:cs="Arial"/>
          <w:b w:val="0"/>
          <w:i/>
          <w:color w:val="000000" w:themeColor="text1"/>
          <w:sz w:val="24"/>
          <w:szCs w:val="24"/>
        </w:rPr>
        <w:t>.1.5. Structura etnică</w:t>
      </w:r>
      <w:bookmarkEnd w:id="21"/>
      <w:bookmarkEnd w:id="22"/>
    </w:p>
    <w:p w:rsidR="00FB4004" w:rsidRPr="00EE3305" w:rsidRDefault="00FB4004" w:rsidP="000C6A67">
      <w:pPr>
        <w:spacing w:after="0" w:line="240" w:lineRule="auto"/>
        <w:jc w:val="both"/>
        <w:rPr>
          <w:rFonts w:ascii="Arial" w:hAnsi="Arial" w:cs="Arial"/>
          <w:sz w:val="24"/>
          <w:szCs w:val="24"/>
        </w:rPr>
      </w:pPr>
      <w:r w:rsidRPr="00EE3305">
        <w:rPr>
          <w:rFonts w:ascii="Arial" w:hAnsi="Arial" w:cs="Arial"/>
          <w:sz w:val="24"/>
          <w:szCs w:val="24"/>
        </w:rPr>
        <w:t>Distribuția populației după etnie arată o pondere a românilor de 82,23% pentru Regiunea Vest, în bună corelare cu v</w:t>
      </w:r>
      <w:r>
        <w:rPr>
          <w:rFonts w:ascii="Arial" w:hAnsi="Arial" w:cs="Arial"/>
          <w:sz w:val="24"/>
          <w:szCs w:val="24"/>
        </w:rPr>
        <w:t>aloarea națională (</w:t>
      </w:r>
      <w:r w:rsidRPr="00EE3305">
        <w:rPr>
          <w:rFonts w:ascii="Arial" w:hAnsi="Arial" w:cs="Arial"/>
          <w:sz w:val="24"/>
          <w:szCs w:val="24"/>
        </w:rPr>
        <w:t>de 83,46%). Etnia cel mai bine reprezentată, la nivel regional, este ce</w:t>
      </w:r>
      <w:r>
        <w:rPr>
          <w:rFonts w:ascii="Arial" w:hAnsi="Arial" w:cs="Arial"/>
          <w:sz w:val="24"/>
          <w:szCs w:val="24"/>
        </w:rPr>
        <w:t>a</w:t>
      </w:r>
      <w:r w:rsidRPr="00EE3305">
        <w:rPr>
          <w:rFonts w:ascii="Arial" w:hAnsi="Arial" w:cs="Arial"/>
          <w:sz w:val="24"/>
          <w:szCs w:val="24"/>
        </w:rPr>
        <w:t xml:space="preserve"> maghiară, în număr de </w:t>
      </w:r>
      <w:r w:rsidRPr="00EE3305">
        <w:rPr>
          <w:rFonts w:ascii="Arial" w:eastAsia="Times New Roman" w:hAnsi="Arial" w:cs="Arial"/>
          <w:sz w:val="24"/>
          <w:szCs w:val="24"/>
          <w:lang w:val="en-US"/>
        </w:rPr>
        <w:t>90</w:t>
      </w:r>
      <w:r w:rsidR="001267A3">
        <w:rPr>
          <w:rFonts w:ascii="Arial" w:eastAsia="Times New Roman" w:hAnsi="Arial" w:cs="Arial"/>
          <w:sz w:val="24"/>
          <w:szCs w:val="24"/>
          <w:lang w:val="en-US"/>
        </w:rPr>
        <w:t>.</w:t>
      </w:r>
      <w:r w:rsidRPr="00EE3305">
        <w:rPr>
          <w:rFonts w:ascii="Arial" w:eastAsia="Times New Roman" w:hAnsi="Arial" w:cs="Arial"/>
          <w:sz w:val="24"/>
          <w:szCs w:val="24"/>
          <w:lang w:val="en-US"/>
        </w:rPr>
        <w:t>701 persoane</w:t>
      </w:r>
      <w:r>
        <w:rPr>
          <w:rFonts w:ascii="Arial" w:eastAsia="Times New Roman" w:hAnsi="Arial" w:cs="Arial"/>
          <w:sz w:val="24"/>
          <w:szCs w:val="24"/>
          <w:lang w:val="en-US"/>
        </w:rPr>
        <w:t>,</w:t>
      </w:r>
      <w:r w:rsidR="001267A3">
        <w:rPr>
          <w:rFonts w:ascii="Arial" w:eastAsia="Times New Roman" w:hAnsi="Arial" w:cs="Arial"/>
          <w:sz w:val="24"/>
          <w:szCs w:val="24"/>
          <w:lang w:val="en-US"/>
        </w:rPr>
        <w:t xml:space="preserve"> </w:t>
      </w:r>
      <w:r w:rsidRPr="00EE3305">
        <w:rPr>
          <w:rFonts w:ascii="Arial" w:hAnsi="Arial" w:cs="Arial"/>
          <w:sz w:val="24"/>
          <w:szCs w:val="24"/>
        </w:rPr>
        <w:t>ceea ce reprezintă 4,96% din totalul populației din cele patru județe.</w:t>
      </w:r>
      <w:r w:rsidRPr="00EE3305">
        <w:rPr>
          <w:rFonts w:ascii="Arial" w:hAnsi="Arial" w:cs="Arial"/>
          <w:color w:val="000000"/>
          <w:sz w:val="24"/>
          <w:szCs w:val="24"/>
        </w:rPr>
        <w:t xml:space="preserve"> Cetățenii de etnie romă se află în număr de </w:t>
      </w:r>
      <w:r w:rsidRPr="00EE3305">
        <w:rPr>
          <w:rFonts w:ascii="Arial" w:eastAsia="Times New Roman" w:hAnsi="Arial" w:cs="Arial"/>
          <w:sz w:val="24"/>
          <w:szCs w:val="24"/>
          <w:lang w:val="en-US"/>
        </w:rPr>
        <w:t>45.747</w:t>
      </w:r>
      <w:r w:rsidRPr="00EE3305">
        <w:rPr>
          <w:rFonts w:ascii="Arial" w:eastAsia="Times New Roman" w:hAnsi="Arial" w:cs="Arial"/>
          <w:color w:val="FF0000"/>
          <w:sz w:val="24"/>
          <w:szCs w:val="24"/>
          <w:lang w:val="en-US"/>
        </w:rPr>
        <w:t xml:space="preserve"> </w:t>
      </w:r>
      <w:r w:rsidRPr="00EE3305">
        <w:rPr>
          <w:rFonts w:ascii="Arial" w:hAnsi="Arial" w:cs="Arial"/>
          <w:color w:val="000000"/>
          <w:sz w:val="24"/>
          <w:szCs w:val="24"/>
        </w:rPr>
        <w:t xml:space="preserve">persoane, în proporție de </w:t>
      </w:r>
      <w:r w:rsidRPr="00EE3305">
        <w:rPr>
          <w:rFonts w:ascii="Arial" w:hAnsi="Arial" w:cs="Arial"/>
          <w:sz w:val="24"/>
          <w:szCs w:val="24"/>
        </w:rPr>
        <w:t>2,5%</w:t>
      </w:r>
      <w:r w:rsidRPr="00EE3305">
        <w:rPr>
          <w:rFonts w:ascii="Arial" w:hAnsi="Arial" w:cs="Arial"/>
          <w:color w:val="000000"/>
          <w:sz w:val="24"/>
          <w:szCs w:val="24"/>
        </w:rPr>
        <w:t xml:space="preserve">. </w:t>
      </w:r>
    </w:p>
    <w:p w:rsidR="00FB4004" w:rsidRPr="00EE3305" w:rsidRDefault="001267A3" w:rsidP="000C6A67">
      <w:pPr>
        <w:spacing w:after="0" w:line="240" w:lineRule="auto"/>
        <w:jc w:val="both"/>
        <w:rPr>
          <w:rFonts w:ascii="Arial" w:eastAsia="Times New Roman" w:hAnsi="Arial" w:cs="Arial"/>
          <w:color w:val="FF0000"/>
          <w:sz w:val="24"/>
          <w:szCs w:val="24"/>
          <w:lang w:val="en-US"/>
        </w:rPr>
      </w:pPr>
      <w:r>
        <w:rPr>
          <w:rFonts w:ascii="Arial" w:hAnsi="Arial" w:cs="Arial"/>
          <w:color w:val="000000"/>
          <w:sz w:val="24"/>
          <w:szCs w:val="24"/>
        </w:rPr>
        <w:t>Î</w:t>
      </w:r>
      <w:r w:rsidR="00FB4004" w:rsidRPr="00EE3305">
        <w:rPr>
          <w:rFonts w:ascii="Arial" w:hAnsi="Arial" w:cs="Arial"/>
          <w:color w:val="000000"/>
          <w:sz w:val="24"/>
          <w:szCs w:val="24"/>
        </w:rPr>
        <w:t>n Regiunea Vest se regăsesc de asemenea etnici sârbi (0,87%), germani (0,83%), urcainieni (0,53%), slovaci (0,33%), bulgari (0,27%) și croați (0,29%).</w:t>
      </w:r>
    </w:p>
    <w:p w:rsidR="00FB4004" w:rsidRPr="00EE3305" w:rsidRDefault="00FB4004" w:rsidP="000C6A67">
      <w:pPr>
        <w:spacing w:after="0" w:line="240" w:lineRule="auto"/>
        <w:jc w:val="both"/>
        <w:rPr>
          <w:rFonts w:ascii="Arial" w:hAnsi="Arial" w:cs="Arial"/>
          <w:sz w:val="24"/>
          <w:szCs w:val="24"/>
        </w:rPr>
      </w:pPr>
      <w:r w:rsidRPr="00EE3305">
        <w:rPr>
          <w:rFonts w:ascii="Arial" w:hAnsi="Arial" w:cs="Arial"/>
          <w:sz w:val="24"/>
          <w:szCs w:val="24"/>
        </w:rPr>
        <w:t xml:space="preserve">În județele regiunii sunt reprezentate toate etniile relevante și la nivel național, astfel regiunea are un caractel multietnic și multicultural.  </w:t>
      </w:r>
    </w:p>
    <w:p w:rsidR="00FB4004" w:rsidRPr="00EE3305" w:rsidRDefault="00FB4004" w:rsidP="000C6A67">
      <w:pPr>
        <w:spacing w:after="0" w:line="240" w:lineRule="auto"/>
        <w:jc w:val="both"/>
        <w:rPr>
          <w:rFonts w:ascii="Arial" w:hAnsi="Arial" w:cs="Arial"/>
          <w:sz w:val="24"/>
          <w:szCs w:val="24"/>
        </w:rPr>
      </w:pPr>
      <w:r w:rsidRPr="00EE3305">
        <w:rPr>
          <w:rFonts w:ascii="Arial" w:hAnsi="Arial" w:cs="Arial"/>
          <w:sz w:val="24"/>
          <w:szCs w:val="24"/>
        </w:rPr>
        <w:t>Județul Hunedoara se situează pe primul loc în regiune ca pondere a populației de etnie română (87,94%), cu 5,71% peste ponderea înregistrată la nivel regional, urmat de județul Caraș-Severin (82,53%).</w:t>
      </w:r>
    </w:p>
    <w:p w:rsidR="00FB4004" w:rsidRPr="00EE3305" w:rsidRDefault="00FB4004" w:rsidP="000C6A67">
      <w:pPr>
        <w:spacing w:after="0" w:line="240" w:lineRule="auto"/>
        <w:jc w:val="both"/>
        <w:rPr>
          <w:rFonts w:ascii="Arial" w:hAnsi="Arial" w:cs="Arial"/>
          <w:sz w:val="24"/>
          <w:szCs w:val="24"/>
        </w:rPr>
      </w:pPr>
      <w:r w:rsidRPr="00EE3305">
        <w:rPr>
          <w:rFonts w:ascii="Arial" w:hAnsi="Arial" w:cs="Arial"/>
          <w:sz w:val="24"/>
          <w:szCs w:val="24"/>
        </w:rPr>
        <w:t xml:space="preserve">În ceea ce privește ponderea populației de etnie maghiară cea mai însemnată </w:t>
      </w:r>
      <w:r>
        <w:rPr>
          <w:rFonts w:ascii="Arial" w:hAnsi="Arial" w:cs="Arial"/>
          <w:sz w:val="24"/>
          <w:szCs w:val="24"/>
        </w:rPr>
        <w:t xml:space="preserve">pondere </w:t>
      </w:r>
      <w:r w:rsidRPr="00EE3305">
        <w:rPr>
          <w:rFonts w:ascii="Arial" w:hAnsi="Arial" w:cs="Arial"/>
          <w:sz w:val="24"/>
          <w:szCs w:val="24"/>
        </w:rPr>
        <w:t xml:space="preserve">se înregistrează </w:t>
      </w:r>
      <w:r>
        <w:rPr>
          <w:rFonts w:ascii="Arial" w:hAnsi="Arial" w:cs="Arial"/>
          <w:sz w:val="24"/>
          <w:szCs w:val="24"/>
        </w:rPr>
        <w:t xml:space="preserve">în județul Arad 8,49%. </w:t>
      </w:r>
    </w:p>
    <w:p w:rsidR="00FB4004" w:rsidRPr="00EE3305" w:rsidRDefault="00FB4004" w:rsidP="000C6A67">
      <w:pPr>
        <w:spacing w:after="0" w:line="240" w:lineRule="auto"/>
        <w:jc w:val="both"/>
        <w:rPr>
          <w:rFonts w:ascii="Arial" w:hAnsi="Arial" w:cs="Arial"/>
          <w:color w:val="000000"/>
          <w:sz w:val="24"/>
          <w:szCs w:val="24"/>
        </w:rPr>
      </w:pPr>
      <w:r w:rsidRPr="00EE3305">
        <w:rPr>
          <w:rFonts w:ascii="Arial" w:hAnsi="Arial" w:cs="Arial"/>
          <w:color w:val="000000"/>
          <w:sz w:val="24"/>
          <w:szCs w:val="24"/>
        </w:rPr>
        <w:t>Populația de etnie romă înregistrează cea mai mare pondere în județele Arad (3,8%) și Timiș (2,1%) iar în județul Hunedoara este cea mai scăzută pondere 1,79 puncte procentuale.</w:t>
      </w:r>
    </w:p>
    <w:p w:rsidR="00FB4004" w:rsidRPr="00380BB8" w:rsidRDefault="00FB4004" w:rsidP="000C6A67">
      <w:pPr>
        <w:spacing w:after="0" w:line="240" w:lineRule="auto"/>
        <w:jc w:val="both"/>
        <w:rPr>
          <w:rFonts w:ascii="Arial" w:hAnsi="Arial" w:cs="Arial"/>
          <w:color w:val="000000"/>
          <w:sz w:val="24"/>
          <w:szCs w:val="24"/>
        </w:rPr>
      </w:pPr>
      <w:r w:rsidRPr="00EE3305">
        <w:rPr>
          <w:rFonts w:ascii="Arial" w:hAnsi="Arial" w:cs="Arial"/>
          <w:color w:val="000000"/>
          <w:sz w:val="24"/>
          <w:szCs w:val="24"/>
        </w:rPr>
        <w:t>Ponderea populației de etnie germană este cea mai mare în județul Timiș (1,24%), cu 0,4 puncte procentuale peste media regională, și  județul Caraș-Severin (0,89%).</w:t>
      </w:r>
    </w:p>
    <w:p w:rsidR="00F2266B" w:rsidRPr="00DD5F85" w:rsidRDefault="00F2266B" w:rsidP="000C6A67">
      <w:pPr>
        <w:spacing w:after="0" w:line="240" w:lineRule="auto"/>
        <w:jc w:val="both"/>
        <w:rPr>
          <w:rFonts w:ascii="Arial" w:hAnsi="Arial" w:cs="Arial"/>
          <w:color w:val="000000" w:themeColor="text1"/>
          <w:sz w:val="24"/>
          <w:szCs w:val="24"/>
        </w:rPr>
      </w:pPr>
    </w:p>
    <w:p w:rsidR="000D7C65" w:rsidRPr="00CB00E1" w:rsidRDefault="001A346C" w:rsidP="00CB00E1">
      <w:pPr>
        <w:pStyle w:val="Heading3"/>
        <w:spacing w:before="0" w:line="240" w:lineRule="auto"/>
        <w:jc w:val="both"/>
        <w:rPr>
          <w:rFonts w:ascii="Arial" w:hAnsi="Arial" w:cs="Arial"/>
          <w:b w:val="0"/>
          <w:i/>
          <w:color w:val="000000" w:themeColor="text1"/>
          <w:sz w:val="24"/>
          <w:szCs w:val="24"/>
        </w:rPr>
      </w:pPr>
      <w:bookmarkStart w:id="23" w:name="_Toc465489980"/>
      <w:bookmarkStart w:id="24" w:name="_Toc488066016"/>
      <w:r w:rsidRPr="00CB00E1">
        <w:rPr>
          <w:rFonts w:ascii="Arial" w:hAnsi="Arial" w:cs="Arial"/>
          <w:b w:val="0"/>
          <w:i/>
          <w:color w:val="000000" w:themeColor="text1"/>
          <w:sz w:val="24"/>
          <w:szCs w:val="24"/>
        </w:rPr>
        <w:t>3</w:t>
      </w:r>
      <w:r w:rsidR="00F2266B" w:rsidRPr="00CB00E1">
        <w:rPr>
          <w:rFonts w:ascii="Arial" w:hAnsi="Arial" w:cs="Arial"/>
          <w:b w:val="0"/>
          <w:i/>
          <w:color w:val="000000" w:themeColor="text1"/>
          <w:sz w:val="24"/>
          <w:szCs w:val="24"/>
        </w:rPr>
        <w:t>.1.6. Mişcarea migratorie</w:t>
      </w:r>
      <w:bookmarkEnd w:id="23"/>
      <w:bookmarkEnd w:id="24"/>
    </w:p>
    <w:p w:rsidR="00FB4004" w:rsidRPr="00C717DE" w:rsidRDefault="00982405" w:rsidP="00CB00E1">
      <w:pPr>
        <w:spacing w:after="0" w:line="240" w:lineRule="auto"/>
        <w:jc w:val="both"/>
        <w:rPr>
          <w:rFonts w:ascii="Arial" w:hAnsi="Arial" w:cs="Arial"/>
          <w:sz w:val="24"/>
          <w:szCs w:val="24"/>
        </w:rPr>
      </w:pPr>
      <w:r>
        <w:rPr>
          <w:rFonts w:ascii="Arial" w:hAnsi="Arial" w:cs="Arial"/>
          <w:sz w:val="24"/>
          <w:szCs w:val="24"/>
        </w:rPr>
        <w:t>Î</w:t>
      </w:r>
      <w:r w:rsidR="00FB4004" w:rsidRPr="00C717DE">
        <w:rPr>
          <w:rFonts w:ascii="Arial" w:hAnsi="Arial" w:cs="Arial"/>
          <w:sz w:val="24"/>
          <w:szCs w:val="24"/>
        </w:rPr>
        <w:t xml:space="preserve">n perioada 1990-2014 din Regiunea Vest au emigrat definitiv 103.239 persoane. Fenomenul de emigrare definitivă este unul puternic prezent în Regiunea Vest, cu 21,1% din numărul total de emigranți la nivel național provin din județele noastre ( 11,42% Timiș, 4,7% Arad, 3,1% Caraș Severin și 1,8% Hunedoara). </w:t>
      </w:r>
    </w:p>
    <w:p w:rsidR="00FB4004" w:rsidRPr="00C717DE" w:rsidRDefault="009F248A" w:rsidP="00CB00E1">
      <w:pPr>
        <w:spacing w:after="0" w:line="240" w:lineRule="auto"/>
        <w:jc w:val="both"/>
        <w:rPr>
          <w:rFonts w:ascii="Arial" w:hAnsi="Arial" w:cs="Arial"/>
          <w:sz w:val="24"/>
          <w:szCs w:val="24"/>
        </w:rPr>
      </w:pPr>
      <w:r>
        <w:rPr>
          <w:rFonts w:ascii="Arial" w:hAnsi="Arial" w:cs="Arial"/>
          <w:sz w:val="24"/>
          <w:szCs w:val="24"/>
        </w:rPr>
        <w:lastRenderedPageBreak/>
        <w:t>Î</w:t>
      </w:r>
      <w:r w:rsidR="00FB4004" w:rsidRPr="00C717DE">
        <w:rPr>
          <w:rFonts w:ascii="Arial" w:hAnsi="Arial" w:cs="Arial"/>
          <w:sz w:val="24"/>
          <w:szCs w:val="24"/>
        </w:rPr>
        <w:t xml:space="preserve">n perioada supusă analizei, tendința generală este de scădere a emigranților definitivi. Fenomenul a fost accentuat în anii 1990-1991 (22.021 persoane) și arată o scădere în anii ce urmează. </w:t>
      </w:r>
    </w:p>
    <w:p w:rsidR="00FB4004" w:rsidRPr="00EE3305" w:rsidRDefault="00FB4004" w:rsidP="00CB00E1">
      <w:pPr>
        <w:spacing w:after="0" w:line="240" w:lineRule="auto"/>
        <w:jc w:val="both"/>
        <w:rPr>
          <w:rFonts w:ascii="Arial" w:hAnsi="Arial" w:cs="Arial"/>
          <w:sz w:val="24"/>
          <w:szCs w:val="24"/>
        </w:rPr>
      </w:pPr>
      <w:r w:rsidRPr="00EE3305">
        <w:rPr>
          <w:rFonts w:ascii="Arial" w:hAnsi="Arial" w:cs="Arial"/>
          <w:sz w:val="24"/>
          <w:szCs w:val="24"/>
        </w:rPr>
        <w:t>Județul Timiș se situează pe primul loc, în perioada 1990-2014 cu cel mai mare număr de emigranți definitivi 55.900 persoane urmat fiind de județul Arad cu 22.883 persoane. Pe ultimul loc se află județul Hunedoara cu 8.966 persoane.</w:t>
      </w:r>
    </w:p>
    <w:p w:rsidR="00CB00E1" w:rsidRDefault="00CB00E1" w:rsidP="00CB00E1">
      <w:pPr>
        <w:spacing w:after="0" w:line="240" w:lineRule="auto"/>
        <w:jc w:val="both"/>
        <w:rPr>
          <w:rFonts w:ascii="Arial" w:hAnsi="Arial" w:cs="Arial"/>
          <w:i/>
          <w:sz w:val="24"/>
          <w:szCs w:val="24"/>
        </w:rPr>
      </w:pPr>
      <w:r>
        <w:rPr>
          <w:rFonts w:ascii="Arial" w:hAnsi="Arial" w:cs="Arial"/>
          <w:i/>
          <w:sz w:val="24"/>
          <w:szCs w:val="24"/>
        </w:rPr>
        <w:t>3.1.6.a</w:t>
      </w:r>
      <w:r w:rsidR="00E1343F">
        <w:rPr>
          <w:rFonts w:ascii="Arial" w:hAnsi="Arial" w:cs="Arial"/>
          <w:i/>
          <w:sz w:val="24"/>
          <w:szCs w:val="24"/>
        </w:rPr>
        <w:t>.</w:t>
      </w:r>
      <w:r>
        <w:rPr>
          <w:rFonts w:ascii="Arial" w:hAnsi="Arial" w:cs="Arial"/>
          <w:i/>
          <w:sz w:val="24"/>
          <w:szCs w:val="24"/>
        </w:rPr>
        <w:t xml:space="preserve"> </w:t>
      </w:r>
      <w:r w:rsidR="00FB4004" w:rsidRPr="00EE3305">
        <w:rPr>
          <w:rFonts w:ascii="Arial" w:hAnsi="Arial" w:cs="Arial"/>
          <w:i/>
          <w:sz w:val="24"/>
          <w:szCs w:val="24"/>
        </w:rPr>
        <w:t xml:space="preserve">Emigranți definitivi pe grupe de vârsta, regiuni de dezvoltare și județe de plecare </w:t>
      </w:r>
    </w:p>
    <w:p w:rsidR="00CB00E1" w:rsidRDefault="009F248A" w:rsidP="00CB00E1">
      <w:pPr>
        <w:spacing w:after="0" w:line="240" w:lineRule="auto"/>
        <w:jc w:val="both"/>
        <w:rPr>
          <w:rFonts w:ascii="Arial" w:hAnsi="Arial" w:cs="Arial"/>
          <w:sz w:val="24"/>
          <w:szCs w:val="24"/>
        </w:rPr>
      </w:pPr>
      <w:r>
        <w:rPr>
          <w:rFonts w:ascii="Arial" w:hAnsi="Arial" w:cs="Arial"/>
          <w:sz w:val="24"/>
          <w:szCs w:val="24"/>
        </w:rPr>
        <w:t>Î</w:t>
      </w:r>
      <w:r w:rsidR="00FB4004" w:rsidRPr="00EE3305">
        <w:rPr>
          <w:rFonts w:ascii="Arial" w:hAnsi="Arial" w:cs="Arial"/>
          <w:sz w:val="24"/>
          <w:szCs w:val="24"/>
        </w:rPr>
        <w:t xml:space="preserve">n valoare absolută, pe grupe de vârstă, cel mai mare număr de emigranți definitivi </w:t>
      </w:r>
    </w:p>
    <w:p w:rsidR="00FB4004" w:rsidRPr="00EE3305" w:rsidRDefault="00FB4004" w:rsidP="00CB00E1">
      <w:pPr>
        <w:spacing w:after="0" w:line="240" w:lineRule="auto"/>
        <w:jc w:val="both"/>
        <w:rPr>
          <w:rFonts w:ascii="Arial" w:hAnsi="Arial" w:cs="Arial"/>
          <w:sz w:val="24"/>
          <w:szCs w:val="24"/>
        </w:rPr>
      </w:pPr>
      <w:r w:rsidRPr="00EE3305">
        <w:rPr>
          <w:rFonts w:ascii="Arial" w:hAnsi="Arial" w:cs="Arial"/>
          <w:sz w:val="24"/>
          <w:szCs w:val="24"/>
        </w:rPr>
        <w:t xml:space="preserve">s-a  înregistrat în județul Timiș (30.436 persoane) și Arad (12.740 persoane). </w:t>
      </w:r>
    </w:p>
    <w:p w:rsidR="00FB4004" w:rsidRPr="00EE3305" w:rsidRDefault="00FB4004" w:rsidP="00CB00E1">
      <w:pPr>
        <w:spacing w:after="0" w:line="240" w:lineRule="auto"/>
        <w:jc w:val="both"/>
        <w:rPr>
          <w:rFonts w:ascii="Arial" w:hAnsi="Arial" w:cs="Arial"/>
          <w:sz w:val="24"/>
          <w:szCs w:val="24"/>
        </w:rPr>
      </w:pPr>
      <w:r w:rsidRPr="00EE3305">
        <w:rPr>
          <w:rFonts w:ascii="Arial" w:hAnsi="Arial" w:cs="Arial"/>
          <w:sz w:val="24"/>
          <w:szCs w:val="24"/>
        </w:rPr>
        <w:t xml:space="preserve">Din numărul total de emigranți definitivi, la nivel regional </w:t>
      </w:r>
      <w:r>
        <w:rPr>
          <w:rFonts w:ascii="Arial" w:hAnsi="Arial" w:cs="Arial"/>
          <w:sz w:val="24"/>
          <w:szCs w:val="24"/>
        </w:rPr>
        <w:t>(60</w:t>
      </w:r>
      <w:r w:rsidR="00CB00E1">
        <w:rPr>
          <w:rFonts w:ascii="Arial" w:hAnsi="Arial" w:cs="Arial"/>
          <w:sz w:val="24"/>
          <w:szCs w:val="24"/>
        </w:rPr>
        <w:t>.</w:t>
      </w:r>
      <w:r>
        <w:rPr>
          <w:rFonts w:ascii="Arial" w:hAnsi="Arial" w:cs="Arial"/>
          <w:sz w:val="24"/>
          <w:szCs w:val="24"/>
        </w:rPr>
        <w:t xml:space="preserve">190 persoane), </w:t>
      </w:r>
      <w:r w:rsidRPr="00EE3305">
        <w:rPr>
          <w:rFonts w:ascii="Arial" w:hAnsi="Arial" w:cs="Arial"/>
          <w:sz w:val="24"/>
          <w:szCs w:val="24"/>
        </w:rPr>
        <w:t xml:space="preserve">grupa de vârstă 15-19 ani reprezintă aproximativ 6%, iar cel de 20-24 de ani aproximativ 11%, similar cu valorile naționale. Acest fenomen influențează în sens de descreștere populația de vârstă școlară. </w:t>
      </w:r>
    </w:p>
    <w:p w:rsidR="00FB4004" w:rsidRPr="00EE3305" w:rsidRDefault="00CB00E1" w:rsidP="00CB00E1">
      <w:pPr>
        <w:spacing w:after="0" w:line="240" w:lineRule="auto"/>
        <w:jc w:val="both"/>
        <w:rPr>
          <w:rFonts w:ascii="Arial" w:hAnsi="Arial" w:cs="Arial"/>
          <w:sz w:val="24"/>
          <w:szCs w:val="24"/>
        </w:rPr>
      </w:pPr>
      <w:r>
        <w:rPr>
          <w:rFonts w:ascii="Arial" w:hAnsi="Arial" w:cs="Arial"/>
          <w:i/>
          <w:sz w:val="24"/>
          <w:szCs w:val="24"/>
        </w:rPr>
        <w:t>3.1.6.b</w:t>
      </w:r>
      <w:r w:rsidR="00E1343F">
        <w:rPr>
          <w:rFonts w:ascii="Arial" w:hAnsi="Arial" w:cs="Arial"/>
          <w:i/>
          <w:sz w:val="24"/>
          <w:szCs w:val="24"/>
        </w:rPr>
        <w:t>.</w:t>
      </w:r>
      <w:r>
        <w:rPr>
          <w:rFonts w:ascii="Arial" w:hAnsi="Arial" w:cs="Arial"/>
          <w:i/>
          <w:sz w:val="24"/>
          <w:szCs w:val="24"/>
        </w:rPr>
        <w:t xml:space="preserve"> </w:t>
      </w:r>
      <w:r w:rsidR="00FB4004" w:rsidRPr="00EE3305">
        <w:rPr>
          <w:rFonts w:ascii="Arial" w:hAnsi="Arial" w:cs="Arial"/>
          <w:i/>
          <w:sz w:val="24"/>
          <w:szCs w:val="24"/>
        </w:rPr>
        <w:t xml:space="preserve">Emigranți temporar pe grupe de vârsta, regiuni de dezvoltare </w:t>
      </w:r>
      <w:r>
        <w:rPr>
          <w:rFonts w:ascii="Arial" w:hAnsi="Arial" w:cs="Arial"/>
          <w:i/>
          <w:sz w:val="24"/>
          <w:szCs w:val="24"/>
        </w:rPr>
        <w:t>ș</w:t>
      </w:r>
      <w:r w:rsidR="00FB4004" w:rsidRPr="00EE3305">
        <w:rPr>
          <w:rFonts w:ascii="Arial" w:hAnsi="Arial" w:cs="Arial"/>
          <w:i/>
          <w:sz w:val="24"/>
          <w:szCs w:val="24"/>
        </w:rPr>
        <w:t>i județe</w:t>
      </w:r>
      <w:r w:rsidR="00FB4004" w:rsidRPr="00EE3305">
        <w:rPr>
          <w:rFonts w:ascii="Arial" w:hAnsi="Arial" w:cs="Arial"/>
          <w:sz w:val="24"/>
          <w:szCs w:val="24"/>
        </w:rPr>
        <w:t xml:space="preserve"> </w:t>
      </w:r>
    </w:p>
    <w:p w:rsidR="00FB4004" w:rsidRPr="000D7C65" w:rsidRDefault="00FB4004" w:rsidP="00CB00E1">
      <w:pPr>
        <w:spacing w:after="0" w:line="240" w:lineRule="auto"/>
        <w:jc w:val="both"/>
        <w:rPr>
          <w:rFonts w:ascii="Arial" w:hAnsi="Arial" w:cs="Arial"/>
          <w:sz w:val="24"/>
          <w:szCs w:val="24"/>
        </w:rPr>
      </w:pPr>
      <w:r w:rsidRPr="00EE3305">
        <w:rPr>
          <w:rFonts w:ascii="Arial" w:hAnsi="Arial" w:cs="Arial"/>
          <w:sz w:val="24"/>
          <w:szCs w:val="24"/>
        </w:rPr>
        <w:t xml:space="preserve">Dacă fenomenul de emigrare definitivă devine mai puțin important, atunci fenomenul de emigrare temporară are un impact semnificativ asupra economiei regionale și implicit </w:t>
      </w:r>
      <w:r>
        <w:rPr>
          <w:rFonts w:ascii="Arial" w:hAnsi="Arial" w:cs="Arial"/>
          <w:sz w:val="24"/>
          <w:szCs w:val="24"/>
        </w:rPr>
        <w:t xml:space="preserve">asupra sistemului educațional. </w:t>
      </w:r>
      <w:r w:rsidR="00F2091C">
        <w:rPr>
          <w:rFonts w:ascii="Arial" w:hAnsi="Arial" w:cs="Arial"/>
          <w:sz w:val="24"/>
          <w:szCs w:val="24"/>
        </w:rPr>
        <w:t>În perioada 2012–</w:t>
      </w:r>
      <w:r w:rsidRPr="00EE3305">
        <w:rPr>
          <w:rFonts w:ascii="Arial" w:hAnsi="Arial" w:cs="Arial"/>
          <w:sz w:val="24"/>
          <w:szCs w:val="24"/>
        </w:rPr>
        <w:t>2014 numărul celor în situație de emigrare definitivă la nivelul regiunii era de 5</w:t>
      </w:r>
      <w:r w:rsidR="00F2091C">
        <w:rPr>
          <w:rFonts w:ascii="Arial" w:hAnsi="Arial" w:cs="Arial"/>
          <w:sz w:val="24"/>
          <w:szCs w:val="24"/>
        </w:rPr>
        <w:t>.</w:t>
      </w:r>
      <w:r w:rsidRPr="00EE3305">
        <w:rPr>
          <w:rFonts w:ascii="Arial" w:hAnsi="Arial" w:cs="Arial"/>
          <w:sz w:val="24"/>
          <w:szCs w:val="24"/>
        </w:rPr>
        <w:t>707 persoane, și în ace</w:t>
      </w:r>
      <w:r w:rsidR="00F2091C">
        <w:rPr>
          <w:rFonts w:ascii="Arial" w:hAnsi="Arial" w:cs="Arial"/>
          <w:sz w:val="24"/>
          <w:szCs w:val="24"/>
        </w:rPr>
        <w:t>e</w:t>
      </w:r>
      <w:r w:rsidRPr="00EE3305">
        <w:rPr>
          <w:rFonts w:ascii="Arial" w:hAnsi="Arial" w:cs="Arial"/>
          <w:sz w:val="24"/>
          <w:szCs w:val="24"/>
        </w:rPr>
        <w:t>ași perioadă cei care sunt înregistrați ca emigranți temporar se ridică la 46</w:t>
      </w:r>
      <w:r w:rsidR="00F2091C">
        <w:rPr>
          <w:rFonts w:ascii="Arial" w:hAnsi="Arial" w:cs="Arial"/>
          <w:sz w:val="24"/>
          <w:szCs w:val="24"/>
        </w:rPr>
        <w:t>.</w:t>
      </w:r>
      <w:r w:rsidRPr="00EE3305">
        <w:rPr>
          <w:rFonts w:ascii="Arial" w:hAnsi="Arial" w:cs="Arial"/>
          <w:sz w:val="24"/>
          <w:szCs w:val="24"/>
        </w:rPr>
        <w:t>957 de persoane, cu o distribuție între județe proporțională cu populația totală.</w:t>
      </w:r>
    </w:p>
    <w:p w:rsidR="00F2266B" w:rsidRPr="00DD5F85" w:rsidRDefault="00F2266B" w:rsidP="000C6A67">
      <w:pPr>
        <w:spacing w:after="0" w:line="240" w:lineRule="auto"/>
        <w:jc w:val="both"/>
        <w:rPr>
          <w:rFonts w:ascii="Arial" w:hAnsi="Arial" w:cs="Arial"/>
          <w:color w:val="000000" w:themeColor="text1"/>
          <w:sz w:val="24"/>
          <w:szCs w:val="24"/>
        </w:rPr>
      </w:pPr>
    </w:p>
    <w:p w:rsidR="00FB4004" w:rsidRPr="007C40D8" w:rsidRDefault="001A346C" w:rsidP="000C6A67">
      <w:pPr>
        <w:pStyle w:val="Heading3"/>
        <w:spacing w:before="0" w:line="240" w:lineRule="auto"/>
        <w:jc w:val="both"/>
        <w:rPr>
          <w:rFonts w:ascii="Arial" w:hAnsi="Arial" w:cs="Arial"/>
          <w:b w:val="0"/>
          <w:i/>
          <w:color w:val="000000" w:themeColor="text1"/>
          <w:sz w:val="24"/>
          <w:szCs w:val="24"/>
        </w:rPr>
      </w:pPr>
      <w:bookmarkStart w:id="25" w:name="_Toc465489981"/>
      <w:bookmarkStart w:id="26" w:name="_Toc488066017"/>
      <w:r w:rsidRPr="007C40D8">
        <w:rPr>
          <w:rFonts w:ascii="Arial" w:hAnsi="Arial" w:cs="Arial"/>
          <w:b w:val="0"/>
          <w:i/>
          <w:color w:val="000000" w:themeColor="text1"/>
          <w:sz w:val="24"/>
          <w:szCs w:val="24"/>
        </w:rPr>
        <w:t>3</w:t>
      </w:r>
      <w:r w:rsidR="00F2266B" w:rsidRPr="007C40D8">
        <w:rPr>
          <w:rFonts w:ascii="Arial" w:hAnsi="Arial" w:cs="Arial"/>
          <w:b w:val="0"/>
          <w:i/>
          <w:color w:val="000000" w:themeColor="text1"/>
          <w:sz w:val="24"/>
          <w:szCs w:val="24"/>
        </w:rPr>
        <w:t>.1.7. Nivelul de trai</w:t>
      </w:r>
      <w:bookmarkEnd w:id="25"/>
      <w:bookmarkEnd w:id="26"/>
    </w:p>
    <w:p w:rsidR="00FB4004" w:rsidRPr="00EE3305" w:rsidRDefault="007C40D8" w:rsidP="000C6A67">
      <w:pPr>
        <w:spacing w:after="0" w:line="240" w:lineRule="auto"/>
        <w:jc w:val="both"/>
        <w:rPr>
          <w:rFonts w:ascii="Arial" w:hAnsi="Arial" w:cs="Arial"/>
          <w:sz w:val="24"/>
          <w:szCs w:val="24"/>
        </w:rPr>
      </w:pPr>
      <w:r>
        <w:rPr>
          <w:rFonts w:ascii="Arial" w:hAnsi="Arial" w:cs="Arial"/>
          <w:i/>
          <w:sz w:val="24"/>
          <w:szCs w:val="24"/>
        </w:rPr>
        <w:t>3.1.7.a</w:t>
      </w:r>
      <w:r w:rsidR="00E1343F">
        <w:rPr>
          <w:rFonts w:ascii="Arial" w:hAnsi="Arial" w:cs="Arial"/>
          <w:i/>
          <w:sz w:val="24"/>
          <w:szCs w:val="24"/>
        </w:rPr>
        <w:t>.</w:t>
      </w:r>
      <w:r>
        <w:rPr>
          <w:rFonts w:ascii="Arial" w:hAnsi="Arial" w:cs="Arial"/>
          <w:i/>
          <w:sz w:val="24"/>
          <w:szCs w:val="24"/>
        </w:rPr>
        <w:t xml:space="preserve"> </w:t>
      </w:r>
      <w:r w:rsidR="00FB4004" w:rsidRPr="00EE3305">
        <w:rPr>
          <w:rFonts w:ascii="Arial" w:hAnsi="Arial" w:cs="Arial"/>
          <w:i/>
          <w:sz w:val="24"/>
          <w:szCs w:val="24"/>
        </w:rPr>
        <w:t>Rata deprivării materiale severe</w:t>
      </w:r>
      <w:r w:rsidR="00FB4004" w:rsidRPr="00EE3305">
        <w:rPr>
          <w:rFonts w:ascii="Arial" w:hAnsi="Arial" w:cs="Arial"/>
          <w:sz w:val="24"/>
          <w:szCs w:val="24"/>
        </w:rPr>
        <w:t xml:space="preserve"> arată o tendință de descreștere constantă la nivel național în perioada 2007-2012, de la 36,5% (2007) la 25% (2012). Din punct de vedere al evoluției ratei deprivării materiale severe și la nivelul Regiunii Vest se înregistrază o descreștere cu 1,7 puncte procentuale (de la 25,2% în 2007 la 23,5% în 2012). Din punct de vedere al modului în care se manifestă dinamica acestui indicator se poate observa că descreșterea  este cu fluctuații, cea mai vizibilă fiind în anii 2007-2008 (3,4%)  și 2009-2010 (3,7%) apoi valorile cresc către media națională, păstrându-se sub aceasta. </w:t>
      </w:r>
    </w:p>
    <w:p w:rsidR="00FB4004" w:rsidRPr="000D7C65" w:rsidRDefault="002E02F0" w:rsidP="000C6A67">
      <w:pPr>
        <w:spacing w:after="0" w:line="240" w:lineRule="auto"/>
        <w:jc w:val="both"/>
        <w:rPr>
          <w:rFonts w:ascii="Arial" w:hAnsi="Arial" w:cs="Arial"/>
          <w:sz w:val="24"/>
          <w:szCs w:val="24"/>
        </w:rPr>
      </w:pPr>
      <w:r w:rsidRPr="00E1343F">
        <w:rPr>
          <w:rFonts w:ascii="Arial" w:hAnsi="Arial" w:cs="Arial"/>
          <w:i/>
          <w:sz w:val="24"/>
          <w:szCs w:val="24"/>
        </w:rPr>
        <w:t>3.1.7.b</w:t>
      </w:r>
      <w:r w:rsidR="00E1343F" w:rsidRPr="00E1343F">
        <w:rPr>
          <w:rFonts w:ascii="Arial" w:hAnsi="Arial" w:cs="Arial"/>
          <w:i/>
          <w:sz w:val="24"/>
          <w:szCs w:val="24"/>
        </w:rPr>
        <w:t>.</w:t>
      </w:r>
      <w:r>
        <w:rPr>
          <w:rFonts w:ascii="Arial" w:hAnsi="Arial" w:cs="Arial"/>
          <w:sz w:val="24"/>
          <w:szCs w:val="24"/>
        </w:rPr>
        <w:t xml:space="preserve"> </w:t>
      </w:r>
      <w:r w:rsidR="00FB4004" w:rsidRPr="00EE3305">
        <w:rPr>
          <w:rFonts w:ascii="Arial" w:hAnsi="Arial" w:cs="Arial"/>
          <w:sz w:val="24"/>
          <w:szCs w:val="24"/>
        </w:rPr>
        <w:t xml:space="preserve">În ceea ce privește </w:t>
      </w:r>
      <w:r w:rsidR="00FB4004" w:rsidRPr="00EE3305">
        <w:rPr>
          <w:rFonts w:ascii="Arial" w:hAnsi="Arial" w:cs="Arial"/>
          <w:i/>
          <w:sz w:val="24"/>
          <w:szCs w:val="24"/>
        </w:rPr>
        <w:t>Rata riscului de sărăcie sau excluziune socială (AROPE)</w:t>
      </w:r>
      <w:r w:rsidR="00FB4004" w:rsidRPr="00EE3305">
        <w:rPr>
          <w:rFonts w:ascii="Arial" w:hAnsi="Arial" w:cs="Arial"/>
          <w:sz w:val="24"/>
          <w:szCs w:val="24"/>
        </w:rPr>
        <w:t xml:space="preserve"> pentru Regiunea Vest se poate observa că diferența față de valoarea națională se micșorează, dar încă rămâne sub media națională. </w:t>
      </w:r>
    </w:p>
    <w:p w:rsidR="00F2266B" w:rsidRPr="00DD5F85" w:rsidRDefault="00F2266B" w:rsidP="000C6A67">
      <w:pPr>
        <w:spacing w:after="0" w:line="240" w:lineRule="auto"/>
        <w:jc w:val="both"/>
        <w:rPr>
          <w:rFonts w:ascii="Arial" w:hAnsi="Arial" w:cs="Arial"/>
          <w:color w:val="000000" w:themeColor="text1"/>
          <w:sz w:val="24"/>
          <w:szCs w:val="24"/>
        </w:rPr>
      </w:pPr>
    </w:p>
    <w:p w:rsidR="00F2266B" w:rsidRPr="000F2DD5" w:rsidRDefault="001A346C" w:rsidP="000C6A67">
      <w:pPr>
        <w:pStyle w:val="Heading2"/>
        <w:spacing w:before="0" w:line="240" w:lineRule="auto"/>
        <w:jc w:val="both"/>
        <w:rPr>
          <w:rFonts w:ascii="Arial" w:hAnsi="Arial" w:cs="Arial"/>
          <w:color w:val="000000" w:themeColor="text1"/>
          <w:sz w:val="24"/>
          <w:szCs w:val="24"/>
        </w:rPr>
      </w:pPr>
      <w:bookmarkStart w:id="27" w:name="_Toc465489982"/>
      <w:bookmarkStart w:id="28" w:name="_Toc488066018"/>
      <w:r w:rsidRPr="000F2DD5">
        <w:rPr>
          <w:rFonts w:ascii="Arial" w:hAnsi="Arial" w:cs="Arial"/>
          <w:color w:val="000000" w:themeColor="text1"/>
          <w:sz w:val="24"/>
          <w:szCs w:val="24"/>
        </w:rPr>
        <w:t>3</w:t>
      </w:r>
      <w:r w:rsidR="00DF597E" w:rsidRPr="000F2DD5">
        <w:rPr>
          <w:rFonts w:ascii="Arial" w:hAnsi="Arial" w:cs="Arial"/>
          <w:color w:val="000000" w:themeColor="text1"/>
          <w:sz w:val="24"/>
          <w:szCs w:val="24"/>
        </w:rPr>
        <w:t>.2.</w:t>
      </w:r>
      <w:r w:rsidR="00F2266B" w:rsidRPr="000F2DD5">
        <w:rPr>
          <w:rFonts w:ascii="Arial" w:hAnsi="Arial" w:cs="Arial"/>
          <w:color w:val="000000" w:themeColor="text1"/>
          <w:sz w:val="24"/>
          <w:szCs w:val="24"/>
        </w:rPr>
        <w:t xml:space="preserve">Proiecţii demografice la orizontul anului </w:t>
      </w:r>
      <w:r w:rsidR="00DF597E" w:rsidRPr="000F2DD5">
        <w:rPr>
          <w:rFonts w:ascii="Arial" w:hAnsi="Arial" w:cs="Arial"/>
          <w:color w:val="000000" w:themeColor="text1"/>
          <w:sz w:val="24"/>
          <w:szCs w:val="24"/>
        </w:rPr>
        <w:t xml:space="preserve">2030 și </w:t>
      </w:r>
      <w:r w:rsidR="00F2266B" w:rsidRPr="000F2DD5">
        <w:rPr>
          <w:rFonts w:ascii="Arial" w:hAnsi="Arial" w:cs="Arial"/>
          <w:color w:val="000000" w:themeColor="text1"/>
          <w:sz w:val="24"/>
          <w:szCs w:val="24"/>
        </w:rPr>
        <w:t>2060</w:t>
      </w:r>
      <w:bookmarkEnd w:id="27"/>
      <w:bookmarkEnd w:id="28"/>
    </w:p>
    <w:p w:rsidR="00FB4004" w:rsidRPr="00211540" w:rsidRDefault="00FB4004" w:rsidP="000C6A67">
      <w:pPr>
        <w:pStyle w:val="Heading2"/>
        <w:spacing w:before="0" w:line="240" w:lineRule="auto"/>
        <w:jc w:val="both"/>
        <w:rPr>
          <w:rFonts w:ascii="Arial" w:hAnsi="Arial" w:cs="Arial"/>
          <w:i/>
          <w:color w:val="000000" w:themeColor="text1"/>
          <w:sz w:val="24"/>
          <w:szCs w:val="24"/>
        </w:rPr>
      </w:pPr>
    </w:p>
    <w:p w:rsidR="00FB4004" w:rsidRPr="00EE3305" w:rsidRDefault="002E02F0" w:rsidP="000C6A67">
      <w:pPr>
        <w:spacing w:after="0" w:line="240" w:lineRule="auto"/>
        <w:jc w:val="both"/>
        <w:outlineLvl w:val="0"/>
        <w:rPr>
          <w:rFonts w:ascii="Arial" w:hAnsi="Arial" w:cs="Arial"/>
          <w:bCs/>
          <w:sz w:val="24"/>
          <w:szCs w:val="24"/>
        </w:rPr>
      </w:pPr>
      <w:bookmarkStart w:id="29" w:name="_Toc488066019"/>
      <w:r>
        <w:rPr>
          <w:rFonts w:ascii="Arial" w:hAnsi="Arial" w:cs="Arial"/>
          <w:i/>
          <w:sz w:val="24"/>
          <w:szCs w:val="24"/>
        </w:rPr>
        <w:t>3.2.1.</w:t>
      </w:r>
      <w:r w:rsidR="00FB4004" w:rsidRPr="00EE3305">
        <w:rPr>
          <w:rFonts w:ascii="Arial" w:hAnsi="Arial" w:cs="Arial"/>
          <w:i/>
          <w:sz w:val="24"/>
          <w:szCs w:val="24"/>
        </w:rPr>
        <w:t>Evoluţia populaţiei de vârstă preşcolară şi şcolară</w:t>
      </w:r>
      <w:bookmarkEnd w:id="29"/>
      <w:r w:rsidR="00FB4004" w:rsidRPr="00EE3305">
        <w:rPr>
          <w:rFonts w:ascii="Arial" w:hAnsi="Arial" w:cs="Arial"/>
          <w:sz w:val="24"/>
          <w:szCs w:val="24"/>
        </w:rPr>
        <w:t xml:space="preserve"> </w:t>
      </w:r>
    </w:p>
    <w:p w:rsidR="00FB4004" w:rsidRPr="00EE3305" w:rsidRDefault="00FB4004" w:rsidP="000C6A67">
      <w:pPr>
        <w:spacing w:after="0" w:line="240" w:lineRule="auto"/>
        <w:jc w:val="both"/>
        <w:rPr>
          <w:rFonts w:ascii="Arial" w:hAnsi="Arial" w:cs="Arial"/>
          <w:bCs/>
          <w:sz w:val="24"/>
          <w:szCs w:val="24"/>
        </w:rPr>
      </w:pPr>
      <w:r w:rsidRPr="00EE3305">
        <w:rPr>
          <w:rFonts w:ascii="Arial" w:hAnsi="Arial" w:cs="Arial"/>
          <w:bCs/>
          <w:sz w:val="24"/>
          <w:szCs w:val="24"/>
        </w:rPr>
        <w:t xml:space="preserve">Proiecțiile demografice ale populației la orizontul anului 2060 semnalează o descreștere pentru fiecare categorie de vârstă supusă analizei. </w:t>
      </w:r>
    </w:p>
    <w:p w:rsidR="00FB4004" w:rsidRPr="00EE3305" w:rsidRDefault="00FB4004" w:rsidP="000C6A67">
      <w:pPr>
        <w:spacing w:after="0" w:line="240" w:lineRule="auto"/>
        <w:jc w:val="both"/>
        <w:rPr>
          <w:rFonts w:ascii="Arial" w:hAnsi="Arial" w:cs="Arial"/>
          <w:bCs/>
          <w:sz w:val="24"/>
          <w:szCs w:val="24"/>
        </w:rPr>
      </w:pPr>
      <w:r w:rsidRPr="00EE3305">
        <w:rPr>
          <w:rFonts w:ascii="Arial" w:hAnsi="Arial" w:cs="Arial"/>
          <w:bCs/>
          <w:sz w:val="24"/>
          <w:szCs w:val="24"/>
        </w:rPr>
        <w:t>Populaţia de vârstă şcolară (7-14 ani) va descrește cu -850,9 mii persoane (-49,4%) în varianta cu migrație externă și cu -799,4 mii persoane (-46,4) în varianta fără migrație externă.</w:t>
      </w:r>
    </w:p>
    <w:p w:rsidR="00FB4004" w:rsidRPr="00EE3305" w:rsidRDefault="00FB4004" w:rsidP="000C6A67">
      <w:pPr>
        <w:spacing w:after="0" w:line="240" w:lineRule="auto"/>
        <w:jc w:val="both"/>
        <w:rPr>
          <w:rFonts w:ascii="Arial" w:hAnsi="Arial" w:cs="Arial"/>
          <w:bCs/>
          <w:sz w:val="24"/>
          <w:szCs w:val="24"/>
        </w:rPr>
      </w:pPr>
      <w:r w:rsidRPr="00EE3305">
        <w:rPr>
          <w:rFonts w:ascii="Arial" w:hAnsi="Arial" w:cs="Arial"/>
          <w:bCs/>
          <w:sz w:val="24"/>
          <w:szCs w:val="24"/>
        </w:rPr>
        <w:t>Pentru populația de vârstă școlară (15-24 ani) se proiectează o descreștere cu -1333,9 (-49,4) în varianta cu migrație externă și cu -1258,8 mii persoane (-46,6) în varianta fără migrație externă.</w:t>
      </w:r>
    </w:p>
    <w:p w:rsidR="00FB4004" w:rsidRPr="00EE3305" w:rsidRDefault="002E02F0" w:rsidP="000C6A67">
      <w:pPr>
        <w:spacing w:after="0" w:line="240" w:lineRule="auto"/>
        <w:jc w:val="both"/>
        <w:outlineLvl w:val="0"/>
        <w:rPr>
          <w:rFonts w:ascii="Arial" w:hAnsi="Arial" w:cs="Arial"/>
          <w:bCs/>
          <w:i/>
          <w:sz w:val="24"/>
          <w:szCs w:val="24"/>
        </w:rPr>
      </w:pPr>
      <w:bookmarkStart w:id="30" w:name="_Toc488066020"/>
      <w:r>
        <w:rPr>
          <w:rFonts w:ascii="Arial" w:hAnsi="Arial" w:cs="Arial"/>
          <w:i/>
          <w:sz w:val="24"/>
          <w:szCs w:val="24"/>
        </w:rPr>
        <w:t xml:space="preserve">3.2.2. </w:t>
      </w:r>
      <w:r w:rsidR="00FB4004" w:rsidRPr="00EE3305">
        <w:rPr>
          <w:rFonts w:ascii="Arial" w:hAnsi="Arial" w:cs="Arial"/>
          <w:i/>
          <w:sz w:val="24"/>
          <w:szCs w:val="24"/>
        </w:rPr>
        <w:t>Populaţia României pe grupe mari de vârstă, în</w:t>
      </w:r>
      <w:r w:rsidR="00FB4004">
        <w:rPr>
          <w:rFonts w:ascii="Arial" w:hAnsi="Arial" w:cs="Arial"/>
          <w:i/>
          <w:sz w:val="24"/>
          <w:szCs w:val="24"/>
        </w:rPr>
        <w:t xml:space="preserve"> anii 2011, 2020, 2030 şi 2060</w:t>
      </w:r>
      <w:bookmarkEnd w:id="30"/>
    </w:p>
    <w:p w:rsidR="00FB4004" w:rsidRDefault="00FB4004" w:rsidP="000C6A67">
      <w:pPr>
        <w:spacing w:after="0" w:line="240" w:lineRule="auto"/>
        <w:jc w:val="both"/>
        <w:rPr>
          <w:rFonts w:ascii="Arial" w:eastAsia="Times New Roman" w:hAnsi="Arial" w:cs="Arial"/>
          <w:sz w:val="24"/>
          <w:szCs w:val="24"/>
          <w:lang w:val="en-US"/>
        </w:rPr>
      </w:pPr>
      <w:r w:rsidRPr="00EE3305">
        <w:rPr>
          <w:rFonts w:ascii="Arial" w:hAnsi="Arial" w:cs="Arial"/>
          <w:bCs/>
          <w:sz w:val="24"/>
          <w:szCs w:val="24"/>
        </w:rPr>
        <w:t>Ponderea populaț</w:t>
      </w:r>
      <w:r w:rsidR="002E02F0">
        <w:rPr>
          <w:rFonts w:ascii="Arial" w:hAnsi="Arial" w:cs="Arial"/>
          <w:bCs/>
          <w:sz w:val="24"/>
          <w:szCs w:val="24"/>
        </w:rPr>
        <w:t>iei din grupa mare de vârstă 15-</w:t>
      </w:r>
      <w:r w:rsidRPr="00EE3305">
        <w:rPr>
          <w:rFonts w:ascii="Arial" w:hAnsi="Arial" w:cs="Arial"/>
          <w:bCs/>
          <w:sz w:val="24"/>
          <w:szCs w:val="24"/>
        </w:rPr>
        <w:t xml:space="preserve">64 ani va înregistra  o scădere  de la </w:t>
      </w:r>
      <w:r w:rsidR="002E02F0">
        <w:rPr>
          <w:rFonts w:ascii="Arial" w:eastAsia="Times New Roman" w:hAnsi="Arial" w:cs="Arial"/>
          <w:sz w:val="24"/>
          <w:szCs w:val="24"/>
          <w:lang w:val="en-US"/>
        </w:rPr>
        <w:t xml:space="preserve">68% </w:t>
      </w:r>
      <w:r w:rsidRPr="00EE3305">
        <w:rPr>
          <w:rFonts w:ascii="Arial" w:eastAsia="Times New Roman" w:hAnsi="Arial" w:cs="Arial"/>
          <w:sz w:val="24"/>
          <w:szCs w:val="24"/>
          <w:lang w:val="en-US"/>
        </w:rPr>
        <w:t>în 2011, în ambele cazuri, la 61,2% (</w:t>
      </w:r>
      <w:r w:rsidRPr="00EE3305">
        <w:rPr>
          <w:rFonts w:ascii="Arial" w:hAnsi="Arial" w:cs="Arial"/>
          <w:bCs/>
          <w:sz w:val="24"/>
          <w:szCs w:val="24"/>
        </w:rPr>
        <w:t>în varianta cu migrație externă</w:t>
      </w:r>
      <w:r w:rsidRPr="00EE3305">
        <w:rPr>
          <w:rFonts w:ascii="Arial" w:eastAsia="Times New Roman" w:hAnsi="Arial" w:cs="Arial"/>
          <w:sz w:val="24"/>
          <w:szCs w:val="24"/>
          <w:lang w:val="en-US"/>
        </w:rPr>
        <w:t>) și la 61,3% (</w:t>
      </w:r>
      <w:r w:rsidRPr="00EE3305">
        <w:rPr>
          <w:rFonts w:ascii="Arial" w:hAnsi="Arial" w:cs="Arial"/>
          <w:bCs/>
          <w:sz w:val="24"/>
          <w:szCs w:val="24"/>
        </w:rPr>
        <w:t>în varianta fără migrație externă</w:t>
      </w:r>
      <w:r w:rsidRPr="00EE3305">
        <w:rPr>
          <w:rFonts w:ascii="Arial" w:eastAsia="Times New Roman" w:hAnsi="Arial" w:cs="Arial"/>
          <w:sz w:val="24"/>
          <w:szCs w:val="24"/>
          <w:lang w:val="en-US"/>
        </w:rPr>
        <w:t xml:space="preserve">) în anul 2060, </w:t>
      </w:r>
      <w:r w:rsidRPr="00EE3305">
        <w:rPr>
          <w:rFonts w:ascii="Arial" w:hAnsi="Arial" w:cs="Arial"/>
          <w:bCs/>
          <w:sz w:val="24"/>
          <w:szCs w:val="24"/>
        </w:rPr>
        <w:t>cu efecte dificil de previzionat și contracarat în ceea ce privește forța de muncă activă, rata de ocupar</w:t>
      </w:r>
      <w:r>
        <w:rPr>
          <w:rFonts w:ascii="Arial" w:hAnsi="Arial" w:cs="Arial"/>
          <w:bCs/>
          <w:sz w:val="24"/>
          <w:szCs w:val="24"/>
        </w:rPr>
        <w:t>e și fenomenul de îmbătrânire a</w:t>
      </w:r>
      <w:r w:rsidRPr="00EE3305">
        <w:rPr>
          <w:rFonts w:ascii="Arial" w:hAnsi="Arial" w:cs="Arial"/>
          <w:bCs/>
          <w:sz w:val="24"/>
          <w:szCs w:val="24"/>
        </w:rPr>
        <w:t xml:space="preserve"> populației. Ponderea populației de 6</w:t>
      </w:r>
      <w:r w:rsidR="002E02F0">
        <w:rPr>
          <w:rFonts w:ascii="Arial" w:hAnsi="Arial" w:cs="Arial"/>
          <w:bCs/>
          <w:sz w:val="24"/>
          <w:szCs w:val="24"/>
        </w:rPr>
        <w:t xml:space="preserve">5 ani și peste va </w:t>
      </w:r>
      <w:r w:rsidR="002E02F0">
        <w:rPr>
          <w:rFonts w:ascii="Arial" w:hAnsi="Arial" w:cs="Arial"/>
          <w:bCs/>
          <w:sz w:val="24"/>
          <w:szCs w:val="24"/>
        </w:rPr>
        <w:lastRenderedPageBreak/>
        <w:t xml:space="preserve">crește de la 16,1% (2011), </w:t>
      </w:r>
      <w:r w:rsidRPr="00EE3305">
        <w:rPr>
          <w:rFonts w:ascii="Arial" w:hAnsi="Arial" w:cs="Arial"/>
          <w:bCs/>
          <w:sz w:val="24"/>
          <w:szCs w:val="24"/>
        </w:rPr>
        <w:t xml:space="preserve">în ambele cazuri, la </w:t>
      </w:r>
      <w:r w:rsidRPr="00EE3305">
        <w:rPr>
          <w:rFonts w:ascii="Arial" w:eastAsia="Times New Roman" w:hAnsi="Arial" w:cs="Arial"/>
          <w:sz w:val="24"/>
          <w:szCs w:val="24"/>
          <w:lang w:val="en-US"/>
        </w:rPr>
        <w:t>26,7% (</w:t>
      </w:r>
      <w:r w:rsidRPr="00EE3305">
        <w:rPr>
          <w:rFonts w:ascii="Arial" w:hAnsi="Arial" w:cs="Arial"/>
          <w:bCs/>
          <w:sz w:val="24"/>
          <w:szCs w:val="24"/>
        </w:rPr>
        <w:t>în varianta cu migrație externă</w:t>
      </w:r>
      <w:r w:rsidRPr="00EE3305">
        <w:rPr>
          <w:rFonts w:ascii="Arial" w:eastAsia="Times New Roman" w:hAnsi="Arial" w:cs="Arial"/>
          <w:sz w:val="24"/>
          <w:szCs w:val="24"/>
          <w:lang w:val="en-US"/>
        </w:rPr>
        <w:t>) și la 26,2% (</w:t>
      </w:r>
      <w:r w:rsidRPr="00EE3305">
        <w:rPr>
          <w:rFonts w:ascii="Arial" w:hAnsi="Arial" w:cs="Arial"/>
          <w:bCs/>
          <w:sz w:val="24"/>
          <w:szCs w:val="24"/>
        </w:rPr>
        <w:t>în varianta fără migrație externă</w:t>
      </w:r>
      <w:r w:rsidRPr="00EE3305">
        <w:rPr>
          <w:rFonts w:ascii="Arial" w:eastAsia="Times New Roman" w:hAnsi="Arial" w:cs="Arial"/>
          <w:sz w:val="24"/>
          <w:szCs w:val="24"/>
          <w:lang w:val="en-US"/>
        </w:rPr>
        <w:t>), în anul 2060</w:t>
      </w:r>
      <w:r>
        <w:rPr>
          <w:rFonts w:ascii="Arial" w:eastAsia="Times New Roman" w:hAnsi="Arial" w:cs="Arial"/>
          <w:sz w:val="24"/>
          <w:szCs w:val="24"/>
          <w:lang w:val="en-US"/>
        </w:rPr>
        <w:t xml:space="preserve">. </w:t>
      </w:r>
    </w:p>
    <w:p w:rsidR="00DF597E" w:rsidRDefault="00DF597E" w:rsidP="000C6A67">
      <w:pPr>
        <w:spacing w:after="0" w:line="240" w:lineRule="auto"/>
        <w:jc w:val="both"/>
        <w:rPr>
          <w:rFonts w:ascii="Arial" w:hAnsi="Arial" w:cs="Arial"/>
          <w:bCs/>
          <w:sz w:val="24"/>
          <w:szCs w:val="24"/>
        </w:rPr>
      </w:pPr>
      <w:r>
        <w:rPr>
          <w:rFonts w:ascii="Arial" w:hAnsi="Arial" w:cs="Arial"/>
          <w:bCs/>
          <w:sz w:val="24"/>
          <w:szCs w:val="24"/>
        </w:rPr>
        <w:t xml:space="preserve">Prognoza populației școlare la nivelul anului 2030, exprimat în procente arată o evoluție similara la nivelul Regiunii Vest cu cea națională; pentru grupele de vârstă 6-10 ani și 11-14 ani, este prognozată o scădere a populației școlare sub media națională, cu -15,51% față de -19,79% național și -11,36% față de -15,33% național. </w:t>
      </w:r>
    </w:p>
    <w:p w:rsidR="00DF597E" w:rsidRDefault="00DF597E" w:rsidP="000C6A67">
      <w:pPr>
        <w:spacing w:after="0" w:line="240" w:lineRule="auto"/>
        <w:jc w:val="both"/>
        <w:rPr>
          <w:rFonts w:ascii="Arial" w:hAnsi="Arial" w:cs="Arial"/>
          <w:bCs/>
          <w:sz w:val="24"/>
          <w:szCs w:val="24"/>
        </w:rPr>
      </w:pPr>
      <w:r>
        <w:rPr>
          <w:rFonts w:ascii="Arial" w:hAnsi="Arial" w:cs="Arial"/>
          <w:bCs/>
          <w:sz w:val="24"/>
          <w:szCs w:val="24"/>
        </w:rPr>
        <w:t>Pentru grupele de vârstă 15-18 ani și 19-23 ani, este prognozată tot o scădere a populației școlare dar de data asta ne situăm peste națională, cu -16,37% față de -13,82% național și -20,96% față de -12,77% național.</w:t>
      </w:r>
    </w:p>
    <w:p w:rsidR="002E02F0" w:rsidRPr="002E02F0" w:rsidRDefault="00DF597E" w:rsidP="002E02F0">
      <w:pPr>
        <w:spacing w:after="240" w:line="240" w:lineRule="auto"/>
        <w:jc w:val="both"/>
        <w:rPr>
          <w:rFonts w:ascii="Arial" w:hAnsi="Arial" w:cs="Arial"/>
          <w:bCs/>
          <w:sz w:val="24"/>
          <w:szCs w:val="24"/>
        </w:rPr>
      </w:pPr>
      <w:r>
        <w:rPr>
          <w:rFonts w:ascii="Arial" w:hAnsi="Arial" w:cs="Arial"/>
          <w:bCs/>
          <w:sz w:val="24"/>
          <w:szCs w:val="24"/>
        </w:rPr>
        <w:t xml:space="preserve">Este de remarcat faptul ca exista disparități foarte mari intre județele regiunii, care este </w:t>
      </w:r>
      <w:r w:rsidR="00C52D21">
        <w:rPr>
          <w:rFonts w:ascii="Arial" w:hAnsi="Arial" w:cs="Arial"/>
          <w:bCs/>
          <w:sz w:val="24"/>
          <w:szCs w:val="24"/>
        </w:rPr>
        <w:t>pre</w:t>
      </w:r>
      <w:r>
        <w:rPr>
          <w:rFonts w:ascii="Arial" w:hAnsi="Arial" w:cs="Arial"/>
          <w:bCs/>
          <w:sz w:val="24"/>
          <w:szCs w:val="24"/>
        </w:rPr>
        <w:t xml:space="preserve">zentă pentru fiecare categorie de vârstă, cele mai afectate județe fiind Caraș Severin și Hunedoara, urmate de județul Arad. </w:t>
      </w:r>
      <w:bookmarkStart w:id="31" w:name="_Toc465489983"/>
    </w:p>
    <w:p w:rsidR="000D7C65" w:rsidRPr="000F2DD5" w:rsidRDefault="001A346C" w:rsidP="002E02F0">
      <w:pPr>
        <w:pStyle w:val="Heading2"/>
        <w:spacing w:before="0" w:after="240" w:line="240" w:lineRule="auto"/>
        <w:jc w:val="both"/>
        <w:rPr>
          <w:rFonts w:ascii="Arial" w:hAnsi="Arial" w:cs="Arial"/>
          <w:color w:val="000000" w:themeColor="text1"/>
          <w:sz w:val="24"/>
          <w:szCs w:val="24"/>
        </w:rPr>
      </w:pPr>
      <w:bookmarkStart w:id="32" w:name="_Toc488066021"/>
      <w:r w:rsidRPr="000F2DD5">
        <w:rPr>
          <w:rFonts w:ascii="Arial" w:hAnsi="Arial" w:cs="Arial"/>
          <w:color w:val="000000" w:themeColor="text1"/>
          <w:sz w:val="24"/>
          <w:szCs w:val="24"/>
        </w:rPr>
        <w:t>3</w:t>
      </w:r>
      <w:r w:rsidR="00F2266B" w:rsidRPr="000F2DD5">
        <w:rPr>
          <w:rFonts w:ascii="Arial" w:hAnsi="Arial" w:cs="Arial"/>
          <w:color w:val="000000" w:themeColor="text1"/>
          <w:sz w:val="24"/>
          <w:szCs w:val="24"/>
        </w:rPr>
        <w:t>.3. Principalele concluzii din analiza demografică. Implicaţii pentru IPT</w:t>
      </w:r>
      <w:bookmarkEnd w:id="31"/>
      <w:bookmarkEnd w:id="32"/>
    </w:p>
    <w:p w:rsidR="00FB4004" w:rsidRPr="002E02F0" w:rsidRDefault="00FB4004" w:rsidP="002E02F0">
      <w:pPr>
        <w:spacing w:after="0" w:line="240" w:lineRule="auto"/>
        <w:jc w:val="both"/>
        <w:rPr>
          <w:rFonts w:ascii="Arial" w:hAnsi="Arial" w:cs="Arial"/>
          <w:sz w:val="24"/>
          <w:szCs w:val="24"/>
        </w:rPr>
      </w:pPr>
      <w:r w:rsidRPr="00FD7FBD">
        <w:rPr>
          <w:rFonts w:ascii="Arial" w:hAnsi="Arial" w:cs="Arial"/>
          <w:b/>
          <w:sz w:val="24"/>
          <w:szCs w:val="24"/>
        </w:rPr>
        <w:t>Gradul de urbanizare</w:t>
      </w:r>
      <w:r w:rsidRPr="00EE3305">
        <w:rPr>
          <w:rFonts w:ascii="Arial" w:hAnsi="Arial" w:cs="Arial"/>
          <w:sz w:val="24"/>
          <w:szCs w:val="24"/>
        </w:rPr>
        <w:t xml:space="preserve"> a Regiunii Vest peste media națională înseamnă pentru IPT o mai mare concentrare în orașe  a unităților școlare care oferă servicii de educație și formare profesională, fiind necesar însă asigurarea accesului la aceste servicii pentru populația din mediul rural, totuși semnificativă. </w:t>
      </w:r>
    </w:p>
    <w:p w:rsidR="00FB4004" w:rsidRPr="00EE3305" w:rsidRDefault="00FB4004" w:rsidP="002E02F0">
      <w:pPr>
        <w:spacing w:after="0" w:line="240" w:lineRule="auto"/>
        <w:jc w:val="both"/>
        <w:rPr>
          <w:rFonts w:ascii="Arial" w:hAnsi="Arial" w:cs="Arial"/>
          <w:sz w:val="24"/>
          <w:szCs w:val="24"/>
        </w:rPr>
      </w:pPr>
      <w:r w:rsidRPr="00FD7FBD">
        <w:rPr>
          <w:rFonts w:ascii="Arial" w:hAnsi="Arial" w:cs="Arial"/>
          <w:b/>
          <w:sz w:val="24"/>
          <w:szCs w:val="24"/>
        </w:rPr>
        <w:t>Fenomenul de îmbătrânire</w:t>
      </w:r>
      <w:r w:rsidRPr="00EE3305">
        <w:rPr>
          <w:rFonts w:ascii="Arial" w:hAnsi="Arial" w:cs="Arial"/>
          <w:sz w:val="24"/>
          <w:szCs w:val="24"/>
        </w:rPr>
        <w:t xml:space="preserve"> este accentuat în regiune, și trebuie luat în considerare în procesul de planificare a ofertei, analizând pe sectoare procentul de persoane active care vor ieși în pensie în următoarea perioadă, cu efecte majore în ceea ce privește forța de muncă calificată și ocupată. </w:t>
      </w:r>
    </w:p>
    <w:p w:rsidR="00FB4004" w:rsidRPr="00EE3305" w:rsidRDefault="00FB4004" w:rsidP="002E02F0">
      <w:pPr>
        <w:spacing w:after="0" w:line="240" w:lineRule="auto"/>
        <w:jc w:val="both"/>
        <w:rPr>
          <w:rFonts w:ascii="Arial" w:hAnsi="Arial" w:cs="Arial"/>
          <w:sz w:val="24"/>
          <w:szCs w:val="24"/>
        </w:rPr>
      </w:pPr>
      <w:r w:rsidRPr="00EE3305">
        <w:rPr>
          <w:rFonts w:ascii="Arial" w:hAnsi="Arial" w:cs="Arial"/>
          <w:sz w:val="24"/>
          <w:szCs w:val="24"/>
        </w:rPr>
        <w:t xml:space="preserve">Populația regiunii, inclusiv populația de vârstă școlară este afectată de fenomenul de </w:t>
      </w:r>
      <w:r w:rsidRPr="00FD7FBD">
        <w:rPr>
          <w:rFonts w:ascii="Arial" w:hAnsi="Arial" w:cs="Arial"/>
          <w:b/>
          <w:sz w:val="24"/>
          <w:szCs w:val="24"/>
        </w:rPr>
        <w:t>emigrare temporară</w:t>
      </w:r>
      <w:r w:rsidRPr="00EE3305">
        <w:rPr>
          <w:rFonts w:ascii="Arial" w:hAnsi="Arial" w:cs="Arial"/>
          <w:sz w:val="24"/>
          <w:szCs w:val="24"/>
        </w:rPr>
        <w:t xml:space="preserve">, cu influențe asupra ofertei de calificări la nivel regional. Diminuarea numărului de elevi, implicit diminuarea claselor din oferta regiunii are drept efect limitarea diversificării calificărilor. În cazul numărului mai mic de clase propuse, nu se va putea asigura acoperirea nevoilor de calificări și domenii de calificare  în fiecare județ. Această situație va influența în mod negativ posibilitățile de adecvare a ofertei la cererea angajatorilor, în primul rând în ceea ce privește includerea de noi calificări profesionale în ofertă. </w:t>
      </w:r>
    </w:p>
    <w:p w:rsidR="00FB4004" w:rsidRPr="00EE3305" w:rsidRDefault="00FB4004" w:rsidP="002E02F0">
      <w:pPr>
        <w:spacing w:after="0" w:line="240" w:lineRule="auto"/>
        <w:jc w:val="both"/>
        <w:rPr>
          <w:rFonts w:ascii="Arial" w:hAnsi="Arial" w:cs="Arial"/>
          <w:sz w:val="24"/>
          <w:szCs w:val="24"/>
        </w:rPr>
      </w:pPr>
      <w:r w:rsidRPr="00FD7FBD">
        <w:rPr>
          <w:rFonts w:ascii="Arial" w:hAnsi="Arial" w:cs="Arial"/>
          <w:b/>
          <w:sz w:val="24"/>
          <w:szCs w:val="24"/>
        </w:rPr>
        <w:t>Pentru populația de etnie romă</w:t>
      </w:r>
      <w:r w:rsidRPr="00EE3305">
        <w:rPr>
          <w:rFonts w:ascii="Arial" w:hAnsi="Arial" w:cs="Arial"/>
          <w:sz w:val="24"/>
          <w:szCs w:val="24"/>
        </w:rPr>
        <w:t xml:space="preserve"> sunt necesare trasee de formare profesională de tip „</w:t>
      </w:r>
      <w:r w:rsidR="002E02F0">
        <w:rPr>
          <w:rFonts w:ascii="Arial" w:hAnsi="Arial" w:cs="Arial"/>
          <w:sz w:val="24"/>
          <w:szCs w:val="24"/>
        </w:rPr>
        <w:t>A</w:t>
      </w:r>
      <w:r w:rsidRPr="00EE3305">
        <w:rPr>
          <w:rFonts w:ascii="Arial" w:hAnsi="Arial" w:cs="Arial"/>
          <w:sz w:val="24"/>
          <w:szCs w:val="24"/>
        </w:rPr>
        <w:t xml:space="preserve"> doua șansă„ având în vedere nivelul de educație și analfabetism înregistrate. </w:t>
      </w:r>
    </w:p>
    <w:p w:rsidR="00FB4004" w:rsidRDefault="00FB4004" w:rsidP="002E02F0">
      <w:pPr>
        <w:spacing w:after="0" w:line="240" w:lineRule="auto"/>
        <w:jc w:val="both"/>
        <w:rPr>
          <w:rFonts w:ascii="Arial" w:hAnsi="Arial" w:cs="Arial"/>
          <w:color w:val="000000" w:themeColor="text1"/>
          <w:sz w:val="24"/>
          <w:szCs w:val="24"/>
        </w:rPr>
      </w:pPr>
    </w:p>
    <w:p w:rsidR="000D7C65" w:rsidRPr="000D7C65" w:rsidRDefault="000D7C65" w:rsidP="000C6A67">
      <w:pPr>
        <w:spacing w:after="0" w:line="240" w:lineRule="auto"/>
        <w:jc w:val="both"/>
        <w:rPr>
          <w:rFonts w:ascii="Arial" w:hAnsi="Arial" w:cs="Arial"/>
          <w:sz w:val="24"/>
          <w:szCs w:val="24"/>
        </w:rPr>
      </w:pPr>
    </w:p>
    <w:p w:rsidR="004F3EAD" w:rsidRDefault="004F3EAD" w:rsidP="000C6A67">
      <w:pPr>
        <w:spacing w:after="0" w:line="240" w:lineRule="auto"/>
        <w:rPr>
          <w:rFonts w:ascii="Arial" w:hAnsi="Arial" w:cs="Arial"/>
          <w:color w:val="000000" w:themeColor="text1"/>
          <w:sz w:val="24"/>
          <w:szCs w:val="24"/>
        </w:rPr>
      </w:pPr>
      <w:r>
        <w:rPr>
          <w:rFonts w:ascii="Arial" w:hAnsi="Arial" w:cs="Arial"/>
          <w:color w:val="000000" w:themeColor="text1"/>
          <w:sz w:val="24"/>
          <w:szCs w:val="24"/>
        </w:rPr>
        <w:br w:type="page"/>
      </w:r>
    </w:p>
    <w:p w:rsidR="000D7C65" w:rsidRPr="00DD5F85" w:rsidRDefault="000D7C65" w:rsidP="000C6A67">
      <w:pPr>
        <w:spacing w:after="0" w:line="240" w:lineRule="auto"/>
        <w:jc w:val="both"/>
        <w:rPr>
          <w:rFonts w:ascii="Arial" w:hAnsi="Arial" w:cs="Arial"/>
          <w:color w:val="000000" w:themeColor="text1"/>
          <w:sz w:val="24"/>
          <w:szCs w:val="24"/>
        </w:rPr>
      </w:pPr>
    </w:p>
    <w:p w:rsidR="00F2266B" w:rsidRDefault="001A346C" w:rsidP="000C6A67">
      <w:pPr>
        <w:pStyle w:val="Heading1"/>
        <w:spacing w:before="0" w:line="240" w:lineRule="auto"/>
        <w:jc w:val="center"/>
        <w:rPr>
          <w:rFonts w:ascii="Arial" w:hAnsi="Arial" w:cs="Arial"/>
          <w:color w:val="000000" w:themeColor="text1"/>
        </w:rPr>
      </w:pPr>
      <w:bookmarkStart w:id="33" w:name="_Toc465489984"/>
      <w:bookmarkStart w:id="34" w:name="_Toc488066022"/>
      <w:r w:rsidRPr="00DD5F85">
        <w:rPr>
          <w:rFonts w:ascii="Arial" w:hAnsi="Arial" w:cs="Arial"/>
          <w:color w:val="000000" w:themeColor="text1"/>
        </w:rPr>
        <w:t>4</w:t>
      </w:r>
      <w:r w:rsidR="00F2266B" w:rsidRPr="00DD5F85">
        <w:rPr>
          <w:rFonts w:ascii="Arial" w:hAnsi="Arial" w:cs="Arial"/>
          <w:color w:val="000000" w:themeColor="text1"/>
        </w:rPr>
        <w:t>. Profilul economic regional</w:t>
      </w:r>
      <w:bookmarkEnd w:id="33"/>
      <w:bookmarkEnd w:id="34"/>
    </w:p>
    <w:p w:rsidR="000D7C65" w:rsidRPr="000D7C65" w:rsidRDefault="000D7C65" w:rsidP="000C6A67">
      <w:pPr>
        <w:spacing w:after="0" w:line="240" w:lineRule="auto"/>
        <w:jc w:val="both"/>
        <w:rPr>
          <w:rFonts w:ascii="Arial" w:hAnsi="Arial" w:cs="Arial"/>
          <w:sz w:val="28"/>
          <w:szCs w:val="28"/>
        </w:rPr>
      </w:pPr>
    </w:p>
    <w:p w:rsidR="00F2266B" w:rsidRPr="00E1343F" w:rsidRDefault="001A346C" w:rsidP="000C6A67">
      <w:pPr>
        <w:pStyle w:val="Heading2"/>
        <w:spacing w:before="0" w:line="240" w:lineRule="auto"/>
        <w:jc w:val="both"/>
        <w:rPr>
          <w:rFonts w:ascii="Arial" w:hAnsi="Arial" w:cs="Arial"/>
          <w:color w:val="000000" w:themeColor="text1"/>
          <w:sz w:val="24"/>
          <w:szCs w:val="24"/>
        </w:rPr>
      </w:pPr>
      <w:bookmarkStart w:id="35" w:name="_Toc465489985"/>
      <w:bookmarkStart w:id="36" w:name="_Toc488066023"/>
      <w:r w:rsidRPr="00E1343F">
        <w:rPr>
          <w:rFonts w:ascii="Arial" w:hAnsi="Arial" w:cs="Arial"/>
          <w:color w:val="000000" w:themeColor="text1"/>
          <w:sz w:val="24"/>
          <w:szCs w:val="24"/>
        </w:rPr>
        <w:t>4</w:t>
      </w:r>
      <w:r w:rsidR="00F2266B" w:rsidRPr="00E1343F">
        <w:rPr>
          <w:rFonts w:ascii="Arial" w:hAnsi="Arial" w:cs="Arial"/>
          <w:color w:val="000000" w:themeColor="text1"/>
          <w:sz w:val="24"/>
          <w:szCs w:val="24"/>
        </w:rPr>
        <w:t>.1. Evoluţii şi situaţia actuală. Principalii indicatori economici</w:t>
      </w:r>
      <w:bookmarkEnd w:id="35"/>
      <w:bookmarkEnd w:id="36"/>
    </w:p>
    <w:p w:rsidR="000D7C65" w:rsidRPr="000D7C65" w:rsidRDefault="000D7C65" w:rsidP="000C6A67">
      <w:pPr>
        <w:spacing w:after="0" w:line="240" w:lineRule="auto"/>
        <w:jc w:val="both"/>
        <w:rPr>
          <w:rFonts w:ascii="Arial" w:hAnsi="Arial" w:cs="Arial"/>
          <w:sz w:val="24"/>
          <w:szCs w:val="24"/>
        </w:rPr>
      </w:pPr>
    </w:p>
    <w:p w:rsidR="000D7C65" w:rsidRPr="000D7C65" w:rsidRDefault="009550B8" w:rsidP="000C6A67">
      <w:pPr>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Acest capitol acoperă cele mai relevante aspecte care vizeaz</w:t>
      </w:r>
      <w:r w:rsidRPr="009550B8">
        <w:rPr>
          <w:rFonts w:ascii="Arial" w:hAnsi="Arial" w:cs="Arial"/>
          <w:color w:val="000000" w:themeColor="text1"/>
          <w:sz w:val="24"/>
          <w:szCs w:val="24"/>
        </w:rPr>
        <w:t>ă produsul intern brut (PIB) şi a valorii adăugate brute (VAB</w:t>
      </w:r>
      <w:r>
        <w:rPr>
          <w:rFonts w:ascii="Arial" w:hAnsi="Arial" w:cs="Arial"/>
          <w:color w:val="000000" w:themeColor="text1"/>
          <w:sz w:val="24"/>
          <w:szCs w:val="24"/>
        </w:rPr>
        <w:t xml:space="preserve">), </w:t>
      </w:r>
      <w:r w:rsidRPr="009550B8">
        <w:rPr>
          <w:rFonts w:ascii="Arial" w:hAnsi="Arial" w:cs="Arial"/>
          <w:color w:val="000000" w:themeColor="text1"/>
          <w:sz w:val="24"/>
          <w:szCs w:val="24"/>
        </w:rPr>
        <w:t xml:space="preserve">Dinamica generală a firmelor din Regiune și </w:t>
      </w:r>
      <w:r w:rsidRPr="009550B8">
        <w:rPr>
          <w:rFonts w:ascii="Arial" w:hAnsi="Arial" w:cs="Arial"/>
          <w:color w:val="000000" w:themeColor="text1"/>
          <w:sz w:val="24"/>
          <w:szCs w:val="24"/>
          <w:lang w:eastAsia="ro-RO"/>
        </w:rPr>
        <w:t>Demografia întreprinderilor</w:t>
      </w:r>
      <w:r w:rsidR="00CC34E5">
        <w:rPr>
          <w:rFonts w:ascii="Arial" w:hAnsi="Arial" w:cs="Arial"/>
          <w:color w:val="000000" w:themeColor="text1"/>
          <w:sz w:val="24"/>
          <w:szCs w:val="24"/>
        </w:rPr>
        <w:t>.</w:t>
      </w:r>
    </w:p>
    <w:p w:rsidR="001B55C3" w:rsidRDefault="001B55C3" w:rsidP="000C6A67">
      <w:pPr>
        <w:pStyle w:val="Heading3"/>
        <w:spacing w:before="0" w:line="240" w:lineRule="auto"/>
        <w:jc w:val="both"/>
        <w:rPr>
          <w:rFonts w:ascii="Arial" w:hAnsi="Arial" w:cs="Arial"/>
          <w:b w:val="0"/>
          <w:i/>
          <w:color w:val="000000" w:themeColor="text1"/>
          <w:sz w:val="24"/>
          <w:szCs w:val="24"/>
        </w:rPr>
      </w:pPr>
      <w:bookmarkStart w:id="37" w:name="_Toc465489986"/>
    </w:p>
    <w:p w:rsidR="00F2266B" w:rsidRPr="00E1343F" w:rsidRDefault="001A346C" w:rsidP="000C6A67">
      <w:pPr>
        <w:pStyle w:val="Heading3"/>
        <w:spacing w:before="0" w:line="240" w:lineRule="auto"/>
        <w:jc w:val="both"/>
        <w:rPr>
          <w:rFonts w:ascii="Arial" w:hAnsi="Arial" w:cs="Arial"/>
          <w:b w:val="0"/>
          <w:i/>
          <w:color w:val="000000" w:themeColor="text1"/>
          <w:sz w:val="24"/>
          <w:szCs w:val="24"/>
        </w:rPr>
      </w:pPr>
      <w:bookmarkStart w:id="38" w:name="_Toc488066024"/>
      <w:r w:rsidRPr="00E1343F">
        <w:rPr>
          <w:rFonts w:ascii="Arial" w:hAnsi="Arial" w:cs="Arial"/>
          <w:b w:val="0"/>
          <w:i/>
          <w:color w:val="000000" w:themeColor="text1"/>
          <w:sz w:val="24"/>
          <w:szCs w:val="24"/>
        </w:rPr>
        <w:t>4</w:t>
      </w:r>
      <w:r w:rsidR="00F2266B" w:rsidRPr="00E1343F">
        <w:rPr>
          <w:rFonts w:ascii="Arial" w:hAnsi="Arial" w:cs="Arial"/>
          <w:b w:val="0"/>
          <w:i/>
          <w:color w:val="000000" w:themeColor="text1"/>
          <w:sz w:val="24"/>
          <w:szCs w:val="24"/>
        </w:rPr>
        <w:t>.1.1. Evoluţia produsul intern brut (PIB) şi a valorii adăugate brute (VAB)</w:t>
      </w:r>
      <w:bookmarkEnd w:id="37"/>
      <w:r w:rsidR="000A00BD" w:rsidRPr="00E1343F">
        <w:rPr>
          <w:rStyle w:val="FootnoteReference"/>
          <w:rFonts w:ascii="Arial" w:hAnsi="Arial" w:cs="Arial"/>
          <w:b w:val="0"/>
          <w:i/>
          <w:color w:val="000000" w:themeColor="text1"/>
          <w:sz w:val="24"/>
          <w:szCs w:val="24"/>
        </w:rPr>
        <w:footnoteReference w:id="27"/>
      </w:r>
      <w:bookmarkEnd w:id="38"/>
    </w:p>
    <w:p w:rsidR="009550B8" w:rsidRPr="002C6A38" w:rsidRDefault="009550B8" w:rsidP="000C6A67">
      <w:pPr>
        <w:tabs>
          <w:tab w:val="left" w:pos="450"/>
        </w:tabs>
        <w:spacing w:after="0" w:line="240" w:lineRule="auto"/>
        <w:contextualSpacing/>
        <w:jc w:val="both"/>
        <w:rPr>
          <w:rFonts w:ascii="Arial" w:hAnsi="Arial" w:cs="Arial"/>
          <w:sz w:val="24"/>
          <w:szCs w:val="24"/>
        </w:rPr>
      </w:pPr>
      <w:r w:rsidRPr="004F3EAD">
        <w:rPr>
          <w:rFonts w:ascii="Arial" w:hAnsi="Arial" w:cs="Arial"/>
          <w:i/>
          <w:sz w:val="24"/>
          <w:szCs w:val="24"/>
        </w:rPr>
        <w:t>4.1.1.1.a. Evoluţia Valorii adăugate brute (VAB) pe ramuri de activitate în perioada 2008 - 2013 CAEN RE</w:t>
      </w:r>
      <w:r w:rsidR="004F3EAD">
        <w:rPr>
          <w:rFonts w:ascii="Arial" w:hAnsi="Arial" w:cs="Arial"/>
          <w:i/>
          <w:sz w:val="24"/>
          <w:szCs w:val="24"/>
        </w:rPr>
        <w:t xml:space="preserve">V 2 </w:t>
      </w:r>
      <w:r w:rsidRPr="002C6A38">
        <w:rPr>
          <w:rFonts w:ascii="Arial" w:hAnsi="Arial" w:cs="Arial"/>
          <w:sz w:val="24"/>
          <w:szCs w:val="24"/>
        </w:rPr>
        <w:t>arată o tendință care se suprapune peste cea națională, în ceea ce privește contribuția mai semnificativă a ramurilor de activitate ( A02, A04, A07 și A09), cu un maxim propunțat pentru anul 2011 de 39,4%  aferent A02.</w:t>
      </w:r>
    </w:p>
    <w:p w:rsidR="009550B8" w:rsidRPr="004F3EAD" w:rsidRDefault="009550B8" w:rsidP="000C6A67">
      <w:pPr>
        <w:tabs>
          <w:tab w:val="left" w:pos="450"/>
        </w:tabs>
        <w:spacing w:after="0" w:line="240" w:lineRule="auto"/>
        <w:contextualSpacing/>
        <w:jc w:val="both"/>
        <w:rPr>
          <w:rFonts w:ascii="Arial" w:hAnsi="Arial" w:cs="Arial"/>
          <w:sz w:val="24"/>
          <w:szCs w:val="24"/>
        </w:rPr>
      </w:pPr>
      <w:r w:rsidRPr="004F3EAD">
        <w:rPr>
          <w:rFonts w:ascii="Arial" w:hAnsi="Arial" w:cs="Arial"/>
          <w:sz w:val="24"/>
          <w:szCs w:val="24"/>
        </w:rPr>
        <w:t>Contribuția Regiunii Vest la dezvoltarea și formarea VAB naționale a oscilat în perioada 2008-2013 în intervalul de 9,5% - 10,1%, devansând doar Regiunea Sud-Vest.</w:t>
      </w:r>
    </w:p>
    <w:p w:rsidR="009550B8" w:rsidRPr="00FD7FBD" w:rsidRDefault="00FD7FBD" w:rsidP="000C6A67">
      <w:pPr>
        <w:pStyle w:val="ListParagraph"/>
        <w:tabs>
          <w:tab w:val="left" w:pos="450"/>
        </w:tabs>
        <w:ind w:left="450"/>
        <w:contextualSpacing/>
        <w:jc w:val="center"/>
        <w:rPr>
          <w:rFonts w:ascii="Arial" w:hAnsi="Arial" w:cs="Arial"/>
          <w:sz w:val="22"/>
          <w:szCs w:val="22"/>
          <w:lang w:val="ro-RO"/>
        </w:rPr>
      </w:pPr>
      <w:r w:rsidRPr="00FD7FBD">
        <w:rPr>
          <w:rFonts w:ascii="Arial" w:hAnsi="Arial" w:cs="Arial"/>
          <w:sz w:val="22"/>
          <w:szCs w:val="22"/>
          <w:lang w:val="ro-RO"/>
        </w:rPr>
        <w:t xml:space="preserve">Figura </w:t>
      </w:r>
      <w:r w:rsidR="002E42E6">
        <w:rPr>
          <w:rFonts w:ascii="Arial" w:hAnsi="Arial" w:cs="Arial"/>
          <w:sz w:val="22"/>
          <w:szCs w:val="22"/>
          <w:lang w:val="ro-RO"/>
        </w:rPr>
        <w:t>4</w:t>
      </w:r>
      <w:r w:rsidRPr="00FD7FBD">
        <w:rPr>
          <w:rFonts w:ascii="Arial" w:hAnsi="Arial" w:cs="Arial"/>
          <w:sz w:val="22"/>
          <w:szCs w:val="22"/>
          <w:lang w:val="ro-RO"/>
        </w:rPr>
        <w:t>.</w:t>
      </w:r>
    </w:p>
    <w:p w:rsidR="009550B8" w:rsidRPr="00CD3DCB" w:rsidRDefault="009550B8" w:rsidP="000C6A67">
      <w:pPr>
        <w:pStyle w:val="ListParagraph"/>
        <w:ind w:left="0"/>
        <w:contextualSpacing/>
        <w:jc w:val="center"/>
        <w:rPr>
          <w:sz w:val="24"/>
          <w:szCs w:val="24"/>
          <w:lang w:val="ro-RO"/>
        </w:rPr>
      </w:pPr>
      <w:r w:rsidRPr="00304AAA">
        <w:rPr>
          <w:noProof/>
          <w:sz w:val="24"/>
          <w:szCs w:val="24"/>
          <w:bdr w:val="single" w:sz="4" w:space="0" w:color="auto"/>
        </w:rPr>
        <w:drawing>
          <wp:inline distT="0" distB="0" distL="0" distR="0">
            <wp:extent cx="5863590" cy="2948940"/>
            <wp:effectExtent l="19050" t="0" r="22860" b="3810"/>
            <wp:docPr id="1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9550B8" w:rsidRPr="00FD7FBD" w:rsidRDefault="009550B8" w:rsidP="000C6A67">
      <w:pPr>
        <w:spacing w:after="0" w:line="240" w:lineRule="auto"/>
        <w:jc w:val="center"/>
        <w:rPr>
          <w:rFonts w:ascii="Arial" w:eastAsia="Times New Roman" w:hAnsi="Arial" w:cs="Arial"/>
          <w:color w:val="000000"/>
          <w:lang w:val="en-US"/>
        </w:rPr>
      </w:pPr>
      <w:r w:rsidRPr="00FD7FBD">
        <w:rPr>
          <w:rFonts w:ascii="Arial" w:eastAsia="Times New Roman" w:hAnsi="Arial" w:cs="Arial"/>
          <w:color w:val="000000"/>
          <w:lang w:val="en-US"/>
        </w:rPr>
        <w:t>Sursa datelor: INS Conturi naţionale regionale</w:t>
      </w:r>
    </w:p>
    <w:p w:rsidR="009550B8" w:rsidRDefault="009550B8" w:rsidP="000C6A67">
      <w:pPr>
        <w:pStyle w:val="ListParagraph"/>
        <w:contextualSpacing/>
        <w:rPr>
          <w:sz w:val="24"/>
          <w:szCs w:val="24"/>
          <w:lang w:val="ro-RO"/>
        </w:rPr>
      </w:pPr>
    </w:p>
    <w:p w:rsidR="009550B8" w:rsidRDefault="009550B8" w:rsidP="000C6A67">
      <w:pPr>
        <w:spacing w:after="0" w:line="240" w:lineRule="auto"/>
        <w:contextualSpacing/>
        <w:jc w:val="both"/>
        <w:rPr>
          <w:rFonts w:ascii="Arial" w:hAnsi="Arial" w:cs="Arial"/>
          <w:sz w:val="24"/>
          <w:szCs w:val="24"/>
        </w:rPr>
      </w:pPr>
      <w:r w:rsidRPr="004F3EAD">
        <w:rPr>
          <w:rFonts w:ascii="Arial" w:hAnsi="Arial" w:cs="Arial"/>
          <w:i/>
          <w:sz w:val="24"/>
          <w:szCs w:val="24"/>
        </w:rPr>
        <w:t>4.1.1.1.b.Evoluţia produsului intern brut/locuitor la preţuri curente</w:t>
      </w:r>
      <w:r w:rsidR="004F3EAD">
        <w:rPr>
          <w:rFonts w:ascii="Arial" w:hAnsi="Arial" w:cs="Arial"/>
          <w:i/>
          <w:sz w:val="24"/>
          <w:szCs w:val="24"/>
        </w:rPr>
        <w:t xml:space="preserve"> - </w:t>
      </w:r>
      <w:r w:rsidR="00E1343F">
        <w:rPr>
          <w:rFonts w:ascii="Arial" w:hAnsi="Arial" w:cs="Arial"/>
          <w:sz w:val="24"/>
          <w:szCs w:val="24"/>
        </w:rPr>
        <w:t xml:space="preserve">Regiunea </w:t>
      </w:r>
      <w:r w:rsidRPr="002C6A38">
        <w:rPr>
          <w:rFonts w:ascii="Arial" w:hAnsi="Arial" w:cs="Arial"/>
          <w:sz w:val="24"/>
          <w:szCs w:val="24"/>
        </w:rPr>
        <w:t xml:space="preserve">s-a păstrat peste media națională, și imediat după </w:t>
      </w:r>
      <w:r w:rsidR="004F3EAD">
        <w:rPr>
          <w:rFonts w:ascii="Arial" w:hAnsi="Arial" w:cs="Arial"/>
          <w:sz w:val="24"/>
          <w:szCs w:val="24"/>
        </w:rPr>
        <w:t>București Ilfov în privința PIB</w:t>
      </w:r>
      <w:r w:rsidRPr="002C6A38">
        <w:rPr>
          <w:rFonts w:ascii="Arial" w:hAnsi="Arial" w:cs="Arial"/>
          <w:sz w:val="24"/>
          <w:szCs w:val="24"/>
        </w:rPr>
        <w:t xml:space="preserve">/locuitor, în întreaga perioadă supusă analizei, însă rămâne la mare distanță față de valorile UE27. </w:t>
      </w:r>
    </w:p>
    <w:p w:rsidR="00FD7FBD" w:rsidRPr="002C6A38" w:rsidRDefault="00FD7FBD" w:rsidP="000C6A67">
      <w:pPr>
        <w:spacing w:after="0" w:line="240" w:lineRule="auto"/>
        <w:contextualSpacing/>
        <w:jc w:val="both"/>
        <w:rPr>
          <w:rFonts w:ascii="Arial" w:hAnsi="Arial" w:cs="Arial"/>
          <w:sz w:val="24"/>
          <w:szCs w:val="24"/>
        </w:rPr>
      </w:pPr>
      <w:r w:rsidRPr="004F3EAD">
        <w:rPr>
          <w:rFonts w:ascii="Arial" w:hAnsi="Arial" w:cs="Arial"/>
          <w:i/>
          <w:sz w:val="24"/>
          <w:szCs w:val="24"/>
        </w:rPr>
        <w:t>4.1.</w:t>
      </w:r>
      <w:r w:rsidR="00E1343F">
        <w:rPr>
          <w:rFonts w:ascii="Arial" w:hAnsi="Arial" w:cs="Arial"/>
          <w:i/>
          <w:sz w:val="24"/>
          <w:szCs w:val="24"/>
        </w:rPr>
        <w:t>1.1.</w:t>
      </w:r>
      <w:r w:rsidRPr="004F3EAD">
        <w:rPr>
          <w:rFonts w:ascii="Arial" w:hAnsi="Arial" w:cs="Arial"/>
          <w:i/>
          <w:sz w:val="24"/>
          <w:szCs w:val="24"/>
        </w:rPr>
        <w:t>c. Evoluţia indicelui de disparitate a produsului intern b</w:t>
      </w:r>
      <w:r w:rsidR="00FF31A8">
        <w:rPr>
          <w:rFonts w:ascii="Arial" w:hAnsi="Arial" w:cs="Arial"/>
          <w:i/>
          <w:sz w:val="24"/>
          <w:szCs w:val="24"/>
        </w:rPr>
        <w:t>rut/locuitor la preţuri curente</w:t>
      </w:r>
      <w:r w:rsidRPr="004F3EAD">
        <w:rPr>
          <w:rFonts w:ascii="Arial" w:hAnsi="Arial" w:cs="Arial"/>
          <w:i/>
          <w:sz w:val="24"/>
          <w:szCs w:val="24"/>
        </w:rPr>
        <w:t xml:space="preserve">. </w:t>
      </w:r>
      <w:r w:rsidRPr="002C6A38">
        <w:rPr>
          <w:rFonts w:ascii="Arial" w:hAnsi="Arial" w:cs="Arial"/>
          <w:sz w:val="24"/>
          <w:szCs w:val="24"/>
        </w:rPr>
        <w:t xml:space="preserve">Valoarea acestui indicator se păstrează cu puțin peste 100%, ceea ce arată o diferență </w:t>
      </w:r>
      <w:r>
        <w:rPr>
          <w:rFonts w:ascii="Arial" w:hAnsi="Arial" w:cs="Arial"/>
          <w:sz w:val="24"/>
          <w:szCs w:val="24"/>
        </w:rPr>
        <w:t xml:space="preserve">relativă </w:t>
      </w:r>
      <w:r w:rsidRPr="002C6A38">
        <w:rPr>
          <w:rFonts w:ascii="Arial" w:hAnsi="Arial" w:cs="Arial"/>
          <w:sz w:val="24"/>
          <w:szCs w:val="24"/>
        </w:rPr>
        <w:t xml:space="preserve">față de toate regiunile țării, cu excepția București-Ilfov. </w:t>
      </w:r>
    </w:p>
    <w:p w:rsidR="00FD7FBD" w:rsidRPr="004F3EAD" w:rsidRDefault="00FD7FBD" w:rsidP="000C6A67">
      <w:pPr>
        <w:spacing w:after="0" w:line="240" w:lineRule="auto"/>
        <w:contextualSpacing/>
        <w:jc w:val="both"/>
        <w:rPr>
          <w:rFonts w:ascii="Arial" w:hAnsi="Arial" w:cs="Arial"/>
          <w:sz w:val="24"/>
          <w:szCs w:val="24"/>
        </w:rPr>
      </w:pPr>
      <w:r w:rsidRPr="004F3EAD">
        <w:rPr>
          <w:rFonts w:ascii="Arial" w:hAnsi="Arial" w:cs="Arial"/>
          <w:i/>
          <w:sz w:val="24"/>
          <w:szCs w:val="24"/>
        </w:rPr>
        <w:t>4.</w:t>
      </w:r>
      <w:r w:rsidR="00E1343F">
        <w:rPr>
          <w:rFonts w:ascii="Arial" w:hAnsi="Arial" w:cs="Arial"/>
          <w:i/>
          <w:sz w:val="24"/>
          <w:szCs w:val="24"/>
        </w:rPr>
        <w:t xml:space="preserve">1.1.1.d. </w:t>
      </w:r>
      <w:r w:rsidRPr="004F3EAD">
        <w:rPr>
          <w:rFonts w:ascii="Arial" w:hAnsi="Arial" w:cs="Arial"/>
          <w:i/>
          <w:sz w:val="24"/>
          <w:szCs w:val="24"/>
        </w:rPr>
        <w:t>Produsul intern brut pe locuitor calculat pe baza parităţii puterii de cumpărare (în PCS)</w:t>
      </w:r>
      <w:r w:rsidRPr="004F3EAD">
        <w:rPr>
          <w:rFonts w:ascii="Arial" w:hAnsi="Arial" w:cs="Arial"/>
          <w:sz w:val="24"/>
          <w:szCs w:val="24"/>
        </w:rPr>
        <w:t xml:space="preserve"> – pe de o parte arată o tendință de creștere în perioada analizată, de la valoarea 8.800</w:t>
      </w:r>
      <w:r w:rsidR="00FF31A8">
        <w:rPr>
          <w:rFonts w:ascii="Arial" w:hAnsi="Arial" w:cs="Arial"/>
          <w:sz w:val="24"/>
          <w:szCs w:val="24"/>
        </w:rPr>
        <w:t xml:space="preserve"> </w:t>
      </w:r>
      <w:r w:rsidRPr="004F3EAD">
        <w:rPr>
          <w:rFonts w:ascii="Arial" w:hAnsi="Arial" w:cs="Arial"/>
          <w:sz w:val="24"/>
          <w:szCs w:val="24"/>
        </w:rPr>
        <w:t xml:space="preserve">Euro/locuitor până la valoarea actuală de 15.800 Euro/locuitor, tendință similară cu evoluția indicatorului la nivel național, și cu păstrarea poziției de lider, imediat după București Ilfov. </w:t>
      </w:r>
    </w:p>
    <w:p w:rsidR="009550B8" w:rsidRPr="00FD7FBD" w:rsidRDefault="00FD7FBD" w:rsidP="000C6A67">
      <w:pPr>
        <w:spacing w:after="0" w:line="240" w:lineRule="auto"/>
        <w:contextualSpacing/>
        <w:jc w:val="center"/>
        <w:rPr>
          <w:rFonts w:ascii="Arial" w:hAnsi="Arial" w:cs="Arial"/>
          <w:sz w:val="24"/>
          <w:szCs w:val="24"/>
        </w:rPr>
      </w:pPr>
      <w:r w:rsidRPr="00424677">
        <w:rPr>
          <w:rFonts w:ascii="Arial" w:hAnsi="Arial" w:cs="Arial"/>
        </w:rPr>
        <w:lastRenderedPageBreak/>
        <w:t>F</w:t>
      </w:r>
      <w:r w:rsidR="00963A96" w:rsidRPr="00424677">
        <w:rPr>
          <w:rFonts w:ascii="Arial" w:hAnsi="Arial" w:cs="Arial"/>
        </w:rPr>
        <w:t>i</w:t>
      </w:r>
      <w:r w:rsidRPr="00424677">
        <w:rPr>
          <w:rFonts w:ascii="Arial" w:hAnsi="Arial" w:cs="Arial"/>
        </w:rPr>
        <w:t xml:space="preserve">gura </w:t>
      </w:r>
      <w:r w:rsidR="002E42E6">
        <w:rPr>
          <w:rFonts w:ascii="Arial" w:hAnsi="Arial" w:cs="Arial"/>
        </w:rPr>
        <w:t>5</w:t>
      </w:r>
      <w:r w:rsidR="00995B91">
        <w:rPr>
          <w:rFonts w:ascii="Arial" w:hAnsi="Arial" w:cs="Arial"/>
        </w:rPr>
        <w:t>.</w:t>
      </w:r>
      <w:r w:rsidRPr="00DF7BBF">
        <w:rPr>
          <w:noProof/>
          <w:sz w:val="24"/>
          <w:szCs w:val="24"/>
          <w:lang w:val="en-US"/>
        </w:rPr>
        <w:drawing>
          <wp:inline distT="0" distB="0" distL="0" distR="0">
            <wp:extent cx="5695950" cy="2127885"/>
            <wp:effectExtent l="19050" t="0" r="19050" b="5715"/>
            <wp:docPr id="1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Pr>
          <w:rFonts w:ascii="Arial" w:hAnsi="Arial" w:cs="Arial"/>
          <w:sz w:val="24"/>
          <w:szCs w:val="24"/>
        </w:rPr>
        <w:t xml:space="preserve">. </w:t>
      </w:r>
    </w:p>
    <w:tbl>
      <w:tblPr>
        <w:tblW w:w="8512" w:type="dxa"/>
        <w:tblInd w:w="108" w:type="dxa"/>
        <w:tblLook w:val="04A0" w:firstRow="1" w:lastRow="0" w:firstColumn="1" w:lastColumn="0" w:noHBand="0" w:noVBand="1"/>
      </w:tblPr>
      <w:tblGrid>
        <w:gridCol w:w="1738"/>
        <w:gridCol w:w="7482"/>
      </w:tblGrid>
      <w:tr w:rsidR="009550B8" w:rsidRPr="00FD7FBD" w:rsidTr="006867E4">
        <w:trPr>
          <w:trHeight w:val="276"/>
        </w:trPr>
        <w:tc>
          <w:tcPr>
            <w:tcW w:w="1936" w:type="dxa"/>
            <w:tcBorders>
              <w:top w:val="nil"/>
              <w:left w:val="nil"/>
              <w:bottom w:val="nil"/>
              <w:right w:val="nil"/>
            </w:tcBorders>
            <w:shd w:val="clear" w:color="auto" w:fill="auto"/>
            <w:noWrap/>
            <w:vAlign w:val="bottom"/>
            <w:hideMark/>
          </w:tcPr>
          <w:p w:rsidR="009550B8" w:rsidRPr="00FD7FBD" w:rsidRDefault="009550B8" w:rsidP="000C6A67">
            <w:pPr>
              <w:spacing w:after="0" w:line="240" w:lineRule="auto"/>
              <w:rPr>
                <w:rFonts w:ascii="Arial" w:eastAsia="Times New Roman" w:hAnsi="Arial" w:cs="Arial"/>
                <w:color w:val="000000"/>
                <w:lang w:val="en-US"/>
              </w:rPr>
            </w:pPr>
            <w:r w:rsidRPr="00FD7FBD">
              <w:rPr>
                <w:rFonts w:ascii="Arial" w:eastAsia="Times New Roman" w:hAnsi="Arial" w:cs="Arial"/>
                <w:color w:val="000000"/>
                <w:lang w:val="en-US"/>
              </w:rPr>
              <w:t>Sursa datelor: Eurostat</w:t>
            </w:r>
          </w:p>
        </w:tc>
        <w:tc>
          <w:tcPr>
            <w:tcW w:w="6576" w:type="dxa"/>
            <w:tcBorders>
              <w:top w:val="nil"/>
              <w:left w:val="nil"/>
              <w:bottom w:val="nil"/>
              <w:right w:val="nil"/>
            </w:tcBorders>
            <w:shd w:val="clear" w:color="auto" w:fill="auto"/>
            <w:noWrap/>
            <w:vAlign w:val="bottom"/>
            <w:hideMark/>
          </w:tcPr>
          <w:p w:rsidR="009550B8" w:rsidRPr="00FD7FBD" w:rsidRDefault="00DC3D41" w:rsidP="000C6A67">
            <w:pPr>
              <w:spacing w:after="0" w:line="240" w:lineRule="auto"/>
              <w:rPr>
                <w:rFonts w:ascii="Arial" w:eastAsia="Times New Roman" w:hAnsi="Arial" w:cs="Arial"/>
                <w:color w:val="0000FF"/>
                <w:u w:val="single"/>
                <w:lang w:val="en-US"/>
              </w:rPr>
            </w:pPr>
            <w:hyperlink r:id="rId22" w:history="1">
              <w:r w:rsidR="009550B8" w:rsidRPr="00FD7FBD">
                <w:rPr>
                  <w:rFonts w:ascii="Arial" w:eastAsia="Times New Roman" w:hAnsi="Arial" w:cs="Arial"/>
                  <w:color w:val="0000FF"/>
                  <w:u w:val="single"/>
                  <w:lang w:val="en-US"/>
                </w:rPr>
                <w:t xml:space="preserve">http://appsso.eurostat.ec.europa.eu/nui/show.do?dataset=nama_10r_2gdp&amp;lang=en </w:t>
              </w:r>
            </w:hyperlink>
          </w:p>
        </w:tc>
      </w:tr>
    </w:tbl>
    <w:p w:rsidR="000D7C65" w:rsidRPr="004F3EAD" w:rsidRDefault="000D7C65" w:rsidP="000C6A67">
      <w:pPr>
        <w:spacing w:after="0" w:line="240" w:lineRule="auto"/>
        <w:jc w:val="both"/>
        <w:rPr>
          <w:rFonts w:ascii="Arial" w:hAnsi="Arial" w:cs="Arial"/>
          <w:color w:val="000000" w:themeColor="text1"/>
          <w:sz w:val="24"/>
          <w:szCs w:val="24"/>
        </w:rPr>
      </w:pPr>
    </w:p>
    <w:p w:rsidR="004F3EAD" w:rsidRDefault="001A346C" w:rsidP="000C6A67">
      <w:pPr>
        <w:spacing w:after="0" w:line="240" w:lineRule="auto"/>
        <w:contextualSpacing/>
        <w:jc w:val="both"/>
        <w:rPr>
          <w:rFonts w:ascii="Arial" w:hAnsi="Arial" w:cs="Arial"/>
          <w:sz w:val="24"/>
          <w:szCs w:val="24"/>
        </w:rPr>
      </w:pPr>
      <w:bookmarkStart w:id="39" w:name="_Toc465489987"/>
      <w:r w:rsidRPr="00963A96">
        <w:rPr>
          <w:rFonts w:ascii="Arial" w:hAnsi="Arial" w:cs="Arial"/>
          <w:i/>
          <w:color w:val="000000" w:themeColor="text1"/>
          <w:sz w:val="24"/>
          <w:szCs w:val="24"/>
        </w:rPr>
        <w:t>4</w:t>
      </w:r>
      <w:r w:rsidR="00F2266B" w:rsidRPr="00963A96">
        <w:rPr>
          <w:rFonts w:ascii="Arial" w:hAnsi="Arial" w:cs="Arial"/>
          <w:i/>
          <w:color w:val="000000" w:themeColor="text1"/>
          <w:sz w:val="24"/>
          <w:szCs w:val="24"/>
        </w:rPr>
        <w:t>.1.2.</w:t>
      </w:r>
      <w:r w:rsidRPr="00963A96">
        <w:rPr>
          <w:rFonts w:ascii="Arial" w:hAnsi="Arial" w:cs="Arial"/>
          <w:i/>
          <w:color w:val="000000" w:themeColor="text1"/>
          <w:sz w:val="24"/>
          <w:szCs w:val="24"/>
        </w:rPr>
        <w:t xml:space="preserve"> </w:t>
      </w:r>
      <w:r w:rsidR="00F2266B" w:rsidRPr="00963A96">
        <w:rPr>
          <w:rFonts w:ascii="Arial" w:hAnsi="Arial" w:cs="Arial"/>
          <w:i/>
          <w:color w:val="000000" w:themeColor="text1"/>
          <w:sz w:val="24"/>
          <w:szCs w:val="24"/>
        </w:rPr>
        <w:t>Dinamica generală a firmelor din Regiune</w:t>
      </w:r>
      <w:bookmarkEnd w:id="39"/>
      <w:r w:rsidR="004F3EAD" w:rsidRPr="00963A96">
        <w:rPr>
          <w:rFonts w:ascii="Arial" w:hAnsi="Arial" w:cs="Arial"/>
          <w:i/>
          <w:color w:val="000000" w:themeColor="text1"/>
          <w:sz w:val="24"/>
          <w:szCs w:val="24"/>
        </w:rPr>
        <w:t>a</w:t>
      </w:r>
      <w:r w:rsidR="00584026">
        <w:rPr>
          <w:rFonts w:ascii="Arial" w:hAnsi="Arial" w:cs="Arial"/>
          <w:i/>
          <w:color w:val="000000" w:themeColor="text1"/>
          <w:sz w:val="24"/>
          <w:szCs w:val="24"/>
        </w:rPr>
        <w:t xml:space="preserve"> </w:t>
      </w:r>
      <w:r w:rsidR="004F3EAD" w:rsidRPr="00963A96">
        <w:rPr>
          <w:rFonts w:ascii="Arial" w:hAnsi="Arial" w:cs="Arial"/>
          <w:i/>
          <w:color w:val="000000" w:themeColor="text1"/>
          <w:sz w:val="24"/>
          <w:szCs w:val="24"/>
        </w:rPr>
        <w:t>Vest</w:t>
      </w:r>
      <w:r w:rsidRPr="004F3EAD">
        <w:rPr>
          <w:rFonts w:ascii="Arial" w:hAnsi="Arial" w:cs="Arial"/>
          <w:color w:val="000000" w:themeColor="text1"/>
          <w:sz w:val="24"/>
          <w:szCs w:val="24"/>
        </w:rPr>
        <w:t xml:space="preserve"> </w:t>
      </w:r>
      <w:r w:rsidR="004F3EAD">
        <w:rPr>
          <w:rFonts w:ascii="Arial" w:hAnsi="Arial" w:cs="Arial"/>
          <w:color w:val="000000" w:themeColor="text1"/>
          <w:sz w:val="24"/>
          <w:szCs w:val="24"/>
        </w:rPr>
        <w:t>–</w:t>
      </w:r>
      <w:r w:rsidRPr="004F3EAD">
        <w:rPr>
          <w:rFonts w:ascii="Arial" w:hAnsi="Arial" w:cs="Arial"/>
          <w:color w:val="000000" w:themeColor="text1"/>
          <w:sz w:val="24"/>
          <w:szCs w:val="24"/>
        </w:rPr>
        <w:t xml:space="preserve"> </w:t>
      </w:r>
      <w:r w:rsidR="004F3EAD">
        <w:rPr>
          <w:rFonts w:ascii="Arial" w:hAnsi="Arial" w:cs="Arial"/>
          <w:color w:val="000000" w:themeColor="text1"/>
          <w:sz w:val="24"/>
          <w:szCs w:val="24"/>
        </w:rPr>
        <w:t xml:space="preserve">exprimată în </w:t>
      </w:r>
      <w:r w:rsidRPr="004F3EAD">
        <w:rPr>
          <w:rFonts w:ascii="Arial" w:hAnsi="Arial" w:cs="Arial"/>
          <w:color w:val="000000" w:themeColor="text1"/>
          <w:sz w:val="24"/>
          <w:szCs w:val="24"/>
        </w:rPr>
        <w:t>unităţi locale active</w:t>
      </w:r>
      <w:r w:rsidR="000A00BD" w:rsidRPr="004F3EAD">
        <w:rPr>
          <w:rStyle w:val="FootnoteReference"/>
          <w:rFonts w:ascii="Arial" w:hAnsi="Arial" w:cs="Arial"/>
          <w:color w:val="000000" w:themeColor="text1"/>
          <w:sz w:val="24"/>
          <w:szCs w:val="24"/>
        </w:rPr>
        <w:footnoteReference w:id="28"/>
      </w:r>
      <w:r w:rsidR="004F3EAD">
        <w:rPr>
          <w:rFonts w:ascii="Arial" w:hAnsi="Arial" w:cs="Arial"/>
          <w:b/>
          <w:color w:val="000000" w:themeColor="text1"/>
          <w:sz w:val="24"/>
          <w:szCs w:val="24"/>
        </w:rPr>
        <w:t xml:space="preserve">  </w:t>
      </w:r>
      <w:r w:rsidR="004F3EAD" w:rsidRPr="004F3EAD">
        <w:rPr>
          <w:rFonts w:ascii="Arial" w:hAnsi="Arial" w:cs="Arial"/>
          <w:color w:val="000000" w:themeColor="text1"/>
          <w:sz w:val="24"/>
          <w:szCs w:val="24"/>
        </w:rPr>
        <w:t>se caraterizeză</w:t>
      </w:r>
      <w:r w:rsidR="004F3EAD" w:rsidRPr="004F3EAD">
        <w:rPr>
          <w:rFonts w:ascii="Arial" w:hAnsi="Arial" w:cs="Arial"/>
          <w:sz w:val="24"/>
          <w:szCs w:val="24"/>
        </w:rPr>
        <w:t xml:space="preserve"> </w:t>
      </w:r>
      <w:r w:rsidR="004F3EAD">
        <w:rPr>
          <w:rFonts w:ascii="Arial" w:hAnsi="Arial" w:cs="Arial"/>
          <w:sz w:val="24"/>
          <w:szCs w:val="24"/>
        </w:rPr>
        <w:t>prin v</w:t>
      </w:r>
      <w:r w:rsidR="004F3EAD" w:rsidRPr="003C6788">
        <w:rPr>
          <w:rFonts w:ascii="Arial" w:hAnsi="Arial" w:cs="Arial"/>
          <w:sz w:val="24"/>
          <w:szCs w:val="24"/>
        </w:rPr>
        <w:t>ariații de până l</w:t>
      </w:r>
      <w:r w:rsidR="004F3EAD">
        <w:rPr>
          <w:rFonts w:ascii="Arial" w:hAnsi="Arial" w:cs="Arial"/>
          <w:sz w:val="24"/>
          <w:szCs w:val="24"/>
        </w:rPr>
        <w:t xml:space="preserve">a 10.000 a numărului de unități, </w:t>
      </w:r>
      <w:r w:rsidR="004F3EAD" w:rsidRPr="003C6788">
        <w:rPr>
          <w:rFonts w:ascii="Arial" w:hAnsi="Arial" w:cs="Arial"/>
          <w:sz w:val="24"/>
          <w:szCs w:val="24"/>
        </w:rPr>
        <w:t xml:space="preserve">ca o dovadă a dinamicii specifice perioadei 2008-2014, și a unui spirit antreprenorial în curs de definitivare. </w:t>
      </w:r>
    </w:p>
    <w:p w:rsidR="00CD5572" w:rsidRPr="003C6788" w:rsidRDefault="00CD5572" w:rsidP="000C6A67">
      <w:pPr>
        <w:spacing w:after="0" w:line="240" w:lineRule="auto"/>
        <w:contextualSpacing/>
        <w:jc w:val="both"/>
        <w:rPr>
          <w:rFonts w:ascii="Arial" w:hAnsi="Arial" w:cs="Arial"/>
          <w:sz w:val="24"/>
          <w:szCs w:val="24"/>
        </w:rPr>
      </w:pPr>
    </w:p>
    <w:p w:rsidR="00F2266B" w:rsidRPr="000F2DD5" w:rsidRDefault="00FD7FBD" w:rsidP="00CD5572">
      <w:pPr>
        <w:jc w:val="center"/>
        <w:rPr>
          <w:rFonts w:ascii="Arial" w:hAnsi="Arial" w:cs="Arial"/>
          <w:b/>
        </w:rPr>
      </w:pPr>
      <w:r w:rsidRPr="000F2DD5">
        <w:rPr>
          <w:rFonts w:ascii="Arial" w:hAnsi="Arial" w:cs="Arial"/>
        </w:rPr>
        <w:t xml:space="preserve">Figura </w:t>
      </w:r>
      <w:r w:rsidR="002E42E6" w:rsidRPr="000F2DD5">
        <w:rPr>
          <w:rFonts w:ascii="Arial" w:hAnsi="Arial" w:cs="Arial"/>
        </w:rPr>
        <w:t>6</w:t>
      </w:r>
      <w:r w:rsidRPr="000F2DD5">
        <w:rPr>
          <w:rFonts w:ascii="Arial" w:hAnsi="Arial" w:cs="Arial"/>
        </w:rPr>
        <w:t>.</w:t>
      </w:r>
    </w:p>
    <w:p w:rsidR="009550B8" w:rsidRPr="00FD7FBD" w:rsidRDefault="009550B8" w:rsidP="000C6A67">
      <w:pPr>
        <w:spacing w:after="0" w:line="240" w:lineRule="auto"/>
        <w:ind w:firstLine="720"/>
        <w:contextualSpacing/>
        <w:jc w:val="center"/>
        <w:rPr>
          <w:rFonts w:ascii="Arial" w:hAnsi="Arial" w:cs="Arial"/>
        </w:rPr>
      </w:pPr>
      <w:r w:rsidRPr="00381F74">
        <w:rPr>
          <w:rFonts w:ascii="Arial" w:hAnsi="Arial" w:cs="Arial"/>
          <w:noProof/>
          <w:bdr w:val="single" w:sz="4" w:space="0" w:color="auto"/>
          <w:lang w:val="en-US"/>
        </w:rPr>
        <w:drawing>
          <wp:inline distT="0" distB="0" distL="0" distR="0">
            <wp:extent cx="4895850" cy="2114550"/>
            <wp:effectExtent l="19050" t="0" r="19050" b="0"/>
            <wp:docPr id="1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9550B8" w:rsidRPr="00FD7FBD" w:rsidRDefault="009550B8" w:rsidP="000C6A67">
      <w:pPr>
        <w:spacing w:after="0" w:line="240" w:lineRule="auto"/>
        <w:ind w:firstLine="720"/>
        <w:contextualSpacing/>
        <w:jc w:val="center"/>
        <w:rPr>
          <w:rFonts w:ascii="Arial" w:hAnsi="Arial" w:cs="Arial"/>
        </w:rPr>
      </w:pPr>
      <w:r w:rsidRPr="00FD7FBD">
        <w:rPr>
          <w:rFonts w:ascii="Arial" w:hAnsi="Arial" w:cs="Arial"/>
        </w:rPr>
        <w:t>Sursa datelor: INS, Baza de date TEMPO Online</w:t>
      </w:r>
    </w:p>
    <w:p w:rsidR="009550B8" w:rsidRPr="003C6788" w:rsidRDefault="009550B8" w:rsidP="000C6A67">
      <w:pPr>
        <w:spacing w:after="0" w:line="240" w:lineRule="auto"/>
        <w:ind w:firstLine="720"/>
        <w:contextualSpacing/>
        <w:jc w:val="center"/>
        <w:rPr>
          <w:rFonts w:ascii="Arial" w:hAnsi="Arial" w:cs="Arial"/>
          <w:sz w:val="24"/>
          <w:szCs w:val="24"/>
        </w:rPr>
      </w:pPr>
    </w:p>
    <w:p w:rsidR="009550B8" w:rsidRPr="003C6788" w:rsidRDefault="009550B8" w:rsidP="00963A96">
      <w:pPr>
        <w:spacing w:after="0" w:line="240" w:lineRule="auto"/>
        <w:contextualSpacing/>
        <w:jc w:val="both"/>
        <w:rPr>
          <w:rFonts w:ascii="Arial" w:hAnsi="Arial" w:cs="Arial"/>
          <w:sz w:val="24"/>
          <w:szCs w:val="24"/>
        </w:rPr>
      </w:pPr>
      <w:r w:rsidRPr="009550B8">
        <w:rPr>
          <w:rFonts w:ascii="Arial" w:hAnsi="Arial" w:cs="Arial"/>
          <w:b/>
          <w:i/>
          <w:sz w:val="24"/>
          <w:szCs w:val="24"/>
        </w:rPr>
        <w:t>Unităţi locale active pe activităţi ale economiei naţionale la nivel de secțiune CAEN Rev.2, clase de m</w:t>
      </w:r>
      <w:r w:rsidR="004F3EAD">
        <w:rPr>
          <w:rFonts w:ascii="Arial" w:hAnsi="Arial" w:cs="Arial"/>
          <w:b/>
          <w:i/>
          <w:sz w:val="24"/>
          <w:szCs w:val="24"/>
        </w:rPr>
        <w:t xml:space="preserve">ărime după numărul de salariaţi: </w:t>
      </w:r>
      <w:r w:rsidRPr="003C6788">
        <w:rPr>
          <w:rFonts w:ascii="Arial" w:hAnsi="Arial" w:cs="Arial"/>
          <w:sz w:val="24"/>
          <w:szCs w:val="24"/>
        </w:rPr>
        <w:t>Valorile cele mai mari se înregistrează pentru G Come</w:t>
      </w:r>
      <w:r w:rsidR="00963A96">
        <w:rPr>
          <w:rFonts w:ascii="Arial" w:hAnsi="Arial" w:cs="Arial"/>
          <w:sz w:val="24"/>
          <w:szCs w:val="24"/>
        </w:rPr>
        <w:t xml:space="preserve">rț cu ridicata și cu amanuntul; </w:t>
      </w:r>
      <w:r w:rsidRPr="003C6788">
        <w:rPr>
          <w:rFonts w:ascii="Arial" w:hAnsi="Arial" w:cs="Arial"/>
          <w:sz w:val="24"/>
          <w:szCs w:val="24"/>
        </w:rPr>
        <w:t>repararea autovehiculelor și motocicletelor în fiecare județ, urmat de C Industria prelucrătoare,  M Activități profesionale, știintifice și tehnice, I Hoteluri și restaurante și H Transport și depozitare.</w:t>
      </w:r>
    </w:p>
    <w:p w:rsidR="009550B8" w:rsidRDefault="009550B8" w:rsidP="00963A96">
      <w:pPr>
        <w:spacing w:after="0" w:line="240" w:lineRule="auto"/>
        <w:contextualSpacing/>
        <w:jc w:val="both"/>
        <w:rPr>
          <w:rFonts w:ascii="Arial" w:hAnsi="Arial" w:cs="Arial"/>
          <w:sz w:val="24"/>
          <w:szCs w:val="24"/>
        </w:rPr>
      </w:pPr>
      <w:r w:rsidRPr="009550B8">
        <w:rPr>
          <w:rFonts w:ascii="Arial" w:hAnsi="Arial" w:cs="Arial"/>
          <w:b/>
          <w:i/>
          <w:sz w:val="24"/>
          <w:szCs w:val="24"/>
        </w:rPr>
        <w:t>Personalul din unitățile locale, pe regiuni de dezvoltare</w:t>
      </w:r>
      <w:r>
        <w:rPr>
          <w:rFonts w:ascii="Arial" w:hAnsi="Arial" w:cs="Arial"/>
          <w:i/>
          <w:sz w:val="24"/>
          <w:szCs w:val="24"/>
        </w:rPr>
        <w:t xml:space="preserve">: </w:t>
      </w:r>
      <w:r w:rsidRPr="003C6788">
        <w:rPr>
          <w:rFonts w:ascii="Arial" w:hAnsi="Arial" w:cs="Arial"/>
          <w:sz w:val="24"/>
          <w:szCs w:val="24"/>
        </w:rPr>
        <w:t xml:space="preserve">Totalul de personal din unitățile locale ale Regiunii Vest prezintă variații în intervalul 486.129 – 433.597 persoane, aferent perioadei 2008-2012, însă ponderea contribuției regionale rămâne relativ constantă în jurul valorii de 10% în raport cu valoarea națională. </w:t>
      </w:r>
    </w:p>
    <w:p w:rsidR="00946934" w:rsidRDefault="00FD7FBD" w:rsidP="00946934">
      <w:pPr>
        <w:spacing w:after="0" w:line="240" w:lineRule="auto"/>
        <w:contextualSpacing/>
        <w:jc w:val="center"/>
        <w:rPr>
          <w:rFonts w:ascii="Arial" w:hAnsi="Arial" w:cs="Arial"/>
        </w:rPr>
      </w:pPr>
      <w:r w:rsidRPr="00FD7FBD">
        <w:rPr>
          <w:rFonts w:ascii="Arial" w:hAnsi="Arial" w:cs="Arial"/>
        </w:rPr>
        <w:lastRenderedPageBreak/>
        <w:t xml:space="preserve">Figura </w:t>
      </w:r>
      <w:r w:rsidR="002E42E6">
        <w:rPr>
          <w:rFonts w:ascii="Arial" w:hAnsi="Arial" w:cs="Arial"/>
        </w:rPr>
        <w:t>7</w:t>
      </w:r>
      <w:r w:rsidRPr="00FD7FBD">
        <w:rPr>
          <w:rFonts w:ascii="Arial" w:hAnsi="Arial" w:cs="Arial"/>
        </w:rPr>
        <w:t xml:space="preserve">. </w:t>
      </w:r>
      <w:r w:rsidR="009550B8" w:rsidRPr="00FD7FBD">
        <w:rPr>
          <w:rFonts w:ascii="Arial" w:hAnsi="Arial" w:cs="Arial"/>
          <w:noProof/>
          <w:lang w:val="en-US"/>
        </w:rPr>
        <w:drawing>
          <wp:inline distT="0" distB="0" distL="0" distR="0">
            <wp:extent cx="5654040" cy="2621280"/>
            <wp:effectExtent l="19050" t="0" r="22860" b="7620"/>
            <wp:docPr id="17"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9550B8" w:rsidRDefault="009550B8" w:rsidP="00963A96">
      <w:pPr>
        <w:spacing w:after="0" w:line="240" w:lineRule="auto"/>
        <w:ind w:firstLine="720"/>
        <w:contextualSpacing/>
        <w:jc w:val="center"/>
        <w:rPr>
          <w:rFonts w:ascii="Arial" w:hAnsi="Arial" w:cs="Arial"/>
        </w:rPr>
      </w:pPr>
      <w:r w:rsidRPr="00FD7FBD">
        <w:rPr>
          <w:rFonts w:ascii="Arial" w:hAnsi="Arial" w:cs="Arial"/>
        </w:rPr>
        <w:t>Sursa datelor: INS, Baza de date TEMPO ONLINE</w:t>
      </w:r>
    </w:p>
    <w:p w:rsidR="00963A96" w:rsidRPr="00963A96" w:rsidRDefault="00963A96" w:rsidP="00963A96">
      <w:pPr>
        <w:spacing w:after="0" w:line="240" w:lineRule="auto"/>
        <w:ind w:firstLine="720"/>
        <w:contextualSpacing/>
        <w:jc w:val="center"/>
        <w:rPr>
          <w:rFonts w:ascii="Arial" w:hAnsi="Arial" w:cs="Arial"/>
        </w:rPr>
      </w:pPr>
    </w:p>
    <w:p w:rsidR="004F3EAD" w:rsidRPr="003C6788" w:rsidRDefault="009550B8" w:rsidP="000C6A67">
      <w:pPr>
        <w:spacing w:after="0" w:line="240" w:lineRule="auto"/>
        <w:contextualSpacing/>
        <w:jc w:val="both"/>
        <w:rPr>
          <w:rFonts w:ascii="Arial" w:hAnsi="Arial" w:cs="Arial"/>
          <w:sz w:val="24"/>
          <w:szCs w:val="24"/>
        </w:rPr>
      </w:pPr>
      <w:r w:rsidRPr="009550B8">
        <w:rPr>
          <w:rFonts w:ascii="Arial" w:hAnsi="Arial" w:cs="Arial"/>
          <w:b/>
          <w:i/>
          <w:sz w:val="24"/>
          <w:szCs w:val="24"/>
        </w:rPr>
        <w:t>Personalul din unitățile locale,</w:t>
      </w:r>
      <w:r w:rsidRPr="003C6788">
        <w:rPr>
          <w:rFonts w:ascii="Arial" w:hAnsi="Arial" w:cs="Arial"/>
          <w:i/>
          <w:sz w:val="24"/>
          <w:szCs w:val="24"/>
        </w:rPr>
        <w:t xml:space="preserve"> pe activităţi ale economiei naționale l</w:t>
      </w:r>
      <w:r w:rsidR="004F3EAD">
        <w:rPr>
          <w:rFonts w:ascii="Arial" w:hAnsi="Arial" w:cs="Arial"/>
          <w:i/>
          <w:sz w:val="24"/>
          <w:szCs w:val="24"/>
        </w:rPr>
        <w:t xml:space="preserve">a nivel de secțiune CAEN Rev.2. </w:t>
      </w:r>
      <w:r w:rsidR="004F3EAD" w:rsidRPr="003C6788">
        <w:rPr>
          <w:rFonts w:ascii="Arial" w:hAnsi="Arial" w:cs="Arial"/>
          <w:sz w:val="24"/>
          <w:szCs w:val="24"/>
        </w:rPr>
        <w:t xml:space="preserve">Distribuția personalului pe activități ale economiei naționale scoate în evidență importanța sectorului C INDUSTRIA PRELUCRATOARE, cu valoarea de 42%, mult peste media națională de 29%. </w:t>
      </w:r>
    </w:p>
    <w:p w:rsidR="009550B8" w:rsidRPr="003C6788" w:rsidRDefault="009550B8" w:rsidP="000C6A67">
      <w:pPr>
        <w:spacing w:after="0" w:line="240" w:lineRule="auto"/>
        <w:contextualSpacing/>
        <w:rPr>
          <w:rFonts w:ascii="Arial" w:hAnsi="Arial" w:cs="Arial"/>
          <w:i/>
          <w:sz w:val="24"/>
          <w:szCs w:val="24"/>
        </w:rPr>
      </w:pPr>
    </w:p>
    <w:p w:rsidR="009550B8" w:rsidRPr="000F2DD5" w:rsidRDefault="00FD7FBD" w:rsidP="000C6A67">
      <w:pPr>
        <w:spacing w:after="0" w:line="240" w:lineRule="auto"/>
        <w:ind w:firstLine="720"/>
        <w:contextualSpacing/>
        <w:jc w:val="center"/>
        <w:rPr>
          <w:rFonts w:ascii="Arial" w:hAnsi="Arial" w:cs="Arial"/>
        </w:rPr>
      </w:pPr>
      <w:r w:rsidRPr="000F2DD5">
        <w:rPr>
          <w:rFonts w:ascii="Arial" w:hAnsi="Arial" w:cs="Arial"/>
        </w:rPr>
        <w:t xml:space="preserve">Figura </w:t>
      </w:r>
      <w:r w:rsidR="00995B91" w:rsidRPr="000F2DD5">
        <w:rPr>
          <w:rFonts w:ascii="Arial" w:hAnsi="Arial" w:cs="Arial"/>
        </w:rPr>
        <w:t>8</w:t>
      </w:r>
      <w:r w:rsidRPr="000F2DD5">
        <w:rPr>
          <w:rFonts w:ascii="Arial" w:hAnsi="Arial" w:cs="Arial"/>
        </w:rPr>
        <w:t>.</w:t>
      </w:r>
    </w:p>
    <w:p w:rsidR="000F2DD5" w:rsidRPr="000F2DD5" w:rsidRDefault="009550B8" w:rsidP="00020239">
      <w:pPr>
        <w:spacing w:after="0" w:line="240" w:lineRule="auto"/>
        <w:ind w:firstLine="720"/>
        <w:contextualSpacing/>
        <w:jc w:val="center"/>
        <w:rPr>
          <w:rFonts w:ascii="Arial" w:hAnsi="Arial" w:cs="Arial"/>
          <w:sz w:val="24"/>
          <w:szCs w:val="24"/>
        </w:rPr>
      </w:pPr>
      <w:r w:rsidRPr="003C6788">
        <w:rPr>
          <w:rFonts w:ascii="Arial" w:hAnsi="Arial" w:cs="Arial"/>
          <w:noProof/>
          <w:sz w:val="24"/>
          <w:szCs w:val="24"/>
          <w:lang w:val="en-US"/>
        </w:rPr>
        <w:drawing>
          <wp:inline distT="0" distB="0" distL="0" distR="0">
            <wp:extent cx="5363210" cy="2956560"/>
            <wp:effectExtent l="19050" t="0" r="27940" b="0"/>
            <wp:docPr id="18"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0F2DD5" w:rsidRDefault="000F2DD5" w:rsidP="000C6A67">
      <w:pPr>
        <w:spacing w:after="0" w:line="240" w:lineRule="auto"/>
        <w:ind w:firstLine="720"/>
        <w:contextualSpacing/>
        <w:jc w:val="center"/>
        <w:rPr>
          <w:rFonts w:ascii="Arial" w:hAnsi="Arial" w:cs="Arial"/>
        </w:rPr>
      </w:pPr>
    </w:p>
    <w:p w:rsidR="000F2DD5" w:rsidRDefault="000F2DD5" w:rsidP="000C6A67">
      <w:pPr>
        <w:spacing w:after="0" w:line="240" w:lineRule="auto"/>
        <w:ind w:firstLine="720"/>
        <w:contextualSpacing/>
        <w:jc w:val="center"/>
        <w:rPr>
          <w:rFonts w:ascii="Arial" w:hAnsi="Arial" w:cs="Arial"/>
        </w:rPr>
      </w:pPr>
    </w:p>
    <w:p w:rsidR="000F2DD5" w:rsidRDefault="000F2DD5" w:rsidP="000C6A67">
      <w:pPr>
        <w:spacing w:after="0" w:line="240" w:lineRule="auto"/>
        <w:ind w:firstLine="720"/>
        <w:contextualSpacing/>
        <w:jc w:val="center"/>
        <w:rPr>
          <w:rFonts w:ascii="Arial" w:hAnsi="Arial" w:cs="Arial"/>
        </w:rPr>
      </w:pPr>
    </w:p>
    <w:p w:rsidR="00FD7FBD" w:rsidRPr="00FD7FBD" w:rsidRDefault="00FD7FBD" w:rsidP="000C6A67">
      <w:pPr>
        <w:spacing w:after="0" w:line="240" w:lineRule="auto"/>
        <w:ind w:firstLine="720"/>
        <w:contextualSpacing/>
        <w:jc w:val="center"/>
        <w:rPr>
          <w:rFonts w:ascii="Arial" w:hAnsi="Arial" w:cs="Arial"/>
        </w:rPr>
      </w:pPr>
      <w:r w:rsidRPr="00FD7FBD">
        <w:rPr>
          <w:rFonts w:ascii="Arial" w:hAnsi="Arial" w:cs="Arial"/>
        </w:rPr>
        <w:t>Sursa datelor: INS, Baza de date TEMPO ONLINE</w:t>
      </w:r>
    </w:p>
    <w:p w:rsidR="009550B8" w:rsidRDefault="009550B8" w:rsidP="000C6A67">
      <w:pPr>
        <w:spacing w:after="0" w:line="240" w:lineRule="auto"/>
        <w:contextualSpacing/>
        <w:jc w:val="both"/>
        <w:rPr>
          <w:rFonts w:ascii="Arial" w:hAnsi="Arial" w:cs="Arial"/>
          <w:sz w:val="24"/>
          <w:szCs w:val="24"/>
        </w:rPr>
      </w:pPr>
    </w:p>
    <w:p w:rsidR="000F2DD5" w:rsidRPr="003C6788" w:rsidRDefault="000F2DD5" w:rsidP="000C6A67">
      <w:pPr>
        <w:spacing w:after="0" w:line="240" w:lineRule="auto"/>
        <w:contextualSpacing/>
        <w:jc w:val="both"/>
        <w:rPr>
          <w:rFonts w:ascii="Arial" w:hAnsi="Arial" w:cs="Arial"/>
          <w:sz w:val="24"/>
          <w:szCs w:val="24"/>
        </w:rPr>
      </w:pPr>
    </w:p>
    <w:p w:rsidR="009550B8" w:rsidRPr="003C6788" w:rsidRDefault="009550B8" w:rsidP="000F2DD5">
      <w:pPr>
        <w:spacing w:after="0" w:line="240" w:lineRule="auto"/>
        <w:contextualSpacing/>
        <w:jc w:val="both"/>
        <w:rPr>
          <w:rFonts w:ascii="Arial" w:hAnsi="Arial" w:cs="Arial"/>
          <w:i/>
          <w:sz w:val="24"/>
          <w:szCs w:val="24"/>
        </w:rPr>
      </w:pPr>
      <w:r w:rsidRPr="009550B8">
        <w:rPr>
          <w:rFonts w:ascii="Arial" w:hAnsi="Arial" w:cs="Arial"/>
          <w:b/>
          <w:i/>
          <w:sz w:val="24"/>
          <w:szCs w:val="24"/>
        </w:rPr>
        <w:t>Personalul din unităţile locale,</w:t>
      </w:r>
      <w:r w:rsidRPr="003C6788">
        <w:rPr>
          <w:rFonts w:ascii="Arial" w:hAnsi="Arial" w:cs="Arial"/>
          <w:i/>
          <w:sz w:val="24"/>
          <w:szCs w:val="24"/>
        </w:rPr>
        <w:t xml:space="preserve"> pe activităţi ale economiei naționale la nivel de secțiune CAEN Rev.2, regiuni de dezvoltare şi judeţe</w:t>
      </w:r>
    </w:p>
    <w:p w:rsidR="009550B8" w:rsidRPr="003C6788" w:rsidRDefault="009550B8" w:rsidP="00963A96">
      <w:pPr>
        <w:spacing w:after="0" w:line="240" w:lineRule="auto"/>
        <w:contextualSpacing/>
        <w:jc w:val="both"/>
        <w:rPr>
          <w:rFonts w:ascii="Arial" w:hAnsi="Arial" w:cs="Arial"/>
          <w:sz w:val="24"/>
          <w:szCs w:val="24"/>
        </w:rPr>
      </w:pPr>
      <w:r w:rsidRPr="003C6788">
        <w:rPr>
          <w:rFonts w:ascii="Arial" w:hAnsi="Arial" w:cs="Arial"/>
          <w:sz w:val="24"/>
          <w:szCs w:val="24"/>
        </w:rPr>
        <w:t>Tendința regională se repetă la nivelul fiecarui județ, cu ponderi similare și valori absolute proporționale cu populația județului, cu o diferență de menționat la nivelul județului Hunedoara cu importanța sectorului B INDUSTRIA EXTRACTIVĂ.</w:t>
      </w:r>
    </w:p>
    <w:p w:rsidR="000D7C65" w:rsidRPr="000D7C65" w:rsidRDefault="000D7C65" w:rsidP="000C6A67">
      <w:pPr>
        <w:spacing w:after="0" w:line="240" w:lineRule="auto"/>
        <w:jc w:val="both"/>
        <w:rPr>
          <w:rFonts w:ascii="Arial" w:hAnsi="Arial" w:cs="Arial"/>
          <w:color w:val="000000" w:themeColor="text1"/>
          <w:sz w:val="24"/>
          <w:szCs w:val="24"/>
        </w:rPr>
      </w:pPr>
    </w:p>
    <w:p w:rsidR="000D7C65" w:rsidRPr="00963A96" w:rsidRDefault="001A346C" w:rsidP="00963A96">
      <w:pPr>
        <w:pStyle w:val="Heading3"/>
        <w:spacing w:before="0" w:line="240" w:lineRule="auto"/>
        <w:jc w:val="both"/>
        <w:rPr>
          <w:rFonts w:ascii="Arial" w:hAnsi="Arial" w:cs="Arial"/>
          <w:b w:val="0"/>
          <w:i/>
          <w:color w:val="000000" w:themeColor="text1"/>
          <w:sz w:val="24"/>
          <w:szCs w:val="24"/>
          <w:lang w:eastAsia="ro-RO"/>
        </w:rPr>
      </w:pPr>
      <w:bookmarkStart w:id="40" w:name="_Toc488066025"/>
      <w:r w:rsidRPr="00963A96">
        <w:rPr>
          <w:rFonts w:ascii="Arial" w:hAnsi="Arial" w:cs="Arial"/>
          <w:b w:val="0"/>
          <w:i/>
          <w:color w:val="000000" w:themeColor="text1"/>
          <w:sz w:val="24"/>
          <w:szCs w:val="24"/>
          <w:lang w:eastAsia="ro-RO"/>
        </w:rPr>
        <w:lastRenderedPageBreak/>
        <w:t>4.1.3. Dinamica generală a firmelor din regiune – investiţii</w:t>
      </w:r>
      <w:r w:rsidR="00C37D14" w:rsidRPr="00963A96">
        <w:rPr>
          <w:rStyle w:val="FootnoteReference"/>
          <w:rFonts w:ascii="Arial" w:hAnsi="Arial" w:cs="Arial"/>
          <w:b w:val="0"/>
          <w:i/>
          <w:color w:val="000000" w:themeColor="text1"/>
          <w:sz w:val="24"/>
          <w:szCs w:val="24"/>
          <w:lang w:eastAsia="ro-RO"/>
        </w:rPr>
        <w:footnoteReference w:id="29"/>
      </w:r>
      <w:bookmarkEnd w:id="40"/>
    </w:p>
    <w:p w:rsidR="00BB6301" w:rsidRPr="003C6788" w:rsidRDefault="00BB6301" w:rsidP="000C6A67">
      <w:pPr>
        <w:spacing w:after="0" w:line="240" w:lineRule="auto"/>
        <w:contextualSpacing/>
        <w:jc w:val="both"/>
        <w:rPr>
          <w:rFonts w:ascii="Arial" w:hAnsi="Arial" w:cs="Arial"/>
          <w:sz w:val="24"/>
          <w:szCs w:val="24"/>
        </w:rPr>
      </w:pPr>
      <w:r w:rsidRPr="003C6788">
        <w:rPr>
          <w:rFonts w:ascii="Arial" w:hAnsi="Arial" w:cs="Arial"/>
          <w:i/>
          <w:sz w:val="24"/>
          <w:szCs w:val="24"/>
        </w:rPr>
        <w:t>Investiții brute în bunuri corporale din unitățile locale, pe regiuni de dezvoltare</w:t>
      </w:r>
      <w:r w:rsidR="004F3EAD">
        <w:rPr>
          <w:rFonts w:ascii="Arial" w:hAnsi="Arial" w:cs="Arial"/>
          <w:i/>
          <w:sz w:val="24"/>
          <w:szCs w:val="24"/>
        </w:rPr>
        <w:t xml:space="preserve">: </w:t>
      </w:r>
      <w:r w:rsidRPr="003C6788">
        <w:rPr>
          <w:rFonts w:ascii="Arial" w:hAnsi="Arial" w:cs="Arial"/>
          <w:sz w:val="24"/>
          <w:szCs w:val="24"/>
        </w:rPr>
        <w:t xml:space="preserve">Valoarea investițiilor brute în bunuri corporale din unitățile locale arată o tendință de descreștere în perioada 2008-2010, pentru ca apoi să înceapă o perioadă de creștere ( începând din 2011), dar fără să se ajungă în 2012 la valoarea din 2008. </w:t>
      </w:r>
    </w:p>
    <w:p w:rsidR="00BB6301" w:rsidRPr="003C6788" w:rsidRDefault="00BB6301" w:rsidP="000C6A67">
      <w:pPr>
        <w:pStyle w:val="ListParagraph"/>
        <w:ind w:left="0"/>
        <w:contextualSpacing/>
        <w:jc w:val="both"/>
        <w:rPr>
          <w:rFonts w:ascii="Arial" w:hAnsi="Arial" w:cs="Arial"/>
          <w:sz w:val="24"/>
          <w:szCs w:val="24"/>
          <w:lang w:val="ro-RO"/>
        </w:rPr>
      </w:pPr>
      <w:r w:rsidRPr="003C6788">
        <w:rPr>
          <w:rFonts w:ascii="Arial" w:hAnsi="Arial" w:cs="Arial"/>
          <w:i/>
          <w:sz w:val="24"/>
          <w:szCs w:val="24"/>
          <w:lang w:val="ro-RO"/>
        </w:rPr>
        <w:t>Investiții brute în bunuri corporale din unitățile locale, pe activităţi ale economiei naționale la nivel de secțiune CAEN Rev.2, regiuni de dezvoltare</w:t>
      </w:r>
      <w:r w:rsidR="004F3EAD">
        <w:rPr>
          <w:rFonts w:ascii="Arial" w:hAnsi="Arial" w:cs="Arial"/>
          <w:i/>
          <w:sz w:val="24"/>
          <w:szCs w:val="24"/>
          <w:lang w:val="ro-RO"/>
        </w:rPr>
        <w:t xml:space="preserve">: </w:t>
      </w:r>
      <w:r w:rsidRPr="003C6788">
        <w:rPr>
          <w:rFonts w:ascii="Arial" w:hAnsi="Arial" w:cs="Arial"/>
          <w:sz w:val="24"/>
          <w:szCs w:val="24"/>
          <w:lang w:val="ro-RO"/>
        </w:rPr>
        <w:t xml:space="preserve">Se poate observa o concentrare a investițiilor în sectorul C </w:t>
      </w:r>
      <w:r w:rsidR="004F3EAD" w:rsidRPr="003C6788">
        <w:rPr>
          <w:rFonts w:ascii="Arial" w:hAnsi="Arial" w:cs="Arial"/>
          <w:sz w:val="24"/>
          <w:szCs w:val="24"/>
          <w:lang w:val="ro-RO"/>
        </w:rPr>
        <w:t>industria prelucratoare</w:t>
      </w:r>
      <w:r w:rsidRPr="003C6788">
        <w:rPr>
          <w:rFonts w:ascii="Arial" w:hAnsi="Arial" w:cs="Arial"/>
          <w:sz w:val="24"/>
          <w:szCs w:val="24"/>
          <w:lang w:val="ro-RO"/>
        </w:rPr>
        <w:t xml:space="preserve">, urmat de sectoarele G </w:t>
      </w:r>
      <w:r w:rsidR="004F3EAD" w:rsidRPr="003C6788">
        <w:rPr>
          <w:rFonts w:ascii="Arial" w:hAnsi="Arial" w:cs="Arial"/>
          <w:sz w:val="24"/>
          <w:szCs w:val="24"/>
          <w:lang w:val="ro-RO"/>
        </w:rPr>
        <w:t>comerț cu ridicata și cu amanuntul; repararea autovehiculelor și motocicletelor</w:t>
      </w:r>
      <w:r w:rsidRPr="003C6788">
        <w:rPr>
          <w:rFonts w:ascii="Arial" w:hAnsi="Arial" w:cs="Arial"/>
          <w:sz w:val="24"/>
          <w:szCs w:val="24"/>
          <w:lang w:val="ro-RO"/>
        </w:rPr>
        <w:t xml:space="preserve">, F </w:t>
      </w:r>
      <w:r w:rsidR="004F3EAD" w:rsidRPr="003C6788">
        <w:rPr>
          <w:rFonts w:ascii="Arial" w:hAnsi="Arial" w:cs="Arial"/>
          <w:sz w:val="24"/>
          <w:szCs w:val="24"/>
          <w:lang w:val="ro-RO"/>
        </w:rPr>
        <w:t>construcții,</w:t>
      </w:r>
      <w:r w:rsidRPr="003C6788">
        <w:rPr>
          <w:rFonts w:ascii="Arial" w:hAnsi="Arial" w:cs="Arial"/>
          <w:sz w:val="24"/>
          <w:szCs w:val="24"/>
          <w:lang w:val="ro-RO"/>
        </w:rPr>
        <w:t xml:space="preserve"> </w:t>
      </w:r>
      <w:r w:rsidR="006911B2">
        <w:rPr>
          <w:rFonts w:ascii="Arial" w:hAnsi="Arial" w:cs="Arial"/>
          <w:sz w:val="24"/>
          <w:szCs w:val="24"/>
          <w:lang w:val="ro-RO"/>
        </w:rPr>
        <w:t>H transport și depozitare și K</w:t>
      </w:r>
      <w:r w:rsidR="006911B2" w:rsidRPr="003C6788">
        <w:rPr>
          <w:rFonts w:ascii="Arial" w:hAnsi="Arial" w:cs="Arial"/>
          <w:sz w:val="24"/>
          <w:szCs w:val="24"/>
          <w:lang w:val="ro-RO"/>
        </w:rPr>
        <w:t xml:space="preserve"> tranzacții imobiliare, închirieri și activități de servicii prestate în principal intreprinderilor </w:t>
      </w:r>
      <w:r w:rsidRPr="003C6788">
        <w:rPr>
          <w:rFonts w:ascii="Arial" w:hAnsi="Arial" w:cs="Arial"/>
          <w:sz w:val="24"/>
          <w:szCs w:val="24"/>
          <w:lang w:val="ro-RO"/>
        </w:rPr>
        <w:t>(activități profesionale, științifice și tehnice, activități de servicii suport)</w:t>
      </w:r>
    </w:p>
    <w:p w:rsidR="00BB6301" w:rsidRPr="003C6788" w:rsidRDefault="00BB6301" w:rsidP="000C6A67">
      <w:pPr>
        <w:pStyle w:val="ListParagraph"/>
        <w:ind w:left="0"/>
        <w:contextualSpacing/>
        <w:jc w:val="both"/>
        <w:rPr>
          <w:rFonts w:ascii="Arial" w:hAnsi="Arial" w:cs="Arial"/>
          <w:sz w:val="24"/>
          <w:szCs w:val="24"/>
          <w:lang w:val="ro-RO"/>
        </w:rPr>
      </w:pPr>
      <w:r w:rsidRPr="003C6788">
        <w:rPr>
          <w:rFonts w:ascii="Arial" w:hAnsi="Arial" w:cs="Arial"/>
          <w:i/>
          <w:sz w:val="24"/>
          <w:szCs w:val="24"/>
          <w:lang w:val="ro-RO"/>
        </w:rPr>
        <w:t>Investiții brute în bunuri corporale din unitățile locale, pe activităţi ale economiei naționale la nivel de secțiune CAEN Rev.2, regiuni de dezvoltare și județe</w:t>
      </w:r>
      <w:r w:rsidR="006911B2">
        <w:rPr>
          <w:rFonts w:ascii="Arial" w:hAnsi="Arial" w:cs="Arial"/>
          <w:i/>
          <w:sz w:val="24"/>
          <w:szCs w:val="24"/>
          <w:lang w:val="ro-RO"/>
        </w:rPr>
        <w:t xml:space="preserve">: </w:t>
      </w:r>
      <w:r w:rsidRPr="003C6788">
        <w:rPr>
          <w:rFonts w:ascii="Arial" w:hAnsi="Arial" w:cs="Arial"/>
          <w:sz w:val="24"/>
          <w:szCs w:val="24"/>
          <w:lang w:val="ro-RO"/>
        </w:rPr>
        <w:t xml:space="preserve">Distribuția regională se repetă și la nivelul județelor, cu diferențe în valorile absolute, cea mai mare valoare fiind înregistrată pentru județul Timiș, urmat de Arad, Hunedoara și Caraș Severin. </w:t>
      </w:r>
    </w:p>
    <w:p w:rsidR="00BB6301" w:rsidRPr="003C6788" w:rsidRDefault="00BB6301" w:rsidP="000C6A67">
      <w:pPr>
        <w:pStyle w:val="ListParagraph"/>
        <w:ind w:left="0"/>
        <w:contextualSpacing/>
        <w:jc w:val="both"/>
        <w:rPr>
          <w:rFonts w:ascii="Arial" w:hAnsi="Arial" w:cs="Arial"/>
          <w:sz w:val="24"/>
          <w:szCs w:val="24"/>
          <w:lang w:val="ro-RO"/>
        </w:rPr>
      </w:pPr>
      <w:r w:rsidRPr="003C6788">
        <w:rPr>
          <w:rFonts w:ascii="Arial" w:hAnsi="Arial" w:cs="Arial"/>
          <w:i/>
          <w:sz w:val="24"/>
          <w:szCs w:val="24"/>
          <w:lang w:val="ro-RO"/>
        </w:rPr>
        <w:t>Investiții nete din unitățile locale, pe regiuni de dezvoltare</w:t>
      </w:r>
      <w:r w:rsidR="006911B2">
        <w:rPr>
          <w:rFonts w:ascii="Arial" w:hAnsi="Arial" w:cs="Arial"/>
          <w:i/>
          <w:sz w:val="24"/>
          <w:szCs w:val="24"/>
          <w:lang w:val="ro-RO"/>
        </w:rPr>
        <w:t xml:space="preserve">: </w:t>
      </w:r>
      <w:r w:rsidRPr="003C6788">
        <w:rPr>
          <w:rFonts w:ascii="Arial" w:hAnsi="Arial" w:cs="Arial"/>
          <w:sz w:val="24"/>
          <w:szCs w:val="24"/>
          <w:lang w:val="ro-RO"/>
        </w:rPr>
        <w:t xml:space="preserve">În ceea ce privește investițiile nete, Regiunea Vest se află între cele cu valori moderate, în jurul valorii de 5.000  de milioane lei, valoare cu care devansează o singură regiune ( Regiunea Nord-Est). </w:t>
      </w:r>
    </w:p>
    <w:p w:rsidR="00BB6301" w:rsidRPr="003C6788" w:rsidRDefault="00BB6301" w:rsidP="000C6A67">
      <w:pPr>
        <w:pStyle w:val="ListParagraph"/>
        <w:ind w:left="0"/>
        <w:contextualSpacing/>
        <w:jc w:val="both"/>
        <w:rPr>
          <w:rFonts w:ascii="Arial" w:hAnsi="Arial" w:cs="Arial"/>
          <w:sz w:val="24"/>
          <w:szCs w:val="24"/>
          <w:lang w:val="ro-RO"/>
        </w:rPr>
      </w:pPr>
      <w:r w:rsidRPr="003C6788">
        <w:rPr>
          <w:rFonts w:ascii="Arial" w:hAnsi="Arial" w:cs="Arial"/>
          <w:i/>
          <w:sz w:val="24"/>
          <w:szCs w:val="24"/>
          <w:lang w:val="ro-RO"/>
        </w:rPr>
        <w:t>Investiții nete din unitățile locale, pe activităţi ale economiei naționale la nivel de secțiune CAEN Rev.2, regiuni de dezvoltare</w:t>
      </w:r>
      <w:r w:rsidR="006911B2">
        <w:rPr>
          <w:rFonts w:ascii="Arial" w:hAnsi="Arial" w:cs="Arial"/>
          <w:i/>
          <w:sz w:val="24"/>
          <w:szCs w:val="24"/>
          <w:lang w:val="ro-RO"/>
        </w:rPr>
        <w:t xml:space="preserve">: </w:t>
      </w:r>
      <w:r w:rsidRPr="003C6788">
        <w:rPr>
          <w:rFonts w:ascii="Arial" w:hAnsi="Arial" w:cs="Arial"/>
          <w:sz w:val="24"/>
          <w:szCs w:val="24"/>
          <w:lang w:val="ro-RO"/>
        </w:rPr>
        <w:t>Distribuția investițiilor nete pe sectoare ale economiei repetă situația investițiilor brute, cu prioritățile:</w:t>
      </w:r>
      <w:r w:rsidR="002D2B05">
        <w:rPr>
          <w:rFonts w:ascii="Arial" w:hAnsi="Arial" w:cs="Arial"/>
          <w:sz w:val="24"/>
          <w:szCs w:val="24"/>
          <w:lang w:val="ro-RO"/>
        </w:rPr>
        <w:t xml:space="preserve"> C</w:t>
      </w:r>
      <w:r w:rsidR="002D2B05" w:rsidRPr="003C6788">
        <w:rPr>
          <w:rFonts w:ascii="Arial" w:hAnsi="Arial" w:cs="Arial"/>
          <w:sz w:val="24"/>
          <w:szCs w:val="24"/>
          <w:lang w:val="ro-RO"/>
        </w:rPr>
        <w:t xml:space="preserve"> industria prel</w:t>
      </w:r>
      <w:r w:rsidR="002D2B05">
        <w:rPr>
          <w:rFonts w:ascii="Arial" w:hAnsi="Arial" w:cs="Arial"/>
          <w:sz w:val="24"/>
          <w:szCs w:val="24"/>
          <w:lang w:val="ro-RO"/>
        </w:rPr>
        <w:t>ucratoare, urmat de sectoarele G</w:t>
      </w:r>
      <w:r w:rsidR="002D2B05" w:rsidRPr="003C6788">
        <w:rPr>
          <w:rFonts w:ascii="Arial" w:hAnsi="Arial" w:cs="Arial"/>
          <w:sz w:val="24"/>
          <w:szCs w:val="24"/>
          <w:lang w:val="ro-RO"/>
        </w:rPr>
        <w:t xml:space="preserve"> comerț cu ridicata și cu amănuntul; repararea autov</w:t>
      </w:r>
      <w:r w:rsidR="002D2B05">
        <w:rPr>
          <w:rFonts w:ascii="Arial" w:hAnsi="Arial" w:cs="Arial"/>
          <w:sz w:val="24"/>
          <w:szCs w:val="24"/>
          <w:lang w:val="ro-RO"/>
        </w:rPr>
        <w:t>ehiculelor și motocicletelor, F construcții, H</w:t>
      </w:r>
      <w:r w:rsidR="002D2B05" w:rsidRPr="003C6788">
        <w:rPr>
          <w:rFonts w:ascii="Arial" w:hAnsi="Arial" w:cs="Arial"/>
          <w:sz w:val="24"/>
          <w:szCs w:val="24"/>
          <w:lang w:val="ro-RO"/>
        </w:rPr>
        <w:t xml:space="preserve"> transport și depozitare</w:t>
      </w:r>
      <w:r w:rsidR="002D2B05">
        <w:rPr>
          <w:rFonts w:ascii="Arial" w:hAnsi="Arial" w:cs="Arial"/>
          <w:sz w:val="24"/>
          <w:szCs w:val="24"/>
          <w:lang w:val="ro-RO"/>
        </w:rPr>
        <w:t xml:space="preserve"> și K</w:t>
      </w:r>
      <w:r w:rsidR="002D2B05" w:rsidRPr="003C6788">
        <w:rPr>
          <w:rFonts w:ascii="Arial" w:hAnsi="Arial" w:cs="Arial"/>
          <w:sz w:val="24"/>
          <w:szCs w:val="24"/>
          <w:lang w:val="ro-RO"/>
        </w:rPr>
        <w:t xml:space="preserve"> tranzacții imobiliare, inchirieri și activități de servicii prestate in principal întreprinderilor </w:t>
      </w:r>
      <w:r w:rsidRPr="003C6788">
        <w:rPr>
          <w:rFonts w:ascii="Arial" w:hAnsi="Arial" w:cs="Arial"/>
          <w:sz w:val="24"/>
          <w:szCs w:val="24"/>
          <w:lang w:val="ro-RO"/>
        </w:rPr>
        <w:t>(activități profesionale, științifice și tehnice, activități de servicii suport)</w:t>
      </w:r>
    </w:p>
    <w:p w:rsidR="00BB6301" w:rsidRPr="003C6788" w:rsidRDefault="00BB6301" w:rsidP="000C6A67">
      <w:pPr>
        <w:pStyle w:val="ListParagraph"/>
        <w:ind w:left="0"/>
        <w:contextualSpacing/>
        <w:jc w:val="both"/>
        <w:rPr>
          <w:rFonts w:ascii="Arial" w:hAnsi="Arial" w:cs="Arial"/>
          <w:sz w:val="24"/>
          <w:szCs w:val="24"/>
          <w:lang w:val="ro-RO"/>
        </w:rPr>
      </w:pPr>
      <w:r w:rsidRPr="003C6788">
        <w:rPr>
          <w:rFonts w:ascii="Arial" w:hAnsi="Arial" w:cs="Arial"/>
          <w:i/>
          <w:sz w:val="24"/>
          <w:szCs w:val="24"/>
          <w:lang w:val="ro-RO"/>
        </w:rPr>
        <w:t>Investiții nete din unitățile locale, pe activităţi ale economiei naționale la nivel de secțiune CAEN Rev.2,  regiuni de dezvoltare și județe</w:t>
      </w:r>
      <w:r w:rsidR="006911B2">
        <w:rPr>
          <w:rFonts w:ascii="Arial" w:hAnsi="Arial" w:cs="Arial"/>
          <w:i/>
          <w:sz w:val="24"/>
          <w:szCs w:val="24"/>
          <w:lang w:val="ro-RO"/>
        </w:rPr>
        <w:t xml:space="preserve">: </w:t>
      </w:r>
      <w:r w:rsidRPr="003C6788">
        <w:rPr>
          <w:rFonts w:ascii="Arial" w:hAnsi="Arial" w:cs="Arial"/>
          <w:sz w:val="24"/>
          <w:szCs w:val="24"/>
          <w:lang w:val="ro-RO"/>
        </w:rPr>
        <w:t xml:space="preserve">Industria prelucratoare este dominantă și la acest indicator în fiecare județ, cu valori importante în județul Arad pentru G </w:t>
      </w:r>
      <w:r w:rsidR="006911B2" w:rsidRPr="003C6788">
        <w:rPr>
          <w:rFonts w:ascii="Arial" w:hAnsi="Arial" w:cs="Arial"/>
          <w:sz w:val="24"/>
          <w:szCs w:val="24"/>
          <w:lang w:val="ro-RO"/>
        </w:rPr>
        <w:t>comerț cu ridicata și cu amănuntul; repararea autoveh</w:t>
      </w:r>
      <w:r w:rsidR="006911B2">
        <w:rPr>
          <w:rFonts w:ascii="Arial" w:hAnsi="Arial" w:cs="Arial"/>
          <w:sz w:val="24"/>
          <w:szCs w:val="24"/>
          <w:lang w:val="ro-RO"/>
        </w:rPr>
        <w:t>iculelor și motocicletelor, și H</w:t>
      </w:r>
      <w:r w:rsidR="006911B2" w:rsidRPr="003C6788">
        <w:rPr>
          <w:rFonts w:ascii="Arial" w:hAnsi="Arial" w:cs="Arial"/>
          <w:sz w:val="24"/>
          <w:szCs w:val="24"/>
          <w:lang w:val="ro-RO"/>
        </w:rPr>
        <w:t xml:space="preserve"> transport și d</w:t>
      </w:r>
      <w:r w:rsidR="006911B2">
        <w:rPr>
          <w:rFonts w:ascii="Arial" w:hAnsi="Arial" w:cs="Arial"/>
          <w:sz w:val="24"/>
          <w:szCs w:val="24"/>
          <w:lang w:val="ro-RO"/>
        </w:rPr>
        <w:t xml:space="preserve">epozitare, în </w:t>
      </w:r>
      <w:r w:rsidR="00995B91">
        <w:rPr>
          <w:rFonts w:ascii="Arial" w:hAnsi="Arial" w:cs="Arial"/>
          <w:sz w:val="24"/>
          <w:szCs w:val="24"/>
          <w:lang w:val="ro-RO"/>
        </w:rPr>
        <w:t>H</w:t>
      </w:r>
      <w:r w:rsidR="006911B2">
        <w:rPr>
          <w:rFonts w:ascii="Arial" w:hAnsi="Arial" w:cs="Arial"/>
          <w:sz w:val="24"/>
          <w:szCs w:val="24"/>
          <w:lang w:val="ro-RO"/>
        </w:rPr>
        <w:t>unedoara pentru D</w:t>
      </w:r>
      <w:r w:rsidR="006911B2" w:rsidRPr="003C6788">
        <w:rPr>
          <w:rFonts w:ascii="Arial" w:hAnsi="Arial" w:cs="Arial"/>
          <w:sz w:val="24"/>
          <w:szCs w:val="24"/>
          <w:lang w:val="ro-RO"/>
        </w:rPr>
        <w:t xml:space="preserve"> producția și furnizarea de energie electrică și termică, gaze, apă caldă ș</w:t>
      </w:r>
      <w:r w:rsidR="006911B2">
        <w:rPr>
          <w:rFonts w:ascii="Arial" w:hAnsi="Arial" w:cs="Arial"/>
          <w:sz w:val="24"/>
          <w:szCs w:val="24"/>
          <w:lang w:val="ro-RO"/>
        </w:rPr>
        <w:t>i aer condiționat iar în timiș K</w:t>
      </w:r>
      <w:r w:rsidR="006911B2" w:rsidRPr="003C6788">
        <w:rPr>
          <w:rFonts w:ascii="Arial" w:hAnsi="Arial" w:cs="Arial"/>
          <w:sz w:val="24"/>
          <w:szCs w:val="24"/>
          <w:lang w:val="ro-RO"/>
        </w:rPr>
        <w:t xml:space="preserve"> tranzacții imobiliare, închirieri și activități de servicii prestate in principal </w:t>
      </w:r>
      <w:r w:rsidR="006911B2">
        <w:rPr>
          <w:rFonts w:ascii="Arial" w:hAnsi="Arial" w:cs="Arial"/>
          <w:sz w:val="24"/>
          <w:szCs w:val="24"/>
          <w:lang w:val="ro-RO"/>
        </w:rPr>
        <w:t>întreprinderilor  și G</w:t>
      </w:r>
      <w:r w:rsidR="006911B2" w:rsidRPr="003C6788">
        <w:rPr>
          <w:rFonts w:ascii="Arial" w:hAnsi="Arial" w:cs="Arial"/>
          <w:sz w:val="24"/>
          <w:szCs w:val="24"/>
          <w:lang w:val="ro-RO"/>
        </w:rPr>
        <w:t xml:space="preserve"> comerț cu ridicata și cu amănuntul; repararea autovehiculelor și motocicletelor. </w:t>
      </w:r>
    </w:p>
    <w:p w:rsidR="001A346C" w:rsidRPr="000D7C65" w:rsidRDefault="001A346C" w:rsidP="000C6A67">
      <w:pPr>
        <w:spacing w:after="0" w:line="240" w:lineRule="auto"/>
        <w:jc w:val="both"/>
        <w:rPr>
          <w:rFonts w:ascii="Arial" w:hAnsi="Arial" w:cs="Arial"/>
          <w:color w:val="000000" w:themeColor="text1"/>
          <w:sz w:val="24"/>
          <w:szCs w:val="24"/>
          <w:lang w:eastAsia="ro-RO"/>
        </w:rPr>
      </w:pPr>
    </w:p>
    <w:p w:rsidR="000D7C65" w:rsidRPr="00963A96" w:rsidRDefault="001A346C" w:rsidP="005D375D">
      <w:pPr>
        <w:pStyle w:val="Heading3"/>
        <w:spacing w:before="0" w:line="240" w:lineRule="auto"/>
        <w:jc w:val="both"/>
        <w:rPr>
          <w:rFonts w:ascii="Arial" w:hAnsi="Arial" w:cs="Arial"/>
          <w:b w:val="0"/>
          <w:i/>
          <w:color w:val="000000" w:themeColor="text1"/>
          <w:sz w:val="24"/>
          <w:szCs w:val="24"/>
          <w:lang w:eastAsia="ro-RO"/>
        </w:rPr>
      </w:pPr>
      <w:bookmarkStart w:id="41" w:name="_Toc488066026"/>
      <w:r w:rsidRPr="00963A96">
        <w:rPr>
          <w:rFonts w:ascii="Arial" w:hAnsi="Arial" w:cs="Arial"/>
          <w:b w:val="0"/>
          <w:i/>
          <w:color w:val="000000" w:themeColor="text1"/>
          <w:sz w:val="24"/>
          <w:szCs w:val="24"/>
          <w:lang w:eastAsia="ro-RO"/>
        </w:rPr>
        <w:t>4.1.4. Demografia întreprinderilor -</w:t>
      </w:r>
      <w:r w:rsidRPr="00963A96">
        <w:rPr>
          <w:rFonts w:ascii="Arial" w:hAnsi="Arial" w:cs="Arial"/>
          <w:b w:val="0"/>
          <w:i/>
          <w:color w:val="000000" w:themeColor="text1"/>
          <w:sz w:val="24"/>
          <w:szCs w:val="24"/>
        </w:rPr>
        <w:t xml:space="preserve"> </w:t>
      </w:r>
      <w:r w:rsidRPr="00963A96">
        <w:rPr>
          <w:rFonts w:ascii="Arial" w:hAnsi="Arial" w:cs="Arial"/>
          <w:b w:val="0"/>
          <w:i/>
          <w:color w:val="000000" w:themeColor="text1"/>
          <w:sz w:val="24"/>
          <w:szCs w:val="24"/>
          <w:lang w:eastAsia="ro-RO"/>
        </w:rPr>
        <w:t>întreprinderilor active nou create</w:t>
      </w:r>
      <w:r w:rsidR="00C37D14" w:rsidRPr="00963A96">
        <w:rPr>
          <w:rStyle w:val="FootnoteReference"/>
          <w:rFonts w:ascii="Arial" w:hAnsi="Arial" w:cs="Arial"/>
          <w:b w:val="0"/>
          <w:i/>
          <w:color w:val="000000" w:themeColor="text1"/>
          <w:sz w:val="24"/>
          <w:szCs w:val="24"/>
          <w:lang w:eastAsia="ro-RO"/>
        </w:rPr>
        <w:footnoteReference w:id="30"/>
      </w:r>
      <w:bookmarkEnd w:id="41"/>
    </w:p>
    <w:p w:rsidR="00963A96" w:rsidRPr="00AE1686" w:rsidRDefault="00BB6301" w:rsidP="00AE1686">
      <w:pPr>
        <w:spacing w:after="0" w:line="240" w:lineRule="auto"/>
        <w:contextualSpacing/>
        <w:jc w:val="both"/>
        <w:rPr>
          <w:rFonts w:ascii="Arial" w:hAnsi="Arial" w:cs="Arial"/>
          <w:sz w:val="24"/>
          <w:szCs w:val="24"/>
        </w:rPr>
      </w:pPr>
      <w:r w:rsidRPr="00334F81">
        <w:rPr>
          <w:rFonts w:ascii="Arial" w:hAnsi="Arial" w:cs="Arial"/>
          <w:i/>
          <w:sz w:val="24"/>
          <w:szCs w:val="24"/>
        </w:rPr>
        <w:t>Ponderea forţei de muncă din întreprinderi active nou create cu capital străin</w:t>
      </w:r>
      <w:r w:rsidR="006911B2">
        <w:rPr>
          <w:rFonts w:ascii="Arial" w:hAnsi="Arial" w:cs="Arial"/>
          <w:sz w:val="24"/>
          <w:szCs w:val="24"/>
        </w:rPr>
        <w:t>: I</w:t>
      </w:r>
      <w:r w:rsidR="006911B2" w:rsidRPr="00334F81">
        <w:rPr>
          <w:rFonts w:ascii="Arial" w:hAnsi="Arial" w:cs="Arial"/>
          <w:sz w:val="24"/>
          <w:szCs w:val="24"/>
        </w:rPr>
        <w:t>ntreprinderile cu capital străin joacă un rol stabil în economia regiunii, cu valori având o tendință de creștere către 22% în 2014, și un vârf de 65% în 2009. Această maximă necesită investigații suplimentare pentru o interpretare corectă.</w:t>
      </w:r>
    </w:p>
    <w:p w:rsidR="00A604C1" w:rsidRDefault="00A604C1" w:rsidP="000C6A67">
      <w:pPr>
        <w:spacing w:after="0" w:line="240" w:lineRule="auto"/>
        <w:contextualSpacing/>
        <w:jc w:val="center"/>
        <w:rPr>
          <w:rFonts w:ascii="Arial" w:hAnsi="Arial" w:cs="Arial"/>
        </w:rPr>
      </w:pPr>
    </w:p>
    <w:p w:rsidR="00A604C1" w:rsidRDefault="00A604C1" w:rsidP="000C6A67">
      <w:pPr>
        <w:spacing w:after="0" w:line="240" w:lineRule="auto"/>
        <w:contextualSpacing/>
        <w:jc w:val="center"/>
        <w:rPr>
          <w:rFonts w:ascii="Arial" w:hAnsi="Arial" w:cs="Arial"/>
        </w:rPr>
      </w:pPr>
    </w:p>
    <w:p w:rsidR="00A604C1" w:rsidRDefault="00A604C1" w:rsidP="000C6A67">
      <w:pPr>
        <w:spacing w:after="0" w:line="240" w:lineRule="auto"/>
        <w:contextualSpacing/>
        <w:jc w:val="center"/>
        <w:rPr>
          <w:rFonts w:ascii="Arial" w:hAnsi="Arial" w:cs="Arial"/>
        </w:rPr>
      </w:pPr>
    </w:p>
    <w:p w:rsidR="00A604C1" w:rsidRDefault="00A604C1" w:rsidP="000C6A67">
      <w:pPr>
        <w:spacing w:after="0" w:line="240" w:lineRule="auto"/>
        <w:contextualSpacing/>
        <w:jc w:val="center"/>
        <w:rPr>
          <w:rFonts w:ascii="Arial" w:hAnsi="Arial" w:cs="Arial"/>
        </w:rPr>
      </w:pPr>
    </w:p>
    <w:p w:rsidR="00A604C1" w:rsidRDefault="00A604C1" w:rsidP="000C6A67">
      <w:pPr>
        <w:spacing w:after="0" w:line="240" w:lineRule="auto"/>
        <w:contextualSpacing/>
        <w:jc w:val="center"/>
        <w:rPr>
          <w:rFonts w:ascii="Arial" w:hAnsi="Arial" w:cs="Arial"/>
        </w:rPr>
      </w:pPr>
    </w:p>
    <w:p w:rsidR="00FD7FBD" w:rsidRPr="00FD7FBD" w:rsidRDefault="00FD7FBD" w:rsidP="000C6A67">
      <w:pPr>
        <w:spacing w:after="0" w:line="240" w:lineRule="auto"/>
        <w:contextualSpacing/>
        <w:jc w:val="center"/>
        <w:rPr>
          <w:rFonts w:ascii="Arial" w:hAnsi="Arial" w:cs="Arial"/>
        </w:rPr>
      </w:pPr>
      <w:r w:rsidRPr="00FD7FBD">
        <w:rPr>
          <w:rFonts w:ascii="Arial" w:hAnsi="Arial" w:cs="Arial"/>
        </w:rPr>
        <w:lastRenderedPageBreak/>
        <w:t xml:space="preserve">Figura </w:t>
      </w:r>
      <w:r w:rsidR="00995B91">
        <w:rPr>
          <w:rFonts w:ascii="Arial" w:hAnsi="Arial" w:cs="Arial"/>
        </w:rPr>
        <w:t>9.</w:t>
      </w:r>
    </w:p>
    <w:p w:rsidR="00BB6301" w:rsidRPr="00FD7FBD" w:rsidRDefault="00FD7FBD" w:rsidP="000C6A67">
      <w:pPr>
        <w:spacing w:after="0" w:line="240" w:lineRule="auto"/>
        <w:contextualSpacing/>
        <w:jc w:val="center"/>
        <w:rPr>
          <w:rFonts w:ascii="Arial" w:hAnsi="Arial" w:cs="Arial"/>
        </w:rPr>
      </w:pPr>
      <w:r w:rsidRPr="00FD7FBD">
        <w:rPr>
          <w:rFonts w:ascii="Arial" w:hAnsi="Arial" w:cs="Arial"/>
        </w:rPr>
        <w:t>.</w:t>
      </w:r>
      <w:r w:rsidR="00BB6301" w:rsidRPr="00FD7FBD">
        <w:rPr>
          <w:rFonts w:ascii="Arial" w:hAnsi="Arial" w:cs="Arial"/>
          <w:noProof/>
          <w:lang w:val="en-US"/>
        </w:rPr>
        <w:drawing>
          <wp:inline distT="0" distB="0" distL="0" distR="0">
            <wp:extent cx="3954780" cy="1813560"/>
            <wp:effectExtent l="19050" t="0" r="26670" b="0"/>
            <wp:docPr id="1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BB6301" w:rsidRPr="00FD7FBD" w:rsidRDefault="00BB6301" w:rsidP="000C6A67">
      <w:pPr>
        <w:pStyle w:val="ListParagraph"/>
        <w:ind w:left="0"/>
        <w:contextualSpacing/>
        <w:rPr>
          <w:rFonts w:ascii="Arial" w:hAnsi="Arial" w:cs="Arial"/>
          <w:sz w:val="22"/>
          <w:szCs w:val="22"/>
          <w:lang w:val="ro-RO"/>
        </w:rPr>
      </w:pPr>
      <w:r w:rsidRPr="00FD7FBD">
        <w:rPr>
          <w:rFonts w:ascii="Arial" w:hAnsi="Arial" w:cs="Arial"/>
          <w:sz w:val="22"/>
          <w:szCs w:val="22"/>
          <w:lang w:val="ro-RO"/>
        </w:rPr>
        <w:t xml:space="preserve">    Sursa datelor: INS, Baza de date TEMPO On line - Demografia întreprinderilor - INT 111P</w:t>
      </w:r>
    </w:p>
    <w:p w:rsidR="00BB6301" w:rsidRPr="003C6788" w:rsidRDefault="00BB6301" w:rsidP="000C6A67">
      <w:pPr>
        <w:pStyle w:val="ListParagraph"/>
        <w:contextualSpacing/>
        <w:rPr>
          <w:rFonts w:ascii="Arial" w:hAnsi="Arial" w:cs="Arial"/>
          <w:sz w:val="24"/>
          <w:szCs w:val="24"/>
          <w:lang w:val="ro-RO"/>
        </w:rPr>
      </w:pPr>
    </w:p>
    <w:p w:rsidR="00BB6301" w:rsidRPr="00334F81" w:rsidRDefault="00BB6301" w:rsidP="005D375D">
      <w:pPr>
        <w:spacing w:after="0" w:line="240" w:lineRule="auto"/>
        <w:contextualSpacing/>
        <w:jc w:val="both"/>
        <w:rPr>
          <w:rFonts w:ascii="Arial" w:hAnsi="Arial" w:cs="Arial"/>
          <w:sz w:val="24"/>
          <w:szCs w:val="24"/>
        </w:rPr>
      </w:pPr>
      <w:r w:rsidRPr="00334F81">
        <w:rPr>
          <w:rFonts w:ascii="Arial" w:hAnsi="Arial" w:cs="Arial"/>
          <w:i/>
          <w:sz w:val="24"/>
          <w:szCs w:val="24"/>
        </w:rPr>
        <w:t>Distribuţia întreprinderilor active nou create, după categoria socio-profesională anterioară a fondatorului/managerului, pe regiuni de dezvoltare, în anul 2014</w:t>
      </w:r>
      <w:r w:rsidRPr="00334F81">
        <w:rPr>
          <w:rFonts w:ascii="Arial" w:hAnsi="Arial" w:cs="Arial"/>
          <w:sz w:val="24"/>
          <w:szCs w:val="24"/>
        </w:rPr>
        <w:t xml:space="preserve"> – arată că cei cu profesii tehnice au șanse de reuțită cu 46,6%, dar sunt bine reprezentate și categoriile de muncitori necalificați cu 28,8% și muncitori calificați cu 21,2%. Cat</w:t>
      </w:r>
      <w:r w:rsidR="00461784">
        <w:rPr>
          <w:rFonts w:ascii="Arial" w:hAnsi="Arial" w:cs="Arial"/>
          <w:sz w:val="24"/>
          <w:szCs w:val="24"/>
        </w:rPr>
        <w:t>e</w:t>
      </w:r>
      <w:r w:rsidRPr="00334F81">
        <w:rPr>
          <w:rFonts w:ascii="Arial" w:hAnsi="Arial" w:cs="Arial"/>
          <w:sz w:val="24"/>
          <w:szCs w:val="24"/>
        </w:rPr>
        <w:t xml:space="preserve">goria celor din funcții de conducere arată cea mai mică disponibilitate de a crea întreprinderi noi, cu doar 3,4%. </w:t>
      </w:r>
    </w:p>
    <w:p w:rsidR="003F02D7" w:rsidRDefault="003F02D7" w:rsidP="000C6A67">
      <w:pPr>
        <w:pStyle w:val="ListParagraph"/>
        <w:contextualSpacing/>
        <w:jc w:val="center"/>
        <w:rPr>
          <w:rFonts w:ascii="Arial" w:hAnsi="Arial" w:cs="Arial"/>
          <w:sz w:val="22"/>
          <w:szCs w:val="22"/>
          <w:lang w:val="ro-RO"/>
        </w:rPr>
      </w:pPr>
    </w:p>
    <w:p w:rsidR="00BB6301" w:rsidRPr="00FD7FBD" w:rsidRDefault="00FD7FBD" w:rsidP="000C6A67">
      <w:pPr>
        <w:pStyle w:val="ListParagraph"/>
        <w:contextualSpacing/>
        <w:jc w:val="center"/>
        <w:rPr>
          <w:rFonts w:ascii="Arial" w:hAnsi="Arial" w:cs="Arial"/>
          <w:sz w:val="22"/>
          <w:szCs w:val="22"/>
          <w:lang w:val="ro-RO"/>
        </w:rPr>
      </w:pPr>
      <w:r w:rsidRPr="00FD7FBD">
        <w:rPr>
          <w:rFonts w:ascii="Arial" w:hAnsi="Arial" w:cs="Arial"/>
          <w:sz w:val="22"/>
          <w:szCs w:val="22"/>
          <w:lang w:val="ro-RO"/>
        </w:rPr>
        <w:t xml:space="preserve">Figura </w:t>
      </w:r>
      <w:r w:rsidR="00995B91">
        <w:rPr>
          <w:rFonts w:ascii="Arial" w:hAnsi="Arial" w:cs="Arial"/>
          <w:sz w:val="22"/>
          <w:szCs w:val="22"/>
          <w:lang w:val="ro-RO"/>
        </w:rPr>
        <w:t>10</w:t>
      </w:r>
      <w:r w:rsidRPr="00FD7FBD">
        <w:rPr>
          <w:rFonts w:ascii="Arial" w:hAnsi="Arial" w:cs="Arial"/>
          <w:sz w:val="22"/>
          <w:szCs w:val="22"/>
          <w:lang w:val="ro-RO"/>
        </w:rPr>
        <w:t>.</w:t>
      </w:r>
    </w:p>
    <w:p w:rsidR="00BB6301" w:rsidRPr="00FD7FBD" w:rsidRDefault="00BB6301" w:rsidP="00AE1686">
      <w:pPr>
        <w:pStyle w:val="ListParagraph"/>
        <w:ind w:left="90"/>
        <w:contextualSpacing/>
        <w:jc w:val="center"/>
        <w:rPr>
          <w:rFonts w:ascii="Arial" w:hAnsi="Arial" w:cs="Arial"/>
          <w:sz w:val="22"/>
          <w:szCs w:val="22"/>
          <w:lang w:val="ro-RO"/>
        </w:rPr>
      </w:pPr>
      <w:r w:rsidRPr="00FD7FBD">
        <w:rPr>
          <w:rFonts w:ascii="Arial" w:hAnsi="Arial" w:cs="Arial"/>
          <w:noProof/>
          <w:sz w:val="22"/>
          <w:szCs w:val="22"/>
          <w:bdr w:val="single" w:sz="12" w:space="0" w:color="002060"/>
        </w:rPr>
        <w:drawing>
          <wp:inline distT="0" distB="0" distL="0" distR="0">
            <wp:extent cx="5314950" cy="2933700"/>
            <wp:effectExtent l="19050" t="0" r="19050" b="0"/>
            <wp:docPr id="20"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BB6301" w:rsidRPr="00FD7FBD" w:rsidRDefault="00BB6301" w:rsidP="000C6A67">
      <w:pPr>
        <w:spacing w:after="0" w:line="240" w:lineRule="auto"/>
        <w:contextualSpacing/>
        <w:jc w:val="center"/>
        <w:rPr>
          <w:rFonts w:ascii="Arial" w:hAnsi="Arial" w:cs="Arial"/>
        </w:rPr>
      </w:pPr>
      <w:r w:rsidRPr="00FD7FBD">
        <w:rPr>
          <w:rFonts w:ascii="Arial" w:hAnsi="Arial" w:cs="Arial"/>
        </w:rPr>
        <w:t>Sursa datelor: INS, Baza de date TEMPO On line - Demografia întreprinderilor - INT 111W</w:t>
      </w:r>
    </w:p>
    <w:p w:rsidR="00BB6301" w:rsidRPr="003C6788" w:rsidRDefault="00BB6301" w:rsidP="000C6A67">
      <w:pPr>
        <w:spacing w:after="0" w:line="240" w:lineRule="auto"/>
        <w:contextualSpacing/>
        <w:rPr>
          <w:rFonts w:ascii="Arial" w:hAnsi="Arial" w:cs="Arial"/>
          <w:sz w:val="24"/>
          <w:szCs w:val="24"/>
        </w:rPr>
      </w:pPr>
    </w:p>
    <w:p w:rsidR="005D375D" w:rsidRDefault="00BB6301" w:rsidP="003F02D7">
      <w:pPr>
        <w:spacing w:after="0" w:line="240" w:lineRule="auto"/>
        <w:contextualSpacing/>
        <w:jc w:val="both"/>
        <w:rPr>
          <w:rFonts w:ascii="Arial" w:hAnsi="Arial" w:cs="Arial"/>
          <w:sz w:val="24"/>
          <w:szCs w:val="24"/>
        </w:rPr>
      </w:pPr>
      <w:r w:rsidRPr="003C6788">
        <w:rPr>
          <w:rFonts w:ascii="Arial" w:hAnsi="Arial" w:cs="Arial"/>
          <w:i/>
          <w:sz w:val="24"/>
          <w:szCs w:val="24"/>
        </w:rPr>
        <w:t>Situaţia întreprinderilor nou create la un an de la înfiinţare</w:t>
      </w:r>
      <w:r w:rsidR="00461784">
        <w:rPr>
          <w:rFonts w:ascii="Arial" w:hAnsi="Arial" w:cs="Arial"/>
          <w:sz w:val="24"/>
          <w:szCs w:val="24"/>
        </w:rPr>
        <w:t xml:space="preserve">: </w:t>
      </w:r>
      <w:r w:rsidR="00461784" w:rsidRPr="003C6788">
        <w:rPr>
          <w:rFonts w:ascii="Arial" w:hAnsi="Arial" w:cs="Arial"/>
          <w:sz w:val="24"/>
          <w:szCs w:val="24"/>
        </w:rPr>
        <w:t>ponderea</w:t>
      </w:r>
      <w:r w:rsidR="00461784">
        <w:rPr>
          <w:rFonts w:ascii="Arial" w:hAnsi="Arial" w:cs="Arial"/>
          <w:sz w:val="24"/>
          <w:szCs w:val="24"/>
        </w:rPr>
        <w:t xml:space="preserve"> este</w:t>
      </w:r>
      <w:r w:rsidR="00461784" w:rsidRPr="003C6788">
        <w:rPr>
          <w:rFonts w:ascii="Arial" w:hAnsi="Arial" w:cs="Arial"/>
          <w:sz w:val="24"/>
          <w:szCs w:val="24"/>
        </w:rPr>
        <w:t xml:space="preserve"> în creștere de la 50% la 70% a întreprinderilor rămase active, iar ponderea celor care sunt inactive sau se desființează arată o tendință de decreștere, și ia valori în jur de 20% respectiv 10%. Aceste tendințe pot fi dovada capacităților crescute de antreprenoriat în regiune. </w:t>
      </w:r>
    </w:p>
    <w:p w:rsidR="005D375D" w:rsidRDefault="005D375D" w:rsidP="000C6A67">
      <w:pPr>
        <w:spacing w:after="0" w:line="240" w:lineRule="auto"/>
        <w:ind w:firstLine="720"/>
        <w:contextualSpacing/>
        <w:jc w:val="center"/>
        <w:rPr>
          <w:rFonts w:ascii="Arial" w:hAnsi="Arial" w:cs="Arial"/>
          <w:sz w:val="24"/>
          <w:szCs w:val="24"/>
        </w:rPr>
      </w:pPr>
    </w:p>
    <w:p w:rsidR="00A604C1" w:rsidRDefault="00A604C1" w:rsidP="000C6A67">
      <w:pPr>
        <w:spacing w:after="0" w:line="240" w:lineRule="auto"/>
        <w:ind w:firstLine="720"/>
        <w:contextualSpacing/>
        <w:jc w:val="center"/>
        <w:rPr>
          <w:rFonts w:ascii="Arial" w:hAnsi="Arial" w:cs="Arial"/>
          <w:sz w:val="24"/>
          <w:szCs w:val="24"/>
        </w:rPr>
      </w:pPr>
    </w:p>
    <w:p w:rsidR="00A604C1" w:rsidRDefault="00A604C1" w:rsidP="000C6A67">
      <w:pPr>
        <w:spacing w:after="0" w:line="240" w:lineRule="auto"/>
        <w:ind w:firstLine="720"/>
        <w:contextualSpacing/>
        <w:jc w:val="center"/>
        <w:rPr>
          <w:rFonts w:ascii="Arial" w:hAnsi="Arial" w:cs="Arial"/>
          <w:sz w:val="24"/>
          <w:szCs w:val="24"/>
        </w:rPr>
      </w:pPr>
    </w:p>
    <w:p w:rsidR="00A604C1" w:rsidRDefault="00A604C1" w:rsidP="000C6A67">
      <w:pPr>
        <w:spacing w:after="0" w:line="240" w:lineRule="auto"/>
        <w:ind w:firstLine="720"/>
        <w:contextualSpacing/>
        <w:jc w:val="center"/>
        <w:rPr>
          <w:rFonts w:ascii="Arial" w:hAnsi="Arial" w:cs="Arial"/>
          <w:sz w:val="24"/>
          <w:szCs w:val="24"/>
        </w:rPr>
      </w:pPr>
    </w:p>
    <w:p w:rsidR="00A604C1" w:rsidRDefault="00A604C1" w:rsidP="000C6A67">
      <w:pPr>
        <w:spacing w:after="0" w:line="240" w:lineRule="auto"/>
        <w:ind w:firstLine="720"/>
        <w:contextualSpacing/>
        <w:jc w:val="center"/>
        <w:rPr>
          <w:rFonts w:ascii="Arial" w:hAnsi="Arial" w:cs="Arial"/>
          <w:sz w:val="24"/>
          <w:szCs w:val="24"/>
        </w:rPr>
      </w:pPr>
    </w:p>
    <w:p w:rsidR="00A604C1" w:rsidRDefault="00A604C1" w:rsidP="000C6A67">
      <w:pPr>
        <w:spacing w:after="0" w:line="240" w:lineRule="auto"/>
        <w:ind w:firstLine="720"/>
        <w:contextualSpacing/>
        <w:jc w:val="center"/>
        <w:rPr>
          <w:rFonts w:ascii="Arial" w:hAnsi="Arial" w:cs="Arial"/>
          <w:sz w:val="24"/>
          <w:szCs w:val="24"/>
        </w:rPr>
      </w:pPr>
    </w:p>
    <w:p w:rsidR="003E6A85" w:rsidRDefault="003E6A85" w:rsidP="000C6A67">
      <w:pPr>
        <w:spacing w:after="0" w:line="240" w:lineRule="auto"/>
        <w:ind w:firstLine="720"/>
        <w:contextualSpacing/>
        <w:jc w:val="center"/>
        <w:rPr>
          <w:rFonts w:ascii="Arial" w:hAnsi="Arial" w:cs="Arial"/>
        </w:rPr>
      </w:pPr>
    </w:p>
    <w:p w:rsidR="00BB6301" w:rsidRPr="005D375D" w:rsidRDefault="00FD7FBD" w:rsidP="000C6A67">
      <w:pPr>
        <w:spacing w:after="0" w:line="240" w:lineRule="auto"/>
        <w:ind w:firstLine="720"/>
        <w:contextualSpacing/>
        <w:jc w:val="center"/>
        <w:rPr>
          <w:rFonts w:ascii="Arial" w:hAnsi="Arial" w:cs="Arial"/>
        </w:rPr>
      </w:pPr>
      <w:r w:rsidRPr="005D375D">
        <w:rPr>
          <w:rFonts w:ascii="Arial" w:hAnsi="Arial" w:cs="Arial"/>
        </w:rPr>
        <w:lastRenderedPageBreak/>
        <w:t>Figura 1</w:t>
      </w:r>
      <w:r w:rsidR="00995B91">
        <w:rPr>
          <w:rFonts w:ascii="Arial" w:hAnsi="Arial" w:cs="Arial"/>
        </w:rPr>
        <w:t>1</w:t>
      </w:r>
      <w:r w:rsidRPr="005D375D">
        <w:rPr>
          <w:rFonts w:ascii="Arial" w:hAnsi="Arial" w:cs="Arial"/>
        </w:rPr>
        <w:t>.</w:t>
      </w:r>
    </w:p>
    <w:p w:rsidR="00AF1AFD" w:rsidRPr="00AF1AFD" w:rsidRDefault="00BB6301" w:rsidP="00AF1AFD">
      <w:pPr>
        <w:spacing w:after="0" w:line="240" w:lineRule="auto"/>
        <w:ind w:firstLine="720"/>
        <w:contextualSpacing/>
        <w:jc w:val="center"/>
        <w:rPr>
          <w:rFonts w:ascii="Arial" w:hAnsi="Arial" w:cs="Arial"/>
          <w:sz w:val="24"/>
          <w:szCs w:val="24"/>
        </w:rPr>
      </w:pPr>
      <w:r w:rsidRPr="003C6788">
        <w:rPr>
          <w:rFonts w:ascii="Arial" w:hAnsi="Arial" w:cs="Arial"/>
          <w:noProof/>
          <w:sz w:val="24"/>
          <w:szCs w:val="24"/>
          <w:lang w:val="en-US"/>
        </w:rPr>
        <w:drawing>
          <wp:inline distT="0" distB="0" distL="0" distR="0">
            <wp:extent cx="4632960" cy="2065020"/>
            <wp:effectExtent l="19050" t="0" r="15240" b="0"/>
            <wp:docPr id="21"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BB6301" w:rsidRPr="00FD7FBD" w:rsidRDefault="00AF1AFD" w:rsidP="000C6A67">
      <w:pPr>
        <w:spacing w:after="0" w:line="240" w:lineRule="auto"/>
        <w:ind w:hanging="90"/>
        <w:contextualSpacing/>
        <w:jc w:val="center"/>
        <w:rPr>
          <w:rFonts w:ascii="Arial" w:hAnsi="Arial" w:cs="Arial"/>
        </w:rPr>
      </w:pPr>
      <w:r>
        <w:rPr>
          <w:rFonts w:ascii="Arial" w:hAnsi="Arial" w:cs="Arial"/>
        </w:rPr>
        <w:t xml:space="preserve">       </w:t>
      </w:r>
      <w:r w:rsidR="00BB6301" w:rsidRPr="00FD7FBD">
        <w:rPr>
          <w:rFonts w:ascii="Arial" w:hAnsi="Arial" w:cs="Arial"/>
        </w:rPr>
        <w:t>Sursa datelor: INS, Baza de date TEMPO On line - Demografia întreprinderilor - INT 111Y</w:t>
      </w:r>
    </w:p>
    <w:p w:rsidR="00BB6301" w:rsidRPr="003C6788" w:rsidRDefault="00BB6301" w:rsidP="000C6A67">
      <w:pPr>
        <w:spacing w:after="0" w:line="240" w:lineRule="auto"/>
        <w:ind w:firstLine="720"/>
        <w:contextualSpacing/>
        <w:rPr>
          <w:rFonts w:ascii="Arial" w:hAnsi="Arial" w:cs="Arial"/>
          <w:sz w:val="24"/>
          <w:szCs w:val="24"/>
        </w:rPr>
      </w:pPr>
    </w:p>
    <w:p w:rsidR="003F02D7" w:rsidRPr="000D7C65" w:rsidRDefault="003F02D7" w:rsidP="000C6A67">
      <w:pPr>
        <w:spacing w:after="0" w:line="240" w:lineRule="auto"/>
        <w:jc w:val="both"/>
        <w:rPr>
          <w:rFonts w:ascii="Arial" w:hAnsi="Arial" w:cs="Arial"/>
          <w:color w:val="000000" w:themeColor="text1"/>
          <w:sz w:val="24"/>
          <w:szCs w:val="24"/>
        </w:rPr>
      </w:pPr>
    </w:p>
    <w:p w:rsidR="00F2266B" w:rsidRPr="00DD5F85" w:rsidRDefault="001A346C" w:rsidP="000C6A67">
      <w:pPr>
        <w:pStyle w:val="Heading2"/>
        <w:spacing w:before="0" w:line="240" w:lineRule="auto"/>
        <w:jc w:val="both"/>
        <w:rPr>
          <w:rFonts w:ascii="Arial" w:hAnsi="Arial" w:cs="Arial"/>
          <w:i/>
          <w:color w:val="000000" w:themeColor="text1"/>
          <w:sz w:val="24"/>
          <w:szCs w:val="24"/>
        </w:rPr>
      </w:pPr>
      <w:bookmarkStart w:id="42" w:name="_Toc465489988"/>
      <w:bookmarkStart w:id="43" w:name="_Toc488066027"/>
      <w:r w:rsidRPr="00DD5F85">
        <w:rPr>
          <w:rFonts w:ascii="Arial" w:hAnsi="Arial" w:cs="Arial"/>
          <w:i/>
          <w:color w:val="000000" w:themeColor="text1"/>
          <w:sz w:val="24"/>
          <w:szCs w:val="24"/>
        </w:rPr>
        <w:t>4</w:t>
      </w:r>
      <w:r w:rsidR="00F2266B" w:rsidRPr="00DD5F85">
        <w:rPr>
          <w:rFonts w:ascii="Arial" w:hAnsi="Arial" w:cs="Arial"/>
          <w:i/>
          <w:color w:val="000000" w:themeColor="text1"/>
          <w:sz w:val="24"/>
          <w:szCs w:val="24"/>
        </w:rPr>
        <w:t xml:space="preserve">.2. Proiecţia principalilor indicatori economici </w:t>
      </w:r>
      <w:bookmarkEnd w:id="42"/>
      <w:r w:rsidR="00C37D14">
        <w:rPr>
          <w:rStyle w:val="FootnoteReference"/>
          <w:rFonts w:ascii="Arial" w:hAnsi="Arial" w:cs="Arial"/>
          <w:i/>
          <w:color w:val="000000" w:themeColor="text1"/>
          <w:sz w:val="24"/>
          <w:szCs w:val="24"/>
        </w:rPr>
        <w:footnoteReference w:id="31"/>
      </w:r>
      <w:bookmarkEnd w:id="43"/>
    </w:p>
    <w:p w:rsidR="00FD7FBD" w:rsidRDefault="00FD7FBD" w:rsidP="000C6A67">
      <w:pPr>
        <w:spacing w:after="0" w:line="240" w:lineRule="auto"/>
        <w:jc w:val="center"/>
        <w:rPr>
          <w:rFonts w:ascii="Arial" w:hAnsi="Arial" w:cs="Arial"/>
          <w:color w:val="000000" w:themeColor="text1"/>
          <w:sz w:val="24"/>
          <w:szCs w:val="24"/>
        </w:rPr>
      </w:pPr>
    </w:p>
    <w:p w:rsidR="00FD7FBD" w:rsidRPr="004D3518" w:rsidRDefault="00FD7FBD" w:rsidP="000C6A67">
      <w:pPr>
        <w:spacing w:after="0" w:line="240" w:lineRule="auto"/>
        <w:jc w:val="center"/>
        <w:rPr>
          <w:rFonts w:ascii="Arial" w:hAnsi="Arial" w:cs="Arial"/>
          <w:color w:val="000000" w:themeColor="text1"/>
        </w:rPr>
      </w:pPr>
      <w:r w:rsidRPr="004D3518">
        <w:rPr>
          <w:rFonts w:ascii="Arial" w:hAnsi="Arial" w:cs="Arial"/>
          <w:color w:val="000000" w:themeColor="text1"/>
        </w:rPr>
        <w:t>Tabel nr.</w:t>
      </w:r>
      <w:r w:rsidR="006F004E">
        <w:rPr>
          <w:rFonts w:ascii="Arial" w:hAnsi="Arial" w:cs="Arial"/>
          <w:color w:val="000000" w:themeColor="text1"/>
        </w:rPr>
        <w:t>3</w:t>
      </w:r>
      <w:r w:rsidRPr="004D3518">
        <w:rPr>
          <w:rFonts w:ascii="Arial" w:hAnsi="Arial" w:cs="Arial"/>
          <w:color w:val="000000" w:themeColor="text1"/>
        </w:rPr>
        <w:t xml:space="preserve">. Indicatori PIB Regiunea Vest </w:t>
      </w:r>
    </w:p>
    <w:tbl>
      <w:tblPr>
        <w:tblW w:w="9121" w:type="dxa"/>
        <w:jc w:val="center"/>
        <w:tblLook w:val="04A0" w:firstRow="1" w:lastRow="0" w:firstColumn="1" w:lastColumn="0" w:noHBand="0" w:noVBand="1"/>
      </w:tblPr>
      <w:tblGrid>
        <w:gridCol w:w="3583"/>
        <w:gridCol w:w="69"/>
        <w:gridCol w:w="637"/>
        <w:gridCol w:w="306"/>
        <w:gridCol w:w="639"/>
        <w:gridCol w:w="253"/>
        <w:gridCol w:w="692"/>
        <w:gridCol w:w="200"/>
        <w:gridCol w:w="748"/>
        <w:gridCol w:w="144"/>
        <w:gridCol w:w="800"/>
        <w:gridCol w:w="93"/>
        <w:gridCol w:w="957"/>
      </w:tblGrid>
      <w:tr w:rsidR="00975B17" w:rsidRPr="00FD7FBD" w:rsidTr="00975B17">
        <w:trPr>
          <w:trHeight w:val="227"/>
          <w:jc w:val="center"/>
        </w:trPr>
        <w:tc>
          <w:tcPr>
            <w:tcW w:w="35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ind w:firstLineChars="200" w:firstLine="442"/>
              <w:rPr>
                <w:rFonts w:ascii="Arial" w:hAnsi="Arial" w:cs="Arial"/>
                <w:b/>
                <w:bCs/>
                <w:lang w:eastAsia="ro-RO"/>
              </w:rPr>
            </w:pPr>
            <w:r w:rsidRPr="00FD7FBD">
              <w:rPr>
                <w:rFonts w:ascii="Arial" w:hAnsi="Arial" w:cs="Arial"/>
                <w:b/>
                <w:bCs/>
                <w:lang w:eastAsia="ro-RO"/>
              </w:rPr>
              <w:t>Indicatori </w:t>
            </w:r>
          </w:p>
        </w:tc>
        <w:tc>
          <w:tcPr>
            <w:tcW w:w="706" w:type="dxa"/>
            <w:gridSpan w:val="2"/>
            <w:tcBorders>
              <w:top w:val="single" w:sz="4" w:space="0" w:color="auto"/>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b/>
                <w:bCs/>
                <w:lang w:eastAsia="ro-RO"/>
              </w:rPr>
            </w:pPr>
            <w:r w:rsidRPr="00FD7FBD">
              <w:rPr>
                <w:rFonts w:ascii="Arial" w:hAnsi="Arial" w:cs="Arial"/>
                <w:b/>
                <w:bCs/>
                <w:lang w:eastAsia="ro-RO"/>
              </w:rPr>
              <w:t>2014</w:t>
            </w:r>
          </w:p>
        </w:tc>
        <w:tc>
          <w:tcPr>
            <w:tcW w:w="945" w:type="dxa"/>
            <w:gridSpan w:val="2"/>
            <w:tcBorders>
              <w:top w:val="single" w:sz="4" w:space="0" w:color="auto"/>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b/>
                <w:bCs/>
                <w:lang w:eastAsia="ro-RO"/>
              </w:rPr>
            </w:pPr>
            <w:r w:rsidRPr="00FD7FBD">
              <w:rPr>
                <w:rFonts w:ascii="Arial" w:hAnsi="Arial" w:cs="Arial"/>
                <w:b/>
                <w:bCs/>
                <w:lang w:eastAsia="ro-RO"/>
              </w:rPr>
              <w:t>2015</w:t>
            </w:r>
          </w:p>
        </w:tc>
        <w:tc>
          <w:tcPr>
            <w:tcW w:w="945" w:type="dxa"/>
            <w:gridSpan w:val="2"/>
            <w:tcBorders>
              <w:top w:val="single" w:sz="4" w:space="0" w:color="auto"/>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b/>
                <w:bCs/>
                <w:lang w:eastAsia="ro-RO"/>
              </w:rPr>
            </w:pPr>
            <w:r w:rsidRPr="00FD7FBD">
              <w:rPr>
                <w:rFonts w:ascii="Arial" w:hAnsi="Arial" w:cs="Arial"/>
                <w:b/>
                <w:bCs/>
                <w:lang w:eastAsia="ro-RO"/>
              </w:rPr>
              <w:t>2016</w:t>
            </w:r>
          </w:p>
        </w:tc>
        <w:tc>
          <w:tcPr>
            <w:tcW w:w="948" w:type="dxa"/>
            <w:gridSpan w:val="2"/>
            <w:tcBorders>
              <w:top w:val="single" w:sz="4" w:space="0" w:color="auto"/>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b/>
                <w:bCs/>
                <w:lang w:eastAsia="ro-RO"/>
              </w:rPr>
            </w:pPr>
            <w:r w:rsidRPr="00FD7FBD">
              <w:rPr>
                <w:rFonts w:ascii="Arial" w:hAnsi="Arial" w:cs="Arial"/>
                <w:b/>
                <w:bCs/>
                <w:lang w:eastAsia="ro-RO"/>
              </w:rPr>
              <w:t>2017</w:t>
            </w:r>
          </w:p>
        </w:tc>
        <w:tc>
          <w:tcPr>
            <w:tcW w:w="944" w:type="dxa"/>
            <w:gridSpan w:val="2"/>
            <w:tcBorders>
              <w:top w:val="single" w:sz="4" w:space="0" w:color="auto"/>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b/>
                <w:bCs/>
                <w:lang w:eastAsia="ro-RO"/>
              </w:rPr>
            </w:pPr>
            <w:r w:rsidRPr="00FD7FBD">
              <w:rPr>
                <w:rFonts w:ascii="Arial" w:hAnsi="Arial" w:cs="Arial"/>
                <w:b/>
                <w:bCs/>
                <w:lang w:eastAsia="ro-RO"/>
              </w:rPr>
              <w:t>2018</w:t>
            </w:r>
          </w:p>
        </w:tc>
        <w:tc>
          <w:tcPr>
            <w:tcW w:w="1050" w:type="dxa"/>
            <w:gridSpan w:val="2"/>
            <w:tcBorders>
              <w:top w:val="single" w:sz="4" w:space="0" w:color="auto"/>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b/>
                <w:bCs/>
                <w:lang w:eastAsia="ro-RO"/>
              </w:rPr>
            </w:pPr>
            <w:r w:rsidRPr="00FD7FBD">
              <w:rPr>
                <w:rFonts w:ascii="Arial" w:hAnsi="Arial" w:cs="Arial"/>
                <w:b/>
                <w:bCs/>
                <w:lang w:eastAsia="ro-RO"/>
              </w:rPr>
              <w:t>2019</w:t>
            </w:r>
          </w:p>
        </w:tc>
      </w:tr>
      <w:tr w:rsidR="00975B17" w:rsidRPr="00FD7FBD" w:rsidTr="002A61B3">
        <w:trPr>
          <w:trHeight w:val="259"/>
          <w:jc w:val="center"/>
        </w:trPr>
        <w:tc>
          <w:tcPr>
            <w:tcW w:w="9121" w:type="dxa"/>
            <w:gridSpan w:val="13"/>
            <w:tcBorders>
              <w:top w:val="single" w:sz="4" w:space="0" w:color="auto"/>
              <w:left w:val="single" w:sz="4" w:space="0" w:color="auto"/>
              <w:bottom w:val="single" w:sz="4" w:space="0" w:color="auto"/>
              <w:right w:val="single" w:sz="4" w:space="0" w:color="auto"/>
            </w:tcBorders>
            <w:shd w:val="clear" w:color="auto" w:fill="66CCFF"/>
            <w:vAlign w:val="bottom"/>
            <w:hideMark/>
          </w:tcPr>
          <w:p w:rsidR="00975B17" w:rsidRPr="00FD7FBD" w:rsidRDefault="00975B17" w:rsidP="000C6A67">
            <w:pPr>
              <w:spacing w:after="0" w:line="240" w:lineRule="auto"/>
              <w:rPr>
                <w:rFonts w:ascii="Arial" w:hAnsi="Arial" w:cs="Arial"/>
                <w:b/>
                <w:bCs/>
                <w:lang w:eastAsia="ro-RO"/>
              </w:rPr>
            </w:pPr>
            <w:r w:rsidRPr="00FD7FBD">
              <w:rPr>
                <w:rFonts w:ascii="Arial" w:hAnsi="Arial" w:cs="Arial"/>
                <w:b/>
                <w:bCs/>
                <w:lang w:eastAsia="ro-RO"/>
              </w:rPr>
              <w:t>PRODUS INTERN BRUT</w:t>
            </w:r>
          </w:p>
        </w:tc>
      </w:tr>
      <w:tr w:rsidR="00975B17" w:rsidRPr="00FD7FBD" w:rsidTr="00975B17">
        <w:trPr>
          <w:trHeight w:val="259"/>
          <w:jc w:val="center"/>
        </w:trPr>
        <w:tc>
          <w:tcPr>
            <w:tcW w:w="3652" w:type="dxa"/>
            <w:gridSpan w:val="2"/>
            <w:tcBorders>
              <w:top w:val="nil"/>
              <w:left w:val="single" w:sz="4" w:space="0" w:color="auto"/>
              <w:bottom w:val="nil"/>
              <w:right w:val="single" w:sz="4" w:space="0" w:color="auto"/>
            </w:tcBorders>
            <w:shd w:val="clear" w:color="auto" w:fill="auto"/>
            <w:vAlign w:val="bottom"/>
            <w:hideMark/>
          </w:tcPr>
          <w:p w:rsidR="00975B17" w:rsidRPr="00FD7FBD" w:rsidRDefault="00975B17" w:rsidP="000C6A67">
            <w:pPr>
              <w:spacing w:after="0" w:line="240" w:lineRule="auto"/>
              <w:rPr>
                <w:rFonts w:ascii="Arial" w:hAnsi="Arial" w:cs="Arial"/>
                <w:lang w:eastAsia="ro-RO"/>
              </w:rPr>
            </w:pPr>
            <w:r w:rsidRPr="00FD7FBD">
              <w:rPr>
                <w:rFonts w:ascii="Arial" w:hAnsi="Arial" w:cs="Arial"/>
                <w:lang w:eastAsia="ro-RO"/>
              </w:rPr>
              <w:t>VEST</w:t>
            </w:r>
          </w:p>
        </w:tc>
        <w:tc>
          <w:tcPr>
            <w:tcW w:w="943" w:type="dxa"/>
            <w:gridSpan w:val="2"/>
            <w:tcBorders>
              <w:top w:val="nil"/>
              <w:left w:val="nil"/>
              <w:bottom w:val="nil"/>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3,3</w:t>
            </w:r>
          </w:p>
        </w:tc>
        <w:tc>
          <w:tcPr>
            <w:tcW w:w="892" w:type="dxa"/>
            <w:gridSpan w:val="2"/>
            <w:tcBorders>
              <w:top w:val="nil"/>
              <w:left w:val="nil"/>
              <w:bottom w:val="nil"/>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4,0</w:t>
            </w:r>
          </w:p>
        </w:tc>
        <w:tc>
          <w:tcPr>
            <w:tcW w:w="892" w:type="dxa"/>
            <w:gridSpan w:val="2"/>
            <w:tcBorders>
              <w:top w:val="nil"/>
              <w:left w:val="nil"/>
              <w:bottom w:val="nil"/>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4,2</w:t>
            </w:r>
          </w:p>
        </w:tc>
        <w:tc>
          <w:tcPr>
            <w:tcW w:w="892" w:type="dxa"/>
            <w:gridSpan w:val="2"/>
            <w:tcBorders>
              <w:top w:val="nil"/>
              <w:left w:val="nil"/>
              <w:bottom w:val="nil"/>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4,2</w:t>
            </w:r>
          </w:p>
        </w:tc>
        <w:tc>
          <w:tcPr>
            <w:tcW w:w="800" w:type="dxa"/>
            <w:tcBorders>
              <w:top w:val="nil"/>
              <w:left w:val="nil"/>
              <w:bottom w:val="nil"/>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4,5</w:t>
            </w:r>
          </w:p>
        </w:tc>
        <w:tc>
          <w:tcPr>
            <w:tcW w:w="1050" w:type="dxa"/>
            <w:gridSpan w:val="2"/>
            <w:tcBorders>
              <w:top w:val="nil"/>
              <w:left w:val="nil"/>
              <w:bottom w:val="nil"/>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4,6</w:t>
            </w:r>
          </w:p>
        </w:tc>
      </w:tr>
      <w:tr w:rsidR="00975B17" w:rsidRPr="00FD7FBD" w:rsidTr="00975B17">
        <w:trPr>
          <w:trHeight w:val="268"/>
          <w:jc w:val="center"/>
        </w:trPr>
        <w:tc>
          <w:tcPr>
            <w:tcW w:w="365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ind w:firstLineChars="200" w:firstLine="442"/>
              <w:rPr>
                <w:rFonts w:ascii="Arial" w:hAnsi="Arial" w:cs="Arial"/>
                <w:b/>
                <w:bCs/>
                <w:lang w:eastAsia="ro-RO"/>
              </w:rPr>
            </w:pPr>
            <w:r w:rsidRPr="00FD7FBD">
              <w:rPr>
                <w:rFonts w:ascii="Arial" w:hAnsi="Arial" w:cs="Arial"/>
                <w:b/>
                <w:bCs/>
                <w:lang w:eastAsia="ro-RO"/>
              </w:rPr>
              <w:t>Indicatori </w:t>
            </w:r>
          </w:p>
        </w:tc>
        <w:tc>
          <w:tcPr>
            <w:tcW w:w="943" w:type="dxa"/>
            <w:gridSpan w:val="2"/>
            <w:tcBorders>
              <w:top w:val="single" w:sz="4" w:space="0" w:color="auto"/>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b/>
                <w:bCs/>
                <w:lang w:eastAsia="ro-RO"/>
              </w:rPr>
            </w:pPr>
            <w:r w:rsidRPr="00FD7FBD">
              <w:rPr>
                <w:rFonts w:ascii="Arial" w:hAnsi="Arial" w:cs="Arial"/>
                <w:b/>
                <w:bCs/>
                <w:lang w:eastAsia="ro-RO"/>
              </w:rPr>
              <w:t>2014</w:t>
            </w:r>
          </w:p>
        </w:tc>
        <w:tc>
          <w:tcPr>
            <w:tcW w:w="892" w:type="dxa"/>
            <w:gridSpan w:val="2"/>
            <w:tcBorders>
              <w:top w:val="single" w:sz="4" w:space="0" w:color="auto"/>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b/>
                <w:bCs/>
                <w:lang w:eastAsia="ro-RO"/>
              </w:rPr>
            </w:pPr>
            <w:r w:rsidRPr="00FD7FBD">
              <w:rPr>
                <w:rFonts w:ascii="Arial" w:hAnsi="Arial" w:cs="Arial"/>
                <w:b/>
                <w:bCs/>
                <w:lang w:eastAsia="ro-RO"/>
              </w:rPr>
              <w:t>2015</w:t>
            </w:r>
          </w:p>
        </w:tc>
        <w:tc>
          <w:tcPr>
            <w:tcW w:w="892" w:type="dxa"/>
            <w:gridSpan w:val="2"/>
            <w:tcBorders>
              <w:top w:val="single" w:sz="4" w:space="0" w:color="auto"/>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b/>
                <w:bCs/>
                <w:lang w:eastAsia="ro-RO"/>
              </w:rPr>
            </w:pPr>
            <w:r w:rsidRPr="00FD7FBD">
              <w:rPr>
                <w:rFonts w:ascii="Arial" w:hAnsi="Arial" w:cs="Arial"/>
                <w:b/>
                <w:bCs/>
                <w:lang w:eastAsia="ro-RO"/>
              </w:rPr>
              <w:t>2016</w:t>
            </w:r>
          </w:p>
        </w:tc>
        <w:tc>
          <w:tcPr>
            <w:tcW w:w="892" w:type="dxa"/>
            <w:gridSpan w:val="2"/>
            <w:tcBorders>
              <w:top w:val="single" w:sz="4" w:space="0" w:color="auto"/>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b/>
                <w:bCs/>
                <w:lang w:eastAsia="ro-RO"/>
              </w:rPr>
            </w:pPr>
            <w:r w:rsidRPr="00FD7FBD">
              <w:rPr>
                <w:rFonts w:ascii="Arial" w:hAnsi="Arial" w:cs="Arial"/>
                <w:b/>
                <w:bCs/>
                <w:lang w:eastAsia="ro-RO"/>
              </w:rPr>
              <w:t>2017</w:t>
            </w:r>
          </w:p>
        </w:tc>
        <w:tc>
          <w:tcPr>
            <w:tcW w:w="800" w:type="dxa"/>
            <w:tcBorders>
              <w:top w:val="single" w:sz="4" w:space="0" w:color="auto"/>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b/>
                <w:bCs/>
                <w:lang w:eastAsia="ro-RO"/>
              </w:rPr>
            </w:pPr>
            <w:r w:rsidRPr="00FD7FBD">
              <w:rPr>
                <w:rFonts w:ascii="Arial" w:hAnsi="Arial" w:cs="Arial"/>
                <w:b/>
                <w:bCs/>
                <w:lang w:eastAsia="ro-RO"/>
              </w:rPr>
              <w:t>2018</w:t>
            </w:r>
          </w:p>
        </w:tc>
        <w:tc>
          <w:tcPr>
            <w:tcW w:w="1050" w:type="dxa"/>
            <w:gridSpan w:val="2"/>
            <w:tcBorders>
              <w:top w:val="single" w:sz="4" w:space="0" w:color="auto"/>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b/>
                <w:bCs/>
                <w:lang w:eastAsia="ro-RO"/>
              </w:rPr>
            </w:pPr>
            <w:r w:rsidRPr="00FD7FBD">
              <w:rPr>
                <w:rFonts w:ascii="Arial" w:hAnsi="Arial" w:cs="Arial"/>
                <w:b/>
                <w:bCs/>
                <w:lang w:eastAsia="ro-RO"/>
              </w:rPr>
              <w:t>2019</w:t>
            </w:r>
          </w:p>
        </w:tc>
      </w:tr>
      <w:tr w:rsidR="00975B17" w:rsidRPr="00FD7FBD" w:rsidTr="002A61B3">
        <w:trPr>
          <w:trHeight w:val="235"/>
          <w:jc w:val="center"/>
        </w:trPr>
        <w:tc>
          <w:tcPr>
            <w:tcW w:w="9121" w:type="dxa"/>
            <w:gridSpan w:val="13"/>
            <w:tcBorders>
              <w:top w:val="nil"/>
              <w:left w:val="single" w:sz="4" w:space="0" w:color="auto"/>
              <w:bottom w:val="single" w:sz="4" w:space="0" w:color="auto"/>
              <w:right w:val="single" w:sz="4" w:space="0" w:color="auto"/>
            </w:tcBorders>
            <w:shd w:val="clear" w:color="auto" w:fill="66CCFF"/>
            <w:vAlign w:val="bottom"/>
            <w:hideMark/>
          </w:tcPr>
          <w:p w:rsidR="00975B17" w:rsidRPr="00FD7FBD" w:rsidRDefault="00975B17" w:rsidP="000C6A67">
            <w:pPr>
              <w:spacing w:after="0" w:line="240" w:lineRule="auto"/>
              <w:rPr>
                <w:rFonts w:ascii="Arial" w:hAnsi="Arial" w:cs="Arial"/>
                <w:b/>
                <w:bCs/>
                <w:lang w:eastAsia="ro-RO"/>
              </w:rPr>
            </w:pPr>
            <w:r w:rsidRPr="00FD7FBD">
              <w:rPr>
                <w:rFonts w:ascii="Arial" w:hAnsi="Arial" w:cs="Arial"/>
                <w:b/>
                <w:bCs/>
                <w:lang w:eastAsia="ro-RO"/>
              </w:rPr>
              <w:t>Agricultură, silvicultură, piscicultură</w:t>
            </w:r>
          </w:p>
        </w:tc>
      </w:tr>
      <w:tr w:rsidR="00975B17" w:rsidRPr="00FD7FBD" w:rsidTr="00975B17">
        <w:trPr>
          <w:trHeight w:val="235"/>
          <w:jc w:val="center"/>
        </w:trPr>
        <w:tc>
          <w:tcPr>
            <w:tcW w:w="3652" w:type="dxa"/>
            <w:gridSpan w:val="2"/>
            <w:tcBorders>
              <w:top w:val="nil"/>
              <w:left w:val="single" w:sz="4" w:space="0" w:color="auto"/>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rPr>
                <w:rFonts w:ascii="Arial" w:hAnsi="Arial" w:cs="Arial"/>
                <w:lang w:eastAsia="ro-RO"/>
              </w:rPr>
            </w:pPr>
            <w:r w:rsidRPr="00FD7FBD">
              <w:rPr>
                <w:rFonts w:ascii="Arial" w:hAnsi="Arial" w:cs="Arial"/>
                <w:lang w:eastAsia="ro-RO"/>
              </w:rPr>
              <w:t>VEST</w:t>
            </w:r>
          </w:p>
        </w:tc>
        <w:tc>
          <w:tcPr>
            <w:tcW w:w="943" w:type="dxa"/>
            <w:gridSpan w:val="2"/>
            <w:tcBorders>
              <w:top w:val="nil"/>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0,8</w:t>
            </w:r>
          </w:p>
        </w:tc>
        <w:tc>
          <w:tcPr>
            <w:tcW w:w="892" w:type="dxa"/>
            <w:gridSpan w:val="2"/>
            <w:tcBorders>
              <w:top w:val="nil"/>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-9,5</w:t>
            </w:r>
          </w:p>
        </w:tc>
        <w:tc>
          <w:tcPr>
            <w:tcW w:w="892" w:type="dxa"/>
            <w:gridSpan w:val="2"/>
            <w:tcBorders>
              <w:top w:val="nil"/>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9,0</w:t>
            </w:r>
          </w:p>
        </w:tc>
        <w:tc>
          <w:tcPr>
            <w:tcW w:w="892" w:type="dxa"/>
            <w:gridSpan w:val="2"/>
            <w:tcBorders>
              <w:top w:val="nil"/>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1,9</w:t>
            </w:r>
          </w:p>
        </w:tc>
        <w:tc>
          <w:tcPr>
            <w:tcW w:w="893" w:type="dxa"/>
            <w:gridSpan w:val="2"/>
            <w:tcBorders>
              <w:top w:val="nil"/>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1,8</w:t>
            </w:r>
          </w:p>
        </w:tc>
        <w:tc>
          <w:tcPr>
            <w:tcW w:w="957" w:type="dxa"/>
            <w:tcBorders>
              <w:top w:val="nil"/>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1,8</w:t>
            </w:r>
          </w:p>
        </w:tc>
      </w:tr>
      <w:tr w:rsidR="00975B17" w:rsidRPr="00FD7FBD" w:rsidTr="002A61B3">
        <w:trPr>
          <w:trHeight w:val="235"/>
          <w:jc w:val="center"/>
        </w:trPr>
        <w:tc>
          <w:tcPr>
            <w:tcW w:w="9121" w:type="dxa"/>
            <w:gridSpan w:val="13"/>
            <w:tcBorders>
              <w:top w:val="single" w:sz="4" w:space="0" w:color="auto"/>
              <w:left w:val="single" w:sz="4" w:space="0" w:color="auto"/>
              <w:bottom w:val="single" w:sz="4" w:space="0" w:color="auto"/>
              <w:right w:val="single" w:sz="4" w:space="0" w:color="auto"/>
            </w:tcBorders>
            <w:shd w:val="clear" w:color="auto" w:fill="66CCFF"/>
            <w:vAlign w:val="bottom"/>
            <w:hideMark/>
          </w:tcPr>
          <w:p w:rsidR="00975B17" w:rsidRPr="00FD7FBD" w:rsidRDefault="00975B17" w:rsidP="000C6A67">
            <w:pPr>
              <w:spacing w:after="0" w:line="240" w:lineRule="auto"/>
              <w:rPr>
                <w:rFonts w:ascii="Arial" w:hAnsi="Arial" w:cs="Arial"/>
                <w:b/>
                <w:bCs/>
                <w:lang w:eastAsia="ro-RO"/>
              </w:rPr>
            </w:pPr>
            <w:r w:rsidRPr="00FD7FBD">
              <w:rPr>
                <w:rFonts w:ascii="Arial" w:hAnsi="Arial" w:cs="Arial"/>
                <w:b/>
                <w:bCs/>
                <w:lang w:eastAsia="ro-RO"/>
              </w:rPr>
              <w:t>Construcţii</w:t>
            </w:r>
          </w:p>
        </w:tc>
      </w:tr>
      <w:tr w:rsidR="00975B17" w:rsidRPr="00FD7FBD" w:rsidTr="00975B17">
        <w:trPr>
          <w:trHeight w:val="235"/>
          <w:jc w:val="center"/>
        </w:trPr>
        <w:tc>
          <w:tcPr>
            <w:tcW w:w="3652" w:type="dxa"/>
            <w:gridSpan w:val="2"/>
            <w:tcBorders>
              <w:top w:val="nil"/>
              <w:left w:val="single" w:sz="4" w:space="0" w:color="auto"/>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rPr>
                <w:rFonts w:ascii="Arial" w:hAnsi="Arial" w:cs="Arial"/>
                <w:lang w:eastAsia="ro-RO"/>
              </w:rPr>
            </w:pPr>
            <w:r w:rsidRPr="00FD7FBD">
              <w:rPr>
                <w:rFonts w:ascii="Arial" w:hAnsi="Arial" w:cs="Arial"/>
                <w:lang w:eastAsia="ro-RO"/>
              </w:rPr>
              <w:t>VEST</w:t>
            </w:r>
          </w:p>
        </w:tc>
        <w:tc>
          <w:tcPr>
            <w:tcW w:w="943" w:type="dxa"/>
            <w:gridSpan w:val="2"/>
            <w:tcBorders>
              <w:top w:val="nil"/>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2,3</w:t>
            </w:r>
          </w:p>
        </w:tc>
        <w:tc>
          <w:tcPr>
            <w:tcW w:w="892" w:type="dxa"/>
            <w:gridSpan w:val="2"/>
            <w:tcBorders>
              <w:top w:val="nil"/>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8,8</w:t>
            </w:r>
          </w:p>
        </w:tc>
        <w:tc>
          <w:tcPr>
            <w:tcW w:w="892" w:type="dxa"/>
            <w:gridSpan w:val="2"/>
            <w:tcBorders>
              <w:top w:val="nil"/>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6,0</w:t>
            </w:r>
          </w:p>
        </w:tc>
        <w:tc>
          <w:tcPr>
            <w:tcW w:w="892" w:type="dxa"/>
            <w:gridSpan w:val="2"/>
            <w:tcBorders>
              <w:top w:val="nil"/>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5,8</w:t>
            </w:r>
          </w:p>
        </w:tc>
        <w:tc>
          <w:tcPr>
            <w:tcW w:w="893" w:type="dxa"/>
            <w:gridSpan w:val="2"/>
            <w:tcBorders>
              <w:top w:val="nil"/>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6,2</w:t>
            </w:r>
          </w:p>
        </w:tc>
        <w:tc>
          <w:tcPr>
            <w:tcW w:w="957" w:type="dxa"/>
            <w:tcBorders>
              <w:top w:val="nil"/>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6,5</w:t>
            </w:r>
          </w:p>
        </w:tc>
      </w:tr>
      <w:tr w:rsidR="00975B17" w:rsidRPr="00FD7FBD" w:rsidTr="002A61B3">
        <w:trPr>
          <w:trHeight w:val="235"/>
          <w:jc w:val="center"/>
        </w:trPr>
        <w:tc>
          <w:tcPr>
            <w:tcW w:w="9121" w:type="dxa"/>
            <w:gridSpan w:val="13"/>
            <w:tcBorders>
              <w:top w:val="single" w:sz="4" w:space="0" w:color="auto"/>
              <w:left w:val="single" w:sz="4" w:space="0" w:color="auto"/>
              <w:bottom w:val="single" w:sz="4" w:space="0" w:color="auto"/>
              <w:right w:val="single" w:sz="4" w:space="0" w:color="auto"/>
            </w:tcBorders>
            <w:shd w:val="clear" w:color="auto" w:fill="66CCFF"/>
            <w:vAlign w:val="bottom"/>
            <w:hideMark/>
          </w:tcPr>
          <w:p w:rsidR="00975B17" w:rsidRPr="00FD7FBD" w:rsidRDefault="00975B17" w:rsidP="000C6A67">
            <w:pPr>
              <w:spacing w:after="0" w:line="240" w:lineRule="auto"/>
              <w:rPr>
                <w:rFonts w:ascii="Arial" w:hAnsi="Arial" w:cs="Arial"/>
                <w:b/>
                <w:bCs/>
                <w:lang w:eastAsia="ro-RO"/>
              </w:rPr>
            </w:pPr>
            <w:r w:rsidRPr="00FD7FBD">
              <w:rPr>
                <w:rFonts w:ascii="Arial" w:hAnsi="Arial" w:cs="Arial"/>
                <w:b/>
                <w:bCs/>
                <w:lang w:eastAsia="ro-RO"/>
              </w:rPr>
              <w:t>Servicii</w:t>
            </w:r>
          </w:p>
        </w:tc>
      </w:tr>
      <w:tr w:rsidR="00975B17" w:rsidRPr="00FD7FBD" w:rsidTr="00975B17">
        <w:trPr>
          <w:trHeight w:val="235"/>
          <w:jc w:val="center"/>
        </w:trPr>
        <w:tc>
          <w:tcPr>
            <w:tcW w:w="3652" w:type="dxa"/>
            <w:gridSpan w:val="2"/>
            <w:tcBorders>
              <w:top w:val="nil"/>
              <w:left w:val="single" w:sz="4" w:space="0" w:color="auto"/>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rPr>
                <w:rFonts w:ascii="Arial" w:hAnsi="Arial" w:cs="Arial"/>
                <w:lang w:eastAsia="ro-RO"/>
              </w:rPr>
            </w:pPr>
            <w:r w:rsidRPr="00FD7FBD">
              <w:rPr>
                <w:rFonts w:ascii="Arial" w:hAnsi="Arial" w:cs="Arial"/>
                <w:lang w:eastAsia="ro-RO"/>
              </w:rPr>
              <w:t>VEST</w:t>
            </w:r>
          </w:p>
        </w:tc>
        <w:tc>
          <w:tcPr>
            <w:tcW w:w="943" w:type="dxa"/>
            <w:gridSpan w:val="2"/>
            <w:tcBorders>
              <w:top w:val="nil"/>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2,5</w:t>
            </w:r>
          </w:p>
        </w:tc>
        <w:tc>
          <w:tcPr>
            <w:tcW w:w="892" w:type="dxa"/>
            <w:gridSpan w:val="2"/>
            <w:tcBorders>
              <w:top w:val="nil"/>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4,8</w:t>
            </w:r>
          </w:p>
        </w:tc>
        <w:tc>
          <w:tcPr>
            <w:tcW w:w="892" w:type="dxa"/>
            <w:gridSpan w:val="2"/>
            <w:tcBorders>
              <w:top w:val="nil"/>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3,3</w:t>
            </w:r>
          </w:p>
        </w:tc>
        <w:tc>
          <w:tcPr>
            <w:tcW w:w="892" w:type="dxa"/>
            <w:gridSpan w:val="2"/>
            <w:tcBorders>
              <w:top w:val="nil"/>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3,8</w:t>
            </w:r>
          </w:p>
        </w:tc>
        <w:tc>
          <w:tcPr>
            <w:tcW w:w="893" w:type="dxa"/>
            <w:gridSpan w:val="2"/>
            <w:tcBorders>
              <w:top w:val="nil"/>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4,1</w:t>
            </w:r>
          </w:p>
        </w:tc>
        <w:tc>
          <w:tcPr>
            <w:tcW w:w="957" w:type="dxa"/>
            <w:tcBorders>
              <w:top w:val="nil"/>
              <w:left w:val="nil"/>
              <w:bottom w:val="single" w:sz="4" w:space="0" w:color="auto"/>
              <w:right w:val="single" w:sz="4" w:space="0" w:color="auto"/>
            </w:tcBorders>
            <w:shd w:val="clear" w:color="auto" w:fill="auto"/>
            <w:vAlign w:val="bottom"/>
            <w:hideMark/>
          </w:tcPr>
          <w:p w:rsidR="00975B17" w:rsidRPr="00FD7FBD" w:rsidRDefault="00975B17" w:rsidP="000C6A67">
            <w:pPr>
              <w:spacing w:after="0" w:line="240" w:lineRule="auto"/>
              <w:jc w:val="center"/>
              <w:rPr>
                <w:rFonts w:ascii="Arial" w:hAnsi="Arial" w:cs="Arial"/>
                <w:lang w:eastAsia="ro-RO"/>
              </w:rPr>
            </w:pPr>
            <w:r w:rsidRPr="00FD7FBD">
              <w:rPr>
                <w:rFonts w:ascii="Arial" w:hAnsi="Arial" w:cs="Arial"/>
                <w:lang w:eastAsia="ro-RO"/>
              </w:rPr>
              <w:t>4,5</w:t>
            </w:r>
          </w:p>
        </w:tc>
      </w:tr>
    </w:tbl>
    <w:p w:rsidR="00975B17" w:rsidRPr="00FD7FBD" w:rsidRDefault="00FD7FBD" w:rsidP="000C6A67">
      <w:pPr>
        <w:spacing w:after="0" w:line="240" w:lineRule="auto"/>
        <w:ind w:firstLine="720"/>
        <w:rPr>
          <w:rFonts w:ascii="Arial" w:hAnsi="Arial" w:cs="Arial"/>
          <w:i/>
        </w:rPr>
      </w:pPr>
      <w:r>
        <w:rPr>
          <w:rFonts w:ascii="Arial" w:hAnsi="Arial" w:cs="Arial"/>
          <w:i/>
        </w:rPr>
        <w:t>Sursa:</w:t>
      </w:r>
      <w:r w:rsidR="00975B17" w:rsidRPr="00FD7FBD">
        <w:rPr>
          <w:rFonts w:ascii="Arial" w:hAnsi="Arial" w:cs="Arial"/>
          <w:i/>
        </w:rPr>
        <w:t>* Prognoza în profil teritorial s-a realizat pe baza prognozei  pe termen mediu 2015 – 2019, varianta de primăvară 2016, pentru Programul de Convergenţă.</w:t>
      </w:r>
    </w:p>
    <w:p w:rsidR="004D3518" w:rsidRDefault="004D3518" w:rsidP="000C6A67">
      <w:pPr>
        <w:spacing w:after="0" w:line="240" w:lineRule="auto"/>
        <w:rPr>
          <w:rFonts w:ascii="Arial" w:hAnsi="Arial" w:cs="Arial"/>
          <w:b/>
          <w:sz w:val="24"/>
          <w:szCs w:val="24"/>
        </w:rPr>
      </w:pPr>
    </w:p>
    <w:p w:rsidR="00975B17" w:rsidRDefault="00975B17" w:rsidP="000C6A67">
      <w:pPr>
        <w:spacing w:after="0" w:line="240" w:lineRule="auto"/>
        <w:rPr>
          <w:rFonts w:ascii="Arial" w:hAnsi="Arial" w:cs="Arial"/>
          <w:sz w:val="24"/>
          <w:szCs w:val="24"/>
        </w:rPr>
      </w:pPr>
      <w:r w:rsidRPr="00975B17">
        <w:rPr>
          <w:rFonts w:ascii="Arial" w:hAnsi="Arial" w:cs="Arial"/>
          <w:b/>
          <w:sz w:val="24"/>
          <w:szCs w:val="24"/>
        </w:rPr>
        <w:t>Pentru valoarea produsului intern brut</w:t>
      </w:r>
      <w:r w:rsidRPr="003C6788">
        <w:rPr>
          <w:rFonts w:ascii="Arial" w:hAnsi="Arial" w:cs="Arial"/>
          <w:sz w:val="24"/>
          <w:szCs w:val="24"/>
        </w:rPr>
        <w:t xml:space="preserve"> la nivelul Regiunii Vest este estimată o creștere procentuală față de anul anterior cu până la 4,6% pentru anul 2019, cu cea mai importantă cont</w:t>
      </w:r>
      <w:r w:rsidR="00FD7FBD">
        <w:rPr>
          <w:rFonts w:ascii="Arial" w:hAnsi="Arial" w:cs="Arial"/>
          <w:sz w:val="24"/>
          <w:szCs w:val="24"/>
        </w:rPr>
        <w:t>ribuție alocată construcțiilor, iar l</w:t>
      </w:r>
      <w:r w:rsidRPr="003C6788">
        <w:rPr>
          <w:rFonts w:ascii="Arial" w:hAnsi="Arial" w:cs="Arial"/>
          <w:sz w:val="24"/>
          <w:szCs w:val="24"/>
        </w:rPr>
        <w:t xml:space="preserve">a nivelul județelor estimarea este cea din tabelul de mai jos: </w:t>
      </w:r>
    </w:p>
    <w:p w:rsidR="004D3518" w:rsidRDefault="004D3518" w:rsidP="000C6A67">
      <w:pPr>
        <w:spacing w:after="0" w:line="240" w:lineRule="auto"/>
        <w:rPr>
          <w:rFonts w:ascii="Arial" w:hAnsi="Arial" w:cs="Arial"/>
          <w:sz w:val="24"/>
          <w:szCs w:val="24"/>
        </w:rPr>
      </w:pPr>
    </w:p>
    <w:p w:rsidR="00FD7FBD" w:rsidRPr="004D3518" w:rsidRDefault="00FD7FBD" w:rsidP="000C6A67">
      <w:pPr>
        <w:spacing w:after="0" w:line="240" w:lineRule="auto"/>
        <w:jc w:val="center"/>
        <w:rPr>
          <w:rFonts w:ascii="Arial" w:hAnsi="Arial" w:cs="Arial"/>
        </w:rPr>
      </w:pPr>
      <w:r w:rsidRPr="004D3518">
        <w:rPr>
          <w:rFonts w:ascii="Arial" w:hAnsi="Arial" w:cs="Arial"/>
        </w:rPr>
        <w:t>Tabel nr.</w:t>
      </w:r>
      <w:r w:rsidR="006F004E">
        <w:rPr>
          <w:rFonts w:ascii="Arial" w:hAnsi="Arial" w:cs="Arial"/>
        </w:rPr>
        <w:t>4</w:t>
      </w:r>
      <w:r w:rsidRPr="004D3518">
        <w:rPr>
          <w:rFonts w:ascii="Arial" w:hAnsi="Arial" w:cs="Arial"/>
        </w:rPr>
        <w:t>. Estimarea evoluției PIB în județele Regiunii Vest</w:t>
      </w:r>
    </w:p>
    <w:tbl>
      <w:tblPr>
        <w:tblW w:w="8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7"/>
        <w:gridCol w:w="1098"/>
        <w:gridCol w:w="1080"/>
        <w:gridCol w:w="1170"/>
        <w:gridCol w:w="1350"/>
        <w:gridCol w:w="1350"/>
        <w:gridCol w:w="1350"/>
      </w:tblGrid>
      <w:tr w:rsidR="00975B17" w:rsidRPr="003C6788" w:rsidTr="006867E4">
        <w:trPr>
          <w:trHeight w:val="322"/>
          <w:jc w:val="center"/>
        </w:trPr>
        <w:tc>
          <w:tcPr>
            <w:tcW w:w="1507" w:type="dxa"/>
            <w:shd w:val="clear" w:color="auto" w:fill="auto"/>
            <w:noWrap/>
            <w:vAlign w:val="bottom"/>
            <w:hideMark/>
          </w:tcPr>
          <w:p w:rsidR="00975B17" w:rsidRPr="00572210" w:rsidRDefault="00975B17" w:rsidP="000C6A67">
            <w:pPr>
              <w:spacing w:after="0" w:line="240" w:lineRule="auto"/>
              <w:ind w:firstLineChars="200" w:firstLine="442"/>
              <w:rPr>
                <w:rFonts w:ascii="Arial" w:hAnsi="Arial" w:cs="Arial"/>
                <w:b/>
                <w:bCs/>
                <w:lang w:eastAsia="ro-RO"/>
              </w:rPr>
            </w:pPr>
            <w:r w:rsidRPr="00572210">
              <w:rPr>
                <w:rFonts w:ascii="Arial" w:hAnsi="Arial" w:cs="Arial"/>
                <w:b/>
                <w:bCs/>
                <w:lang w:eastAsia="ro-RO"/>
              </w:rPr>
              <w:t> </w:t>
            </w:r>
          </w:p>
        </w:tc>
        <w:tc>
          <w:tcPr>
            <w:tcW w:w="1098" w:type="dxa"/>
            <w:shd w:val="clear" w:color="auto" w:fill="auto"/>
            <w:noWrap/>
            <w:vAlign w:val="bottom"/>
            <w:hideMark/>
          </w:tcPr>
          <w:p w:rsidR="00975B17" w:rsidRPr="00572210" w:rsidRDefault="00975B17" w:rsidP="000C6A67">
            <w:pPr>
              <w:spacing w:after="0" w:line="240" w:lineRule="auto"/>
              <w:ind w:firstLineChars="40" w:firstLine="88"/>
              <w:rPr>
                <w:rFonts w:ascii="Arial" w:hAnsi="Arial" w:cs="Arial"/>
                <w:b/>
                <w:bCs/>
                <w:lang w:eastAsia="ro-RO"/>
              </w:rPr>
            </w:pPr>
            <w:r w:rsidRPr="00572210">
              <w:rPr>
                <w:rFonts w:ascii="Arial" w:hAnsi="Arial" w:cs="Arial"/>
                <w:b/>
                <w:bCs/>
                <w:lang w:eastAsia="ro-RO"/>
              </w:rPr>
              <w:t>2014</w:t>
            </w:r>
          </w:p>
        </w:tc>
        <w:tc>
          <w:tcPr>
            <w:tcW w:w="1080" w:type="dxa"/>
            <w:shd w:val="clear" w:color="auto" w:fill="auto"/>
            <w:noWrap/>
            <w:vAlign w:val="bottom"/>
            <w:hideMark/>
          </w:tcPr>
          <w:p w:rsidR="00975B17" w:rsidRPr="00572210" w:rsidRDefault="00975B17" w:rsidP="000C6A67">
            <w:pPr>
              <w:spacing w:after="0" w:line="240" w:lineRule="auto"/>
              <w:ind w:leftChars="-8" w:hangingChars="8" w:hanging="18"/>
              <w:rPr>
                <w:rFonts w:ascii="Arial" w:hAnsi="Arial" w:cs="Arial"/>
                <w:b/>
                <w:bCs/>
                <w:lang w:eastAsia="ro-RO"/>
              </w:rPr>
            </w:pPr>
            <w:r w:rsidRPr="00572210">
              <w:rPr>
                <w:rFonts w:ascii="Arial" w:hAnsi="Arial" w:cs="Arial"/>
                <w:b/>
                <w:bCs/>
                <w:lang w:eastAsia="ro-RO"/>
              </w:rPr>
              <w:t>2015</w:t>
            </w:r>
          </w:p>
        </w:tc>
        <w:tc>
          <w:tcPr>
            <w:tcW w:w="1170" w:type="dxa"/>
            <w:shd w:val="clear" w:color="auto" w:fill="auto"/>
            <w:noWrap/>
            <w:vAlign w:val="bottom"/>
            <w:hideMark/>
          </w:tcPr>
          <w:p w:rsidR="00975B17" w:rsidRPr="00572210" w:rsidRDefault="00975B17" w:rsidP="000C6A67">
            <w:pPr>
              <w:spacing w:after="0" w:line="240" w:lineRule="auto"/>
              <w:rPr>
                <w:rFonts w:ascii="Arial" w:hAnsi="Arial" w:cs="Arial"/>
                <w:b/>
                <w:bCs/>
                <w:lang w:eastAsia="ro-RO"/>
              </w:rPr>
            </w:pPr>
            <w:r w:rsidRPr="00572210">
              <w:rPr>
                <w:rFonts w:ascii="Arial" w:hAnsi="Arial" w:cs="Arial"/>
                <w:b/>
                <w:bCs/>
                <w:lang w:eastAsia="ro-RO"/>
              </w:rPr>
              <w:t>2016</w:t>
            </w:r>
          </w:p>
        </w:tc>
        <w:tc>
          <w:tcPr>
            <w:tcW w:w="1350" w:type="dxa"/>
            <w:shd w:val="clear" w:color="auto" w:fill="auto"/>
            <w:noWrap/>
            <w:vAlign w:val="bottom"/>
            <w:hideMark/>
          </w:tcPr>
          <w:p w:rsidR="00975B17" w:rsidRPr="00572210" w:rsidRDefault="00975B17" w:rsidP="000C6A67">
            <w:pPr>
              <w:spacing w:after="0" w:line="240" w:lineRule="auto"/>
              <w:ind w:firstLineChars="200" w:firstLine="442"/>
              <w:rPr>
                <w:rFonts w:ascii="Arial" w:hAnsi="Arial" w:cs="Arial"/>
                <w:b/>
                <w:bCs/>
                <w:lang w:eastAsia="ro-RO"/>
              </w:rPr>
            </w:pPr>
            <w:r w:rsidRPr="00572210">
              <w:rPr>
                <w:rFonts w:ascii="Arial" w:hAnsi="Arial" w:cs="Arial"/>
                <w:b/>
                <w:bCs/>
                <w:lang w:eastAsia="ro-RO"/>
              </w:rPr>
              <w:t>2017</w:t>
            </w:r>
          </w:p>
        </w:tc>
        <w:tc>
          <w:tcPr>
            <w:tcW w:w="1350" w:type="dxa"/>
            <w:shd w:val="clear" w:color="auto" w:fill="auto"/>
            <w:noWrap/>
            <w:vAlign w:val="bottom"/>
            <w:hideMark/>
          </w:tcPr>
          <w:p w:rsidR="00975B17" w:rsidRPr="00572210" w:rsidRDefault="00975B17" w:rsidP="000C6A67">
            <w:pPr>
              <w:spacing w:after="0" w:line="240" w:lineRule="auto"/>
              <w:ind w:firstLineChars="200" w:firstLine="442"/>
              <w:rPr>
                <w:rFonts w:ascii="Arial" w:hAnsi="Arial" w:cs="Arial"/>
                <w:b/>
                <w:bCs/>
                <w:lang w:eastAsia="ro-RO"/>
              </w:rPr>
            </w:pPr>
            <w:r w:rsidRPr="00572210">
              <w:rPr>
                <w:rFonts w:ascii="Arial" w:hAnsi="Arial" w:cs="Arial"/>
                <w:b/>
                <w:bCs/>
                <w:lang w:eastAsia="ro-RO"/>
              </w:rPr>
              <w:t>2018</w:t>
            </w:r>
          </w:p>
        </w:tc>
        <w:tc>
          <w:tcPr>
            <w:tcW w:w="1350" w:type="dxa"/>
            <w:shd w:val="clear" w:color="auto" w:fill="auto"/>
            <w:vAlign w:val="bottom"/>
            <w:hideMark/>
          </w:tcPr>
          <w:p w:rsidR="00975B17" w:rsidRPr="00572210" w:rsidRDefault="00975B17" w:rsidP="000C6A67">
            <w:pPr>
              <w:spacing w:after="0" w:line="240" w:lineRule="auto"/>
              <w:ind w:firstLineChars="200" w:firstLine="442"/>
              <w:rPr>
                <w:rFonts w:ascii="Arial" w:hAnsi="Arial" w:cs="Arial"/>
                <w:b/>
                <w:bCs/>
                <w:lang w:eastAsia="ro-RO"/>
              </w:rPr>
            </w:pPr>
            <w:r w:rsidRPr="00572210">
              <w:rPr>
                <w:rFonts w:ascii="Arial" w:hAnsi="Arial" w:cs="Arial"/>
                <w:b/>
                <w:bCs/>
                <w:lang w:eastAsia="ro-RO"/>
              </w:rPr>
              <w:t>2019</w:t>
            </w:r>
          </w:p>
        </w:tc>
      </w:tr>
      <w:tr w:rsidR="00975B17" w:rsidRPr="003C6788" w:rsidTr="002A61B3">
        <w:trPr>
          <w:trHeight w:val="322"/>
          <w:jc w:val="center"/>
        </w:trPr>
        <w:tc>
          <w:tcPr>
            <w:tcW w:w="1507" w:type="dxa"/>
            <w:shd w:val="clear" w:color="auto" w:fill="66CCFF"/>
            <w:noWrap/>
            <w:vAlign w:val="bottom"/>
            <w:hideMark/>
          </w:tcPr>
          <w:p w:rsidR="00975B17" w:rsidRPr="00572210" w:rsidRDefault="00975B17" w:rsidP="000C6A67">
            <w:pPr>
              <w:spacing w:after="0" w:line="240" w:lineRule="auto"/>
              <w:ind w:firstLineChars="30" w:firstLine="66"/>
              <w:rPr>
                <w:rFonts w:ascii="Arial" w:hAnsi="Arial" w:cs="Arial"/>
                <w:b/>
                <w:bCs/>
                <w:lang w:eastAsia="ro-RO"/>
              </w:rPr>
            </w:pPr>
            <w:r w:rsidRPr="00572210">
              <w:rPr>
                <w:rFonts w:ascii="Arial" w:hAnsi="Arial" w:cs="Arial"/>
                <w:b/>
                <w:bCs/>
                <w:lang w:eastAsia="ro-RO"/>
              </w:rPr>
              <w:t>Vest</w:t>
            </w:r>
          </w:p>
        </w:tc>
        <w:tc>
          <w:tcPr>
            <w:tcW w:w="1098" w:type="dxa"/>
            <w:shd w:val="clear" w:color="auto" w:fill="66CCFF"/>
            <w:noWrap/>
            <w:vAlign w:val="bottom"/>
            <w:hideMark/>
          </w:tcPr>
          <w:p w:rsidR="00975B17" w:rsidRPr="00572210" w:rsidRDefault="00975B17" w:rsidP="000C6A67">
            <w:pPr>
              <w:spacing w:after="0" w:line="240" w:lineRule="auto"/>
              <w:ind w:firstLineChars="40" w:firstLine="72"/>
              <w:jc w:val="center"/>
              <w:rPr>
                <w:rFonts w:ascii="Arial" w:hAnsi="Arial" w:cs="Arial"/>
                <w:bCs/>
                <w:sz w:val="18"/>
                <w:szCs w:val="18"/>
                <w:lang w:eastAsia="ro-RO"/>
              </w:rPr>
            </w:pPr>
            <w:r w:rsidRPr="00572210">
              <w:rPr>
                <w:rFonts w:ascii="Arial" w:hAnsi="Arial" w:cs="Arial"/>
                <w:bCs/>
                <w:sz w:val="18"/>
                <w:szCs w:val="18"/>
                <w:lang w:eastAsia="ro-RO"/>
              </w:rPr>
              <w:t>63601,2</w:t>
            </w:r>
          </w:p>
        </w:tc>
        <w:tc>
          <w:tcPr>
            <w:tcW w:w="1080" w:type="dxa"/>
            <w:shd w:val="clear" w:color="auto" w:fill="66CCFF"/>
            <w:noWrap/>
            <w:vAlign w:val="bottom"/>
            <w:hideMark/>
          </w:tcPr>
          <w:p w:rsidR="00975B17" w:rsidRPr="00572210" w:rsidRDefault="00975B17" w:rsidP="000C6A67">
            <w:pPr>
              <w:spacing w:after="0" w:line="240" w:lineRule="auto"/>
              <w:ind w:leftChars="-8" w:left="-4" w:hangingChars="8" w:hanging="14"/>
              <w:jc w:val="center"/>
              <w:rPr>
                <w:rFonts w:ascii="Arial" w:hAnsi="Arial" w:cs="Arial"/>
                <w:bCs/>
                <w:sz w:val="18"/>
                <w:szCs w:val="18"/>
                <w:lang w:eastAsia="ro-RO"/>
              </w:rPr>
            </w:pPr>
            <w:r w:rsidRPr="00572210">
              <w:rPr>
                <w:rFonts w:ascii="Arial" w:hAnsi="Arial" w:cs="Arial"/>
                <w:bCs/>
                <w:sz w:val="18"/>
                <w:szCs w:val="18"/>
                <w:lang w:eastAsia="ro-RO"/>
              </w:rPr>
              <w:t>68083,6</w:t>
            </w:r>
          </w:p>
        </w:tc>
        <w:tc>
          <w:tcPr>
            <w:tcW w:w="1170" w:type="dxa"/>
            <w:shd w:val="clear" w:color="auto" w:fill="66CCFF"/>
            <w:noWrap/>
            <w:vAlign w:val="bottom"/>
            <w:hideMark/>
          </w:tcPr>
          <w:p w:rsidR="00975B17" w:rsidRPr="00572210" w:rsidRDefault="00975B17" w:rsidP="000C6A67">
            <w:pPr>
              <w:spacing w:after="0" w:line="240" w:lineRule="auto"/>
              <w:jc w:val="center"/>
              <w:rPr>
                <w:rFonts w:ascii="Arial" w:hAnsi="Arial" w:cs="Arial"/>
                <w:bCs/>
                <w:sz w:val="18"/>
                <w:szCs w:val="18"/>
                <w:lang w:eastAsia="ro-RO"/>
              </w:rPr>
            </w:pPr>
            <w:r w:rsidRPr="00572210">
              <w:rPr>
                <w:rFonts w:ascii="Arial" w:hAnsi="Arial" w:cs="Arial"/>
                <w:bCs/>
                <w:sz w:val="18"/>
                <w:szCs w:val="18"/>
                <w:lang w:eastAsia="ro-RO"/>
              </w:rPr>
              <w:t>72296,1</w:t>
            </w:r>
          </w:p>
        </w:tc>
        <w:tc>
          <w:tcPr>
            <w:tcW w:w="1350" w:type="dxa"/>
            <w:shd w:val="clear" w:color="auto" w:fill="66CCFF"/>
            <w:noWrap/>
            <w:vAlign w:val="bottom"/>
            <w:hideMark/>
          </w:tcPr>
          <w:p w:rsidR="00975B17" w:rsidRPr="00572210" w:rsidRDefault="00975B17" w:rsidP="000C6A67">
            <w:pPr>
              <w:spacing w:after="0" w:line="240" w:lineRule="auto"/>
              <w:jc w:val="center"/>
              <w:rPr>
                <w:rFonts w:ascii="Arial" w:hAnsi="Arial" w:cs="Arial"/>
                <w:bCs/>
                <w:sz w:val="18"/>
                <w:szCs w:val="18"/>
                <w:lang w:eastAsia="ro-RO"/>
              </w:rPr>
            </w:pPr>
            <w:r w:rsidRPr="00572210">
              <w:rPr>
                <w:rFonts w:ascii="Arial" w:hAnsi="Arial" w:cs="Arial"/>
                <w:bCs/>
                <w:sz w:val="18"/>
                <w:szCs w:val="18"/>
                <w:lang w:eastAsia="ro-RO"/>
              </w:rPr>
              <w:t>76918,1</w:t>
            </w:r>
          </w:p>
        </w:tc>
        <w:tc>
          <w:tcPr>
            <w:tcW w:w="1350" w:type="dxa"/>
            <w:shd w:val="clear" w:color="auto" w:fill="66CCFF"/>
            <w:noWrap/>
            <w:vAlign w:val="bottom"/>
            <w:hideMark/>
          </w:tcPr>
          <w:p w:rsidR="00975B17" w:rsidRPr="00572210" w:rsidRDefault="00975B17" w:rsidP="000C6A67">
            <w:pPr>
              <w:spacing w:after="0" w:line="240" w:lineRule="auto"/>
              <w:ind w:firstLineChars="200" w:firstLine="360"/>
              <w:jc w:val="center"/>
              <w:rPr>
                <w:rFonts w:ascii="Arial" w:hAnsi="Arial" w:cs="Arial"/>
                <w:bCs/>
                <w:sz w:val="18"/>
                <w:szCs w:val="18"/>
                <w:lang w:eastAsia="ro-RO"/>
              </w:rPr>
            </w:pPr>
            <w:r w:rsidRPr="00572210">
              <w:rPr>
                <w:rFonts w:ascii="Arial" w:hAnsi="Arial" w:cs="Arial"/>
                <w:bCs/>
                <w:sz w:val="18"/>
                <w:szCs w:val="18"/>
                <w:lang w:eastAsia="ro-RO"/>
              </w:rPr>
              <w:t>82073,0</w:t>
            </w:r>
          </w:p>
        </w:tc>
        <w:tc>
          <w:tcPr>
            <w:tcW w:w="1350" w:type="dxa"/>
            <w:shd w:val="clear" w:color="auto" w:fill="66CCFF"/>
            <w:vAlign w:val="bottom"/>
            <w:hideMark/>
          </w:tcPr>
          <w:p w:rsidR="00975B17" w:rsidRPr="00572210" w:rsidRDefault="00975B17" w:rsidP="000C6A67">
            <w:pPr>
              <w:spacing w:after="0" w:line="240" w:lineRule="auto"/>
              <w:ind w:firstLineChars="200" w:firstLine="360"/>
              <w:jc w:val="center"/>
              <w:rPr>
                <w:rFonts w:ascii="Arial" w:hAnsi="Arial" w:cs="Arial"/>
                <w:bCs/>
                <w:sz w:val="18"/>
                <w:szCs w:val="18"/>
                <w:lang w:eastAsia="ro-RO"/>
              </w:rPr>
            </w:pPr>
            <w:r w:rsidRPr="00572210">
              <w:rPr>
                <w:rFonts w:ascii="Arial" w:hAnsi="Arial" w:cs="Arial"/>
                <w:bCs/>
                <w:sz w:val="18"/>
                <w:szCs w:val="18"/>
                <w:lang w:eastAsia="ro-RO"/>
              </w:rPr>
              <w:t>87553,0</w:t>
            </w:r>
          </w:p>
        </w:tc>
      </w:tr>
      <w:tr w:rsidR="00975B17" w:rsidRPr="003C6788" w:rsidTr="006867E4">
        <w:trPr>
          <w:trHeight w:val="322"/>
          <w:jc w:val="center"/>
        </w:trPr>
        <w:tc>
          <w:tcPr>
            <w:tcW w:w="1507" w:type="dxa"/>
            <w:shd w:val="clear" w:color="auto" w:fill="auto"/>
            <w:noWrap/>
            <w:vAlign w:val="bottom"/>
            <w:hideMark/>
          </w:tcPr>
          <w:p w:rsidR="00975B17" w:rsidRPr="00572210" w:rsidRDefault="00975B17" w:rsidP="000C6A67">
            <w:pPr>
              <w:spacing w:after="0" w:line="240" w:lineRule="auto"/>
              <w:ind w:firstLineChars="30" w:firstLine="66"/>
              <w:rPr>
                <w:rFonts w:ascii="Arial" w:hAnsi="Arial" w:cs="Arial"/>
                <w:b/>
                <w:bCs/>
                <w:lang w:eastAsia="ro-RO"/>
              </w:rPr>
            </w:pPr>
            <w:r w:rsidRPr="00572210">
              <w:rPr>
                <w:rFonts w:ascii="Arial" w:hAnsi="Arial" w:cs="Arial"/>
                <w:b/>
                <w:bCs/>
                <w:lang w:eastAsia="ro-RO"/>
              </w:rPr>
              <w:t>Arad</w:t>
            </w:r>
          </w:p>
        </w:tc>
        <w:tc>
          <w:tcPr>
            <w:tcW w:w="1098" w:type="dxa"/>
            <w:shd w:val="clear" w:color="auto" w:fill="auto"/>
            <w:noWrap/>
            <w:vAlign w:val="bottom"/>
            <w:hideMark/>
          </w:tcPr>
          <w:p w:rsidR="00975B17" w:rsidRPr="00572210" w:rsidRDefault="00975B17" w:rsidP="000C6A67">
            <w:pPr>
              <w:spacing w:after="0" w:line="240" w:lineRule="auto"/>
              <w:ind w:firstLineChars="40" w:firstLine="72"/>
              <w:jc w:val="center"/>
              <w:rPr>
                <w:rFonts w:ascii="Arial" w:hAnsi="Arial" w:cs="Arial"/>
                <w:bCs/>
                <w:sz w:val="18"/>
                <w:szCs w:val="18"/>
                <w:lang w:eastAsia="ro-RO"/>
              </w:rPr>
            </w:pPr>
            <w:r w:rsidRPr="00572210">
              <w:rPr>
                <w:rFonts w:ascii="Arial" w:hAnsi="Arial" w:cs="Arial"/>
                <w:bCs/>
                <w:sz w:val="18"/>
                <w:szCs w:val="18"/>
                <w:lang w:eastAsia="ro-RO"/>
              </w:rPr>
              <w:t>14860,3</w:t>
            </w:r>
          </w:p>
        </w:tc>
        <w:tc>
          <w:tcPr>
            <w:tcW w:w="1080" w:type="dxa"/>
            <w:shd w:val="clear" w:color="auto" w:fill="auto"/>
            <w:noWrap/>
            <w:vAlign w:val="bottom"/>
            <w:hideMark/>
          </w:tcPr>
          <w:p w:rsidR="00975B17" w:rsidRPr="00572210" w:rsidRDefault="00975B17" w:rsidP="000C6A67">
            <w:pPr>
              <w:spacing w:after="0" w:line="240" w:lineRule="auto"/>
              <w:ind w:leftChars="-8" w:left="-4" w:hangingChars="8" w:hanging="14"/>
              <w:jc w:val="center"/>
              <w:rPr>
                <w:rFonts w:ascii="Arial" w:hAnsi="Arial" w:cs="Arial"/>
                <w:bCs/>
                <w:sz w:val="18"/>
                <w:szCs w:val="18"/>
                <w:lang w:eastAsia="ro-RO"/>
              </w:rPr>
            </w:pPr>
            <w:r w:rsidRPr="00572210">
              <w:rPr>
                <w:rFonts w:ascii="Arial" w:hAnsi="Arial" w:cs="Arial"/>
                <w:bCs/>
                <w:sz w:val="18"/>
                <w:szCs w:val="18"/>
                <w:lang w:eastAsia="ro-RO"/>
              </w:rPr>
              <w:t>15865,0</w:t>
            </w:r>
          </w:p>
        </w:tc>
        <w:tc>
          <w:tcPr>
            <w:tcW w:w="1170" w:type="dxa"/>
            <w:shd w:val="clear" w:color="auto" w:fill="auto"/>
            <w:noWrap/>
            <w:vAlign w:val="bottom"/>
            <w:hideMark/>
          </w:tcPr>
          <w:p w:rsidR="00975B17" w:rsidRPr="00572210" w:rsidRDefault="00975B17" w:rsidP="000C6A67">
            <w:pPr>
              <w:spacing w:after="0" w:line="240" w:lineRule="auto"/>
              <w:jc w:val="center"/>
              <w:rPr>
                <w:rFonts w:ascii="Arial" w:hAnsi="Arial" w:cs="Arial"/>
                <w:bCs/>
                <w:sz w:val="18"/>
                <w:szCs w:val="18"/>
                <w:lang w:eastAsia="ro-RO"/>
              </w:rPr>
            </w:pPr>
            <w:r w:rsidRPr="00572210">
              <w:rPr>
                <w:rFonts w:ascii="Arial" w:hAnsi="Arial" w:cs="Arial"/>
                <w:bCs/>
                <w:sz w:val="18"/>
                <w:szCs w:val="18"/>
                <w:lang w:eastAsia="ro-RO"/>
              </w:rPr>
              <w:t>16878,7</w:t>
            </w:r>
          </w:p>
        </w:tc>
        <w:tc>
          <w:tcPr>
            <w:tcW w:w="1350" w:type="dxa"/>
            <w:shd w:val="clear" w:color="auto" w:fill="auto"/>
            <w:noWrap/>
            <w:vAlign w:val="bottom"/>
            <w:hideMark/>
          </w:tcPr>
          <w:p w:rsidR="00975B17" w:rsidRPr="00572210" w:rsidRDefault="00975B17" w:rsidP="000C6A67">
            <w:pPr>
              <w:spacing w:after="0" w:line="240" w:lineRule="auto"/>
              <w:jc w:val="center"/>
              <w:rPr>
                <w:rFonts w:ascii="Arial" w:hAnsi="Arial" w:cs="Arial"/>
                <w:bCs/>
                <w:sz w:val="18"/>
                <w:szCs w:val="18"/>
                <w:lang w:eastAsia="ro-RO"/>
              </w:rPr>
            </w:pPr>
            <w:r w:rsidRPr="00572210">
              <w:rPr>
                <w:rFonts w:ascii="Arial" w:hAnsi="Arial" w:cs="Arial"/>
                <w:bCs/>
                <w:sz w:val="18"/>
                <w:szCs w:val="18"/>
                <w:lang w:eastAsia="ro-RO"/>
              </w:rPr>
              <w:t>17959,3</w:t>
            </w:r>
          </w:p>
        </w:tc>
        <w:tc>
          <w:tcPr>
            <w:tcW w:w="1350" w:type="dxa"/>
            <w:shd w:val="clear" w:color="auto" w:fill="auto"/>
            <w:noWrap/>
            <w:vAlign w:val="bottom"/>
            <w:hideMark/>
          </w:tcPr>
          <w:p w:rsidR="00975B17" w:rsidRPr="00572210" w:rsidRDefault="00975B17" w:rsidP="000C6A67">
            <w:pPr>
              <w:spacing w:after="0" w:line="240" w:lineRule="auto"/>
              <w:ind w:firstLineChars="200" w:firstLine="360"/>
              <w:jc w:val="center"/>
              <w:rPr>
                <w:rFonts w:ascii="Arial" w:hAnsi="Arial" w:cs="Arial"/>
                <w:bCs/>
                <w:sz w:val="18"/>
                <w:szCs w:val="18"/>
                <w:lang w:eastAsia="ro-RO"/>
              </w:rPr>
            </w:pPr>
            <w:r w:rsidRPr="00572210">
              <w:rPr>
                <w:rFonts w:ascii="Arial" w:hAnsi="Arial" w:cs="Arial"/>
                <w:bCs/>
                <w:sz w:val="18"/>
                <w:szCs w:val="18"/>
                <w:lang w:eastAsia="ro-RO"/>
              </w:rPr>
              <w:t>19169,9</w:t>
            </w:r>
          </w:p>
        </w:tc>
        <w:tc>
          <w:tcPr>
            <w:tcW w:w="1350" w:type="dxa"/>
            <w:shd w:val="clear" w:color="auto" w:fill="auto"/>
            <w:vAlign w:val="bottom"/>
            <w:hideMark/>
          </w:tcPr>
          <w:p w:rsidR="00975B17" w:rsidRPr="00572210" w:rsidRDefault="00975B17" w:rsidP="000C6A67">
            <w:pPr>
              <w:spacing w:after="0" w:line="240" w:lineRule="auto"/>
              <w:ind w:firstLineChars="200" w:firstLine="360"/>
              <w:jc w:val="center"/>
              <w:rPr>
                <w:rFonts w:ascii="Arial" w:hAnsi="Arial" w:cs="Arial"/>
                <w:bCs/>
                <w:sz w:val="18"/>
                <w:szCs w:val="18"/>
                <w:lang w:eastAsia="ro-RO"/>
              </w:rPr>
            </w:pPr>
            <w:r w:rsidRPr="00572210">
              <w:rPr>
                <w:rFonts w:ascii="Arial" w:hAnsi="Arial" w:cs="Arial"/>
                <w:bCs/>
                <w:sz w:val="18"/>
                <w:szCs w:val="18"/>
                <w:lang w:eastAsia="ro-RO"/>
              </w:rPr>
              <w:t>20452,7</w:t>
            </w:r>
          </w:p>
        </w:tc>
      </w:tr>
      <w:tr w:rsidR="00975B17" w:rsidRPr="003C6788" w:rsidTr="006867E4">
        <w:trPr>
          <w:trHeight w:val="322"/>
          <w:jc w:val="center"/>
        </w:trPr>
        <w:tc>
          <w:tcPr>
            <w:tcW w:w="1507" w:type="dxa"/>
            <w:shd w:val="clear" w:color="auto" w:fill="auto"/>
            <w:noWrap/>
            <w:vAlign w:val="bottom"/>
            <w:hideMark/>
          </w:tcPr>
          <w:p w:rsidR="00975B17" w:rsidRPr="00572210" w:rsidRDefault="00975B17" w:rsidP="000C6A67">
            <w:pPr>
              <w:spacing w:after="0" w:line="240" w:lineRule="auto"/>
              <w:ind w:firstLineChars="30" w:firstLine="66"/>
              <w:rPr>
                <w:rFonts w:ascii="Arial" w:hAnsi="Arial" w:cs="Arial"/>
                <w:b/>
                <w:bCs/>
                <w:lang w:eastAsia="ro-RO"/>
              </w:rPr>
            </w:pPr>
            <w:r w:rsidRPr="00572210">
              <w:rPr>
                <w:rFonts w:ascii="Arial" w:hAnsi="Arial" w:cs="Arial"/>
                <w:b/>
                <w:bCs/>
                <w:lang w:eastAsia="ro-RO"/>
              </w:rPr>
              <w:t>Caras - Severin</w:t>
            </w:r>
          </w:p>
        </w:tc>
        <w:tc>
          <w:tcPr>
            <w:tcW w:w="1098" w:type="dxa"/>
            <w:shd w:val="clear" w:color="auto" w:fill="auto"/>
            <w:noWrap/>
            <w:vAlign w:val="bottom"/>
            <w:hideMark/>
          </w:tcPr>
          <w:p w:rsidR="00975B17" w:rsidRPr="00572210" w:rsidRDefault="00975B17" w:rsidP="000C6A67">
            <w:pPr>
              <w:spacing w:after="0" w:line="240" w:lineRule="auto"/>
              <w:ind w:firstLineChars="40" w:firstLine="72"/>
              <w:jc w:val="center"/>
              <w:rPr>
                <w:rFonts w:ascii="Arial" w:hAnsi="Arial" w:cs="Arial"/>
                <w:bCs/>
                <w:sz w:val="18"/>
                <w:szCs w:val="18"/>
                <w:lang w:eastAsia="ro-RO"/>
              </w:rPr>
            </w:pPr>
            <w:r w:rsidRPr="00572210">
              <w:rPr>
                <w:rFonts w:ascii="Arial" w:hAnsi="Arial" w:cs="Arial"/>
                <w:bCs/>
                <w:sz w:val="18"/>
                <w:szCs w:val="18"/>
                <w:lang w:eastAsia="ro-RO"/>
              </w:rPr>
              <w:t>7024,4</w:t>
            </w:r>
          </w:p>
        </w:tc>
        <w:tc>
          <w:tcPr>
            <w:tcW w:w="1080" w:type="dxa"/>
            <w:shd w:val="clear" w:color="auto" w:fill="auto"/>
            <w:noWrap/>
            <w:vAlign w:val="bottom"/>
            <w:hideMark/>
          </w:tcPr>
          <w:p w:rsidR="00975B17" w:rsidRPr="00572210" w:rsidRDefault="00975B17" w:rsidP="000C6A67">
            <w:pPr>
              <w:spacing w:after="0" w:line="240" w:lineRule="auto"/>
              <w:ind w:leftChars="-8" w:left="-4" w:hangingChars="8" w:hanging="14"/>
              <w:jc w:val="center"/>
              <w:rPr>
                <w:rFonts w:ascii="Arial" w:hAnsi="Arial" w:cs="Arial"/>
                <w:bCs/>
                <w:sz w:val="18"/>
                <w:szCs w:val="18"/>
                <w:lang w:eastAsia="ro-RO"/>
              </w:rPr>
            </w:pPr>
            <w:r w:rsidRPr="00572210">
              <w:rPr>
                <w:rFonts w:ascii="Arial" w:hAnsi="Arial" w:cs="Arial"/>
                <w:bCs/>
                <w:sz w:val="18"/>
                <w:szCs w:val="18"/>
                <w:lang w:eastAsia="ro-RO"/>
              </w:rPr>
              <w:t>7580,4</w:t>
            </w:r>
          </w:p>
        </w:tc>
        <w:tc>
          <w:tcPr>
            <w:tcW w:w="1170" w:type="dxa"/>
            <w:shd w:val="clear" w:color="auto" w:fill="auto"/>
            <w:noWrap/>
            <w:vAlign w:val="bottom"/>
            <w:hideMark/>
          </w:tcPr>
          <w:p w:rsidR="00975B17" w:rsidRPr="00572210" w:rsidRDefault="00975B17" w:rsidP="000C6A67">
            <w:pPr>
              <w:spacing w:after="0" w:line="240" w:lineRule="auto"/>
              <w:jc w:val="center"/>
              <w:rPr>
                <w:rFonts w:ascii="Arial" w:hAnsi="Arial" w:cs="Arial"/>
                <w:bCs/>
                <w:sz w:val="18"/>
                <w:szCs w:val="18"/>
                <w:lang w:eastAsia="ro-RO"/>
              </w:rPr>
            </w:pPr>
            <w:r w:rsidRPr="00572210">
              <w:rPr>
                <w:rFonts w:ascii="Arial" w:hAnsi="Arial" w:cs="Arial"/>
                <w:bCs/>
                <w:sz w:val="18"/>
                <w:szCs w:val="18"/>
                <w:lang w:eastAsia="ro-RO"/>
              </w:rPr>
              <w:t>8038,2</w:t>
            </w:r>
          </w:p>
        </w:tc>
        <w:tc>
          <w:tcPr>
            <w:tcW w:w="1350" w:type="dxa"/>
            <w:shd w:val="clear" w:color="auto" w:fill="auto"/>
            <w:noWrap/>
            <w:vAlign w:val="bottom"/>
            <w:hideMark/>
          </w:tcPr>
          <w:p w:rsidR="00975B17" w:rsidRPr="00572210" w:rsidRDefault="00975B17" w:rsidP="000C6A67">
            <w:pPr>
              <w:spacing w:after="0" w:line="240" w:lineRule="auto"/>
              <w:jc w:val="center"/>
              <w:rPr>
                <w:rFonts w:ascii="Arial" w:hAnsi="Arial" w:cs="Arial"/>
                <w:bCs/>
                <w:sz w:val="18"/>
                <w:szCs w:val="18"/>
                <w:lang w:eastAsia="ro-RO"/>
              </w:rPr>
            </w:pPr>
            <w:r w:rsidRPr="00572210">
              <w:rPr>
                <w:rFonts w:ascii="Arial" w:hAnsi="Arial" w:cs="Arial"/>
                <w:bCs/>
                <w:sz w:val="18"/>
                <w:szCs w:val="18"/>
                <w:lang w:eastAsia="ro-RO"/>
              </w:rPr>
              <w:t>8532,5</w:t>
            </w:r>
          </w:p>
        </w:tc>
        <w:tc>
          <w:tcPr>
            <w:tcW w:w="1350" w:type="dxa"/>
            <w:shd w:val="clear" w:color="auto" w:fill="auto"/>
            <w:noWrap/>
            <w:vAlign w:val="bottom"/>
            <w:hideMark/>
          </w:tcPr>
          <w:p w:rsidR="00975B17" w:rsidRPr="00572210" w:rsidRDefault="00975B17" w:rsidP="000C6A67">
            <w:pPr>
              <w:spacing w:after="0" w:line="240" w:lineRule="auto"/>
              <w:ind w:firstLineChars="200" w:firstLine="360"/>
              <w:jc w:val="center"/>
              <w:rPr>
                <w:rFonts w:ascii="Arial" w:hAnsi="Arial" w:cs="Arial"/>
                <w:bCs/>
                <w:sz w:val="18"/>
                <w:szCs w:val="18"/>
                <w:lang w:eastAsia="ro-RO"/>
              </w:rPr>
            </w:pPr>
            <w:r w:rsidRPr="00572210">
              <w:rPr>
                <w:rFonts w:ascii="Arial" w:hAnsi="Arial" w:cs="Arial"/>
                <w:bCs/>
                <w:sz w:val="18"/>
                <w:szCs w:val="18"/>
                <w:lang w:eastAsia="ro-RO"/>
              </w:rPr>
              <w:t>9086,1</w:t>
            </w:r>
          </w:p>
        </w:tc>
        <w:tc>
          <w:tcPr>
            <w:tcW w:w="1350" w:type="dxa"/>
            <w:shd w:val="clear" w:color="auto" w:fill="auto"/>
            <w:vAlign w:val="bottom"/>
            <w:hideMark/>
          </w:tcPr>
          <w:p w:rsidR="00975B17" w:rsidRPr="00572210" w:rsidRDefault="00975B17" w:rsidP="000C6A67">
            <w:pPr>
              <w:spacing w:after="0" w:line="240" w:lineRule="auto"/>
              <w:ind w:firstLineChars="200" w:firstLine="360"/>
              <w:jc w:val="center"/>
              <w:rPr>
                <w:rFonts w:ascii="Arial" w:hAnsi="Arial" w:cs="Arial"/>
                <w:bCs/>
                <w:sz w:val="18"/>
                <w:szCs w:val="18"/>
                <w:lang w:eastAsia="ro-RO"/>
              </w:rPr>
            </w:pPr>
            <w:r w:rsidRPr="00572210">
              <w:rPr>
                <w:rFonts w:ascii="Arial" w:hAnsi="Arial" w:cs="Arial"/>
                <w:bCs/>
                <w:sz w:val="18"/>
                <w:szCs w:val="18"/>
                <w:lang w:eastAsia="ro-RO"/>
              </w:rPr>
              <w:t>9677,2</w:t>
            </w:r>
          </w:p>
        </w:tc>
      </w:tr>
      <w:tr w:rsidR="00975B17" w:rsidRPr="003C6788" w:rsidTr="006867E4">
        <w:trPr>
          <w:trHeight w:val="322"/>
          <w:jc w:val="center"/>
        </w:trPr>
        <w:tc>
          <w:tcPr>
            <w:tcW w:w="1507" w:type="dxa"/>
            <w:shd w:val="clear" w:color="auto" w:fill="auto"/>
            <w:noWrap/>
            <w:vAlign w:val="bottom"/>
            <w:hideMark/>
          </w:tcPr>
          <w:p w:rsidR="00975B17" w:rsidRPr="00572210" w:rsidRDefault="00975B17" w:rsidP="000C6A67">
            <w:pPr>
              <w:spacing w:after="0" w:line="240" w:lineRule="auto"/>
              <w:ind w:firstLineChars="30" w:firstLine="66"/>
              <w:rPr>
                <w:rFonts w:ascii="Arial" w:hAnsi="Arial" w:cs="Arial"/>
                <w:b/>
                <w:bCs/>
                <w:lang w:eastAsia="ro-RO"/>
              </w:rPr>
            </w:pPr>
            <w:r w:rsidRPr="00572210">
              <w:rPr>
                <w:rFonts w:ascii="Arial" w:hAnsi="Arial" w:cs="Arial"/>
                <w:b/>
                <w:bCs/>
                <w:lang w:eastAsia="ro-RO"/>
              </w:rPr>
              <w:t>Hunedoara</w:t>
            </w:r>
          </w:p>
        </w:tc>
        <w:tc>
          <w:tcPr>
            <w:tcW w:w="1098" w:type="dxa"/>
            <w:shd w:val="clear" w:color="auto" w:fill="auto"/>
            <w:noWrap/>
            <w:vAlign w:val="bottom"/>
            <w:hideMark/>
          </w:tcPr>
          <w:p w:rsidR="00975B17" w:rsidRPr="00572210" w:rsidRDefault="00975B17" w:rsidP="000C6A67">
            <w:pPr>
              <w:spacing w:after="0" w:line="240" w:lineRule="auto"/>
              <w:ind w:firstLineChars="40" w:firstLine="72"/>
              <w:jc w:val="center"/>
              <w:rPr>
                <w:rFonts w:ascii="Arial" w:hAnsi="Arial" w:cs="Arial"/>
                <w:bCs/>
                <w:sz w:val="18"/>
                <w:szCs w:val="18"/>
                <w:lang w:eastAsia="ro-RO"/>
              </w:rPr>
            </w:pPr>
            <w:r w:rsidRPr="00572210">
              <w:rPr>
                <w:rFonts w:ascii="Arial" w:hAnsi="Arial" w:cs="Arial"/>
                <w:bCs/>
                <w:sz w:val="18"/>
                <w:szCs w:val="18"/>
                <w:lang w:eastAsia="ro-RO"/>
              </w:rPr>
              <w:t>10917,7</w:t>
            </w:r>
          </w:p>
        </w:tc>
        <w:tc>
          <w:tcPr>
            <w:tcW w:w="1080" w:type="dxa"/>
            <w:shd w:val="clear" w:color="auto" w:fill="auto"/>
            <w:noWrap/>
            <w:vAlign w:val="bottom"/>
            <w:hideMark/>
          </w:tcPr>
          <w:p w:rsidR="00975B17" w:rsidRPr="00572210" w:rsidRDefault="00975B17" w:rsidP="000C6A67">
            <w:pPr>
              <w:spacing w:after="0" w:line="240" w:lineRule="auto"/>
              <w:ind w:leftChars="-8" w:left="-4" w:hangingChars="8" w:hanging="14"/>
              <w:jc w:val="center"/>
              <w:rPr>
                <w:rFonts w:ascii="Arial" w:hAnsi="Arial" w:cs="Arial"/>
                <w:bCs/>
                <w:sz w:val="18"/>
                <w:szCs w:val="18"/>
                <w:lang w:eastAsia="ro-RO"/>
              </w:rPr>
            </w:pPr>
            <w:r w:rsidRPr="00572210">
              <w:rPr>
                <w:rFonts w:ascii="Arial" w:hAnsi="Arial" w:cs="Arial"/>
                <w:bCs/>
                <w:sz w:val="18"/>
                <w:szCs w:val="18"/>
                <w:lang w:eastAsia="ro-RO"/>
              </w:rPr>
              <w:t>11585,1</w:t>
            </w:r>
          </w:p>
        </w:tc>
        <w:tc>
          <w:tcPr>
            <w:tcW w:w="1170" w:type="dxa"/>
            <w:shd w:val="clear" w:color="auto" w:fill="auto"/>
            <w:noWrap/>
            <w:vAlign w:val="bottom"/>
            <w:hideMark/>
          </w:tcPr>
          <w:p w:rsidR="00975B17" w:rsidRPr="00572210" w:rsidRDefault="00975B17" w:rsidP="000C6A67">
            <w:pPr>
              <w:spacing w:after="0" w:line="240" w:lineRule="auto"/>
              <w:jc w:val="center"/>
              <w:rPr>
                <w:rFonts w:ascii="Arial" w:hAnsi="Arial" w:cs="Arial"/>
                <w:bCs/>
                <w:sz w:val="18"/>
                <w:szCs w:val="18"/>
                <w:lang w:eastAsia="ro-RO"/>
              </w:rPr>
            </w:pPr>
            <w:r w:rsidRPr="00572210">
              <w:rPr>
                <w:rFonts w:ascii="Arial" w:hAnsi="Arial" w:cs="Arial"/>
                <w:bCs/>
                <w:sz w:val="18"/>
                <w:szCs w:val="18"/>
                <w:lang w:eastAsia="ro-RO"/>
              </w:rPr>
              <w:t>12302,0</w:t>
            </w:r>
          </w:p>
        </w:tc>
        <w:tc>
          <w:tcPr>
            <w:tcW w:w="1350" w:type="dxa"/>
            <w:shd w:val="clear" w:color="auto" w:fill="auto"/>
            <w:noWrap/>
            <w:vAlign w:val="bottom"/>
            <w:hideMark/>
          </w:tcPr>
          <w:p w:rsidR="00975B17" w:rsidRPr="00572210" w:rsidRDefault="00975B17" w:rsidP="000C6A67">
            <w:pPr>
              <w:spacing w:after="0" w:line="240" w:lineRule="auto"/>
              <w:jc w:val="center"/>
              <w:rPr>
                <w:rFonts w:ascii="Arial" w:hAnsi="Arial" w:cs="Arial"/>
                <w:bCs/>
                <w:sz w:val="18"/>
                <w:szCs w:val="18"/>
                <w:lang w:eastAsia="ro-RO"/>
              </w:rPr>
            </w:pPr>
            <w:r w:rsidRPr="00572210">
              <w:rPr>
                <w:rFonts w:ascii="Arial" w:hAnsi="Arial" w:cs="Arial"/>
                <w:bCs/>
                <w:sz w:val="18"/>
                <w:szCs w:val="18"/>
                <w:lang w:eastAsia="ro-RO"/>
              </w:rPr>
              <w:t>13076,5</w:t>
            </w:r>
          </w:p>
        </w:tc>
        <w:tc>
          <w:tcPr>
            <w:tcW w:w="1350" w:type="dxa"/>
            <w:shd w:val="clear" w:color="auto" w:fill="auto"/>
            <w:noWrap/>
            <w:vAlign w:val="bottom"/>
            <w:hideMark/>
          </w:tcPr>
          <w:p w:rsidR="00975B17" w:rsidRPr="00572210" w:rsidRDefault="00975B17" w:rsidP="000C6A67">
            <w:pPr>
              <w:spacing w:after="0" w:line="240" w:lineRule="auto"/>
              <w:ind w:firstLineChars="200" w:firstLine="360"/>
              <w:jc w:val="center"/>
              <w:rPr>
                <w:rFonts w:ascii="Arial" w:hAnsi="Arial" w:cs="Arial"/>
                <w:bCs/>
                <w:sz w:val="18"/>
                <w:szCs w:val="18"/>
                <w:lang w:eastAsia="ro-RO"/>
              </w:rPr>
            </w:pPr>
            <w:r w:rsidRPr="00572210">
              <w:rPr>
                <w:rFonts w:ascii="Arial" w:hAnsi="Arial" w:cs="Arial"/>
                <w:bCs/>
                <w:sz w:val="18"/>
                <w:szCs w:val="18"/>
                <w:lang w:eastAsia="ro-RO"/>
              </w:rPr>
              <w:t>13945,1</w:t>
            </w:r>
          </w:p>
        </w:tc>
        <w:tc>
          <w:tcPr>
            <w:tcW w:w="1350" w:type="dxa"/>
            <w:shd w:val="clear" w:color="auto" w:fill="auto"/>
            <w:vAlign w:val="bottom"/>
            <w:hideMark/>
          </w:tcPr>
          <w:p w:rsidR="00975B17" w:rsidRPr="00572210" w:rsidRDefault="00975B17" w:rsidP="000C6A67">
            <w:pPr>
              <w:spacing w:after="0" w:line="240" w:lineRule="auto"/>
              <w:ind w:firstLineChars="200" w:firstLine="360"/>
              <w:jc w:val="center"/>
              <w:rPr>
                <w:rFonts w:ascii="Arial" w:hAnsi="Arial" w:cs="Arial"/>
                <w:bCs/>
                <w:sz w:val="18"/>
                <w:szCs w:val="18"/>
                <w:lang w:eastAsia="ro-RO"/>
              </w:rPr>
            </w:pPr>
            <w:r w:rsidRPr="00572210">
              <w:rPr>
                <w:rFonts w:ascii="Arial" w:hAnsi="Arial" w:cs="Arial"/>
                <w:bCs/>
                <w:sz w:val="18"/>
                <w:szCs w:val="18"/>
                <w:lang w:eastAsia="ro-RO"/>
              </w:rPr>
              <w:t>14868,7</w:t>
            </w:r>
          </w:p>
        </w:tc>
      </w:tr>
      <w:tr w:rsidR="00975B17" w:rsidRPr="003C6788" w:rsidTr="006867E4">
        <w:trPr>
          <w:trHeight w:val="322"/>
          <w:jc w:val="center"/>
        </w:trPr>
        <w:tc>
          <w:tcPr>
            <w:tcW w:w="1507" w:type="dxa"/>
            <w:shd w:val="clear" w:color="auto" w:fill="auto"/>
            <w:noWrap/>
            <w:vAlign w:val="bottom"/>
            <w:hideMark/>
          </w:tcPr>
          <w:p w:rsidR="00975B17" w:rsidRPr="00572210" w:rsidRDefault="00975B17" w:rsidP="000C6A67">
            <w:pPr>
              <w:spacing w:after="0" w:line="240" w:lineRule="auto"/>
              <w:ind w:firstLineChars="30" w:firstLine="66"/>
              <w:rPr>
                <w:rFonts w:ascii="Arial" w:hAnsi="Arial" w:cs="Arial"/>
                <w:b/>
                <w:bCs/>
                <w:lang w:eastAsia="ro-RO"/>
              </w:rPr>
            </w:pPr>
            <w:r w:rsidRPr="00572210">
              <w:rPr>
                <w:rFonts w:ascii="Arial" w:hAnsi="Arial" w:cs="Arial"/>
                <w:b/>
                <w:bCs/>
                <w:lang w:eastAsia="ro-RO"/>
              </w:rPr>
              <w:t>Timiş</w:t>
            </w:r>
          </w:p>
        </w:tc>
        <w:tc>
          <w:tcPr>
            <w:tcW w:w="1098" w:type="dxa"/>
            <w:shd w:val="clear" w:color="auto" w:fill="auto"/>
            <w:noWrap/>
            <w:vAlign w:val="bottom"/>
            <w:hideMark/>
          </w:tcPr>
          <w:p w:rsidR="00975B17" w:rsidRPr="00572210" w:rsidRDefault="00975B17" w:rsidP="000C6A67">
            <w:pPr>
              <w:spacing w:after="0" w:line="240" w:lineRule="auto"/>
              <w:ind w:firstLineChars="40" w:firstLine="72"/>
              <w:jc w:val="center"/>
              <w:rPr>
                <w:rFonts w:ascii="Arial" w:hAnsi="Arial" w:cs="Arial"/>
                <w:bCs/>
                <w:sz w:val="18"/>
                <w:szCs w:val="18"/>
                <w:lang w:eastAsia="ro-RO"/>
              </w:rPr>
            </w:pPr>
            <w:r w:rsidRPr="00572210">
              <w:rPr>
                <w:rFonts w:ascii="Arial" w:hAnsi="Arial" w:cs="Arial"/>
                <w:bCs/>
                <w:sz w:val="18"/>
                <w:szCs w:val="18"/>
                <w:lang w:eastAsia="ro-RO"/>
              </w:rPr>
              <w:t>30798,8</w:t>
            </w:r>
          </w:p>
        </w:tc>
        <w:tc>
          <w:tcPr>
            <w:tcW w:w="1080" w:type="dxa"/>
            <w:shd w:val="clear" w:color="auto" w:fill="auto"/>
            <w:noWrap/>
            <w:vAlign w:val="bottom"/>
            <w:hideMark/>
          </w:tcPr>
          <w:p w:rsidR="00975B17" w:rsidRPr="00572210" w:rsidRDefault="00975B17" w:rsidP="000C6A67">
            <w:pPr>
              <w:spacing w:after="0" w:line="240" w:lineRule="auto"/>
              <w:ind w:leftChars="-8" w:left="-4" w:hangingChars="8" w:hanging="14"/>
              <w:jc w:val="center"/>
              <w:rPr>
                <w:rFonts w:ascii="Arial" w:hAnsi="Arial" w:cs="Arial"/>
                <w:bCs/>
                <w:sz w:val="18"/>
                <w:szCs w:val="18"/>
                <w:lang w:eastAsia="ro-RO"/>
              </w:rPr>
            </w:pPr>
            <w:r w:rsidRPr="00572210">
              <w:rPr>
                <w:rFonts w:ascii="Arial" w:hAnsi="Arial" w:cs="Arial"/>
                <w:bCs/>
                <w:sz w:val="18"/>
                <w:szCs w:val="18"/>
                <w:lang w:eastAsia="ro-RO"/>
              </w:rPr>
              <w:t>33053,1</w:t>
            </w:r>
          </w:p>
        </w:tc>
        <w:tc>
          <w:tcPr>
            <w:tcW w:w="1170" w:type="dxa"/>
            <w:shd w:val="clear" w:color="auto" w:fill="auto"/>
            <w:noWrap/>
            <w:vAlign w:val="bottom"/>
            <w:hideMark/>
          </w:tcPr>
          <w:p w:rsidR="00975B17" w:rsidRPr="00572210" w:rsidRDefault="00975B17" w:rsidP="000C6A67">
            <w:pPr>
              <w:spacing w:after="0" w:line="240" w:lineRule="auto"/>
              <w:jc w:val="center"/>
              <w:rPr>
                <w:rFonts w:ascii="Arial" w:hAnsi="Arial" w:cs="Arial"/>
                <w:bCs/>
                <w:sz w:val="18"/>
                <w:szCs w:val="18"/>
                <w:lang w:eastAsia="ro-RO"/>
              </w:rPr>
            </w:pPr>
            <w:r w:rsidRPr="00572210">
              <w:rPr>
                <w:rFonts w:ascii="Arial" w:hAnsi="Arial" w:cs="Arial"/>
                <w:bCs/>
                <w:sz w:val="18"/>
                <w:szCs w:val="18"/>
                <w:lang w:eastAsia="ro-RO"/>
              </w:rPr>
              <w:t>35077,1</w:t>
            </w:r>
          </w:p>
        </w:tc>
        <w:tc>
          <w:tcPr>
            <w:tcW w:w="1350" w:type="dxa"/>
            <w:shd w:val="clear" w:color="auto" w:fill="auto"/>
            <w:noWrap/>
            <w:vAlign w:val="bottom"/>
            <w:hideMark/>
          </w:tcPr>
          <w:p w:rsidR="00975B17" w:rsidRPr="00572210" w:rsidRDefault="00975B17" w:rsidP="000C6A67">
            <w:pPr>
              <w:spacing w:after="0" w:line="240" w:lineRule="auto"/>
              <w:jc w:val="center"/>
              <w:rPr>
                <w:rFonts w:ascii="Arial" w:hAnsi="Arial" w:cs="Arial"/>
                <w:bCs/>
                <w:sz w:val="18"/>
                <w:szCs w:val="18"/>
                <w:lang w:eastAsia="ro-RO"/>
              </w:rPr>
            </w:pPr>
            <w:r w:rsidRPr="00572210">
              <w:rPr>
                <w:rFonts w:ascii="Arial" w:hAnsi="Arial" w:cs="Arial"/>
                <w:bCs/>
                <w:sz w:val="18"/>
                <w:szCs w:val="18"/>
                <w:lang w:eastAsia="ro-RO"/>
              </w:rPr>
              <w:t>37349,8</w:t>
            </w:r>
          </w:p>
        </w:tc>
        <w:tc>
          <w:tcPr>
            <w:tcW w:w="1350" w:type="dxa"/>
            <w:shd w:val="clear" w:color="auto" w:fill="auto"/>
            <w:noWrap/>
            <w:vAlign w:val="bottom"/>
            <w:hideMark/>
          </w:tcPr>
          <w:p w:rsidR="00975B17" w:rsidRPr="00572210" w:rsidRDefault="00975B17" w:rsidP="000C6A67">
            <w:pPr>
              <w:spacing w:after="0" w:line="240" w:lineRule="auto"/>
              <w:ind w:firstLineChars="200" w:firstLine="360"/>
              <w:jc w:val="center"/>
              <w:rPr>
                <w:rFonts w:ascii="Arial" w:hAnsi="Arial" w:cs="Arial"/>
                <w:bCs/>
                <w:sz w:val="18"/>
                <w:szCs w:val="18"/>
                <w:lang w:eastAsia="ro-RO"/>
              </w:rPr>
            </w:pPr>
            <w:r w:rsidRPr="00572210">
              <w:rPr>
                <w:rFonts w:ascii="Arial" w:hAnsi="Arial" w:cs="Arial"/>
                <w:bCs/>
                <w:sz w:val="18"/>
                <w:szCs w:val="18"/>
                <w:lang w:eastAsia="ro-RO"/>
              </w:rPr>
              <w:t>39871,8</w:t>
            </w:r>
          </w:p>
        </w:tc>
        <w:tc>
          <w:tcPr>
            <w:tcW w:w="1350" w:type="dxa"/>
            <w:shd w:val="clear" w:color="auto" w:fill="auto"/>
            <w:vAlign w:val="bottom"/>
            <w:hideMark/>
          </w:tcPr>
          <w:p w:rsidR="00975B17" w:rsidRPr="00572210" w:rsidRDefault="00975B17" w:rsidP="000C6A67">
            <w:pPr>
              <w:spacing w:after="0" w:line="240" w:lineRule="auto"/>
              <w:ind w:firstLineChars="200" w:firstLine="360"/>
              <w:jc w:val="center"/>
              <w:rPr>
                <w:rFonts w:ascii="Arial" w:hAnsi="Arial" w:cs="Arial"/>
                <w:bCs/>
                <w:sz w:val="18"/>
                <w:szCs w:val="18"/>
                <w:lang w:eastAsia="ro-RO"/>
              </w:rPr>
            </w:pPr>
            <w:r w:rsidRPr="00572210">
              <w:rPr>
                <w:rFonts w:ascii="Arial" w:hAnsi="Arial" w:cs="Arial"/>
                <w:bCs/>
                <w:sz w:val="18"/>
                <w:szCs w:val="18"/>
                <w:lang w:eastAsia="ro-RO"/>
              </w:rPr>
              <w:t>42554,4</w:t>
            </w:r>
          </w:p>
        </w:tc>
      </w:tr>
    </w:tbl>
    <w:p w:rsidR="00FD7FBD" w:rsidRPr="00FD7FBD" w:rsidRDefault="00FD7FBD" w:rsidP="000C6A67">
      <w:pPr>
        <w:spacing w:after="0" w:line="240" w:lineRule="auto"/>
        <w:ind w:firstLine="720"/>
        <w:rPr>
          <w:rFonts w:ascii="Arial" w:hAnsi="Arial" w:cs="Arial"/>
          <w:i/>
        </w:rPr>
      </w:pPr>
      <w:r>
        <w:rPr>
          <w:rFonts w:ascii="Arial" w:hAnsi="Arial" w:cs="Arial"/>
          <w:i/>
        </w:rPr>
        <w:t>Sursa:</w:t>
      </w:r>
      <w:r w:rsidRPr="00FD7FBD">
        <w:rPr>
          <w:rFonts w:ascii="Arial" w:hAnsi="Arial" w:cs="Arial"/>
          <w:i/>
        </w:rPr>
        <w:t>* Prognoza în profil teritorial s-a realizat pe baza prognozei  pe termen mediu 2015 – 2019, varianta de primăvară 2016, pentru Programul de Convergenţă.</w:t>
      </w:r>
    </w:p>
    <w:p w:rsidR="009D55AD" w:rsidRDefault="009D55AD" w:rsidP="000C6A67">
      <w:pPr>
        <w:spacing w:after="0" w:line="240" w:lineRule="auto"/>
        <w:rPr>
          <w:rFonts w:ascii="Arial" w:hAnsi="Arial" w:cs="Arial"/>
          <w:i/>
          <w:sz w:val="24"/>
          <w:szCs w:val="24"/>
        </w:rPr>
      </w:pPr>
    </w:p>
    <w:p w:rsidR="00975B17" w:rsidRDefault="00975B17" w:rsidP="00580D45">
      <w:pPr>
        <w:spacing w:after="0" w:line="240" w:lineRule="auto"/>
        <w:jc w:val="both"/>
        <w:rPr>
          <w:rFonts w:ascii="Arial" w:hAnsi="Arial" w:cs="Arial"/>
          <w:i/>
          <w:sz w:val="24"/>
          <w:szCs w:val="24"/>
        </w:rPr>
      </w:pPr>
      <w:r>
        <w:rPr>
          <w:rFonts w:ascii="Arial" w:hAnsi="Arial" w:cs="Arial"/>
          <w:i/>
          <w:sz w:val="24"/>
          <w:szCs w:val="24"/>
        </w:rPr>
        <w:t xml:space="preserve">Pentru </w:t>
      </w:r>
      <w:r w:rsidRPr="00975B17">
        <w:rPr>
          <w:rFonts w:ascii="Arial" w:hAnsi="Arial" w:cs="Arial"/>
          <w:b/>
          <w:i/>
          <w:sz w:val="24"/>
          <w:szCs w:val="24"/>
        </w:rPr>
        <w:t>Numărul mediu de salariaţi</w:t>
      </w:r>
      <w:r w:rsidRPr="003C6788">
        <w:rPr>
          <w:rFonts w:ascii="Arial" w:hAnsi="Arial" w:cs="Arial"/>
          <w:i/>
          <w:sz w:val="24"/>
          <w:szCs w:val="24"/>
        </w:rPr>
        <w:t xml:space="preserve"> – este prognozată cu o creștere constantă până la 568.000 persoane în 2019, cu următoarea distribuție pe județe: </w:t>
      </w:r>
    </w:p>
    <w:p w:rsidR="004D3518" w:rsidRPr="003C6788" w:rsidRDefault="004D3518" w:rsidP="000C6A67">
      <w:pPr>
        <w:spacing w:after="0" w:line="240" w:lineRule="auto"/>
        <w:rPr>
          <w:rFonts w:ascii="Arial" w:hAnsi="Arial" w:cs="Arial"/>
          <w:i/>
          <w:sz w:val="24"/>
          <w:szCs w:val="24"/>
        </w:rPr>
      </w:pPr>
    </w:p>
    <w:p w:rsidR="00975B17" w:rsidRPr="004D3518" w:rsidRDefault="00FD7FBD" w:rsidP="000C6A67">
      <w:pPr>
        <w:spacing w:after="0" w:line="240" w:lineRule="auto"/>
        <w:ind w:firstLine="720"/>
        <w:jc w:val="center"/>
        <w:rPr>
          <w:rFonts w:ascii="Arial" w:hAnsi="Arial" w:cs="Arial"/>
        </w:rPr>
      </w:pPr>
      <w:r w:rsidRPr="004D3518">
        <w:rPr>
          <w:rFonts w:ascii="Arial" w:hAnsi="Arial" w:cs="Arial"/>
        </w:rPr>
        <w:t>Tabel nr.</w:t>
      </w:r>
      <w:r w:rsidR="006F004E">
        <w:rPr>
          <w:rFonts w:ascii="Arial" w:hAnsi="Arial" w:cs="Arial"/>
        </w:rPr>
        <w:t>5</w:t>
      </w:r>
      <w:r w:rsidRPr="004D3518">
        <w:rPr>
          <w:rFonts w:ascii="Arial" w:hAnsi="Arial" w:cs="Arial"/>
        </w:rPr>
        <w:t xml:space="preserve">. </w:t>
      </w:r>
      <w:r w:rsidR="00975B17" w:rsidRPr="004D3518">
        <w:rPr>
          <w:rFonts w:ascii="Arial" w:hAnsi="Arial" w:cs="Arial"/>
        </w:rPr>
        <w:t xml:space="preserve">  </w:t>
      </w:r>
      <w:r w:rsidR="00435DBC" w:rsidRPr="004D3518">
        <w:rPr>
          <w:rFonts w:ascii="Arial" w:hAnsi="Arial" w:cs="Arial"/>
        </w:rPr>
        <w:t xml:space="preserve">Prognoza numărului mediu de salariați </w:t>
      </w:r>
      <w:r w:rsidR="00975B17" w:rsidRPr="004D3518">
        <w:rPr>
          <w:rFonts w:ascii="Arial" w:hAnsi="Arial" w:cs="Arial"/>
        </w:rPr>
        <w:t xml:space="preserve">    (în mii de persoane)</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3"/>
        <w:gridCol w:w="1127"/>
        <w:gridCol w:w="1127"/>
        <w:gridCol w:w="1127"/>
        <w:gridCol w:w="1288"/>
        <w:gridCol w:w="1098"/>
        <w:gridCol w:w="1350"/>
      </w:tblGrid>
      <w:tr w:rsidR="00975B17" w:rsidRPr="006E53D2" w:rsidTr="009D55AD">
        <w:trPr>
          <w:trHeight w:val="375"/>
        </w:trPr>
        <w:tc>
          <w:tcPr>
            <w:tcW w:w="1883" w:type="dxa"/>
            <w:shd w:val="clear" w:color="auto" w:fill="auto"/>
            <w:noWrap/>
            <w:vAlign w:val="bottom"/>
            <w:hideMark/>
          </w:tcPr>
          <w:p w:rsidR="00975B17" w:rsidRPr="006E53D2" w:rsidRDefault="00975B17" w:rsidP="003F02D7">
            <w:pPr>
              <w:spacing w:after="0" w:line="240" w:lineRule="auto"/>
              <w:rPr>
                <w:rFonts w:ascii="Arial" w:hAnsi="Arial" w:cs="Arial"/>
                <w:lang w:eastAsia="ro-RO"/>
              </w:rPr>
            </w:pPr>
          </w:p>
        </w:tc>
        <w:tc>
          <w:tcPr>
            <w:tcW w:w="1127"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2014</w:t>
            </w:r>
          </w:p>
        </w:tc>
        <w:tc>
          <w:tcPr>
            <w:tcW w:w="1127"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2015</w:t>
            </w:r>
          </w:p>
        </w:tc>
        <w:tc>
          <w:tcPr>
            <w:tcW w:w="1127"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2016</w:t>
            </w:r>
          </w:p>
        </w:tc>
        <w:tc>
          <w:tcPr>
            <w:tcW w:w="1288"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2017</w:t>
            </w:r>
          </w:p>
        </w:tc>
        <w:tc>
          <w:tcPr>
            <w:tcW w:w="1098" w:type="dxa"/>
            <w:shd w:val="clear" w:color="auto" w:fill="auto"/>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2018</w:t>
            </w:r>
          </w:p>
        </w:tc>
        <w:tc>
          <w:tcPr>
            <w:tcW w:w="1350" w:type="dxa"/>
            <w:shd w:val="clear" w:color="auto" w:fill="auto"/>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2019</w:t>
            </w:r>
          </w:p>
        </w:tc>
      </w:tr>
      <w:tr w:rsidR="00975B17" w:rsidRPr="006E53D2" w:rsidTr="009D55AD">
        <w:trPr>
          <w:trHeight w:val="375"/>
        </w:trPr>
        <w:tc>
          <w:tcPr>
            <w:tcW w:w="1883" w:type="dxa"/>
            <w:shd w:val="clear" w:color="auto" w:fill="66CCFF"/>
            <w:noWrap/>
            <w:vAlign w:val="bottom"/>
            <w:hideMark/>
          </w:tcPr>
          <w:p w:rsidR="00975B17" w:rsidRPr="006E53D2" w:rsidRDefault="00975B17" w:rsidP="000C6A67">
            <w:pPr>
              <w:spacing w:after="0" w:line="240" w:lineRule="auto"/>
              <w:rPr>
                <w:rFonts w:ascii="Arial" w:hAnsi="Arial" w:cs="Arial"/>
                <w:b/>
                <w:bCs/>
                <w:lang w:eastAsia="ro-RO"/>
              </w:rPr>
            </w:pPr>
            <w:r w:rsidRPr="006E53D2">
              <w:rPr>
                <w:rFonts w:ascii="Arial" w:hAnsi="Arial" w:cs="Arial"/>
                <w:b/>
                <w:bCs/>
                <w:lang w:eastAsia="ro-RO"/>
              </w:rPr>
              <w:t>VEST</w:t>
            </w:r>
          </w:p>
        </w:tc>
        <w:tc>
          <w:tcPr>
            <w:tcW w:w="1127" w:type="dxa"/>
            <w:shd w:val="clear" w:color="auto" w:fill="66CCFF"/>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486,2</w:t>
            </w:r>
          </w:p>
        </w:tc>
        <w:tc>
          <w:tcPr>
            <w:tcW w:w="1127" w:type="dxa"/>
            <w:shd w:val="clear" w:color="auto" w:fill="66CCFF"/>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501,3</w:t>
            </w:r>
          </w:p>
        </w:tc>
        <w:tc>
          <w:tcPr>
            <w:tcW w:w="1127" w:type="dxa"/>
            <w:shd w:val="clear" w:color="auto" w:fill="66CCFF"/>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517,3</w:t>
            </w:r>
          </w:p>
        </w:tc>
        <w:tc>
          <w:tcPr>
            <w:tcW w:w="1288" w:type="dxa"/>
            <w:shd w:val="clear" w:color="auto" w:fill="66CCFF"/>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534,4</w:t>
            </w:r>
          </w:p>
        </w:tc>
        <w:tc>
          <w:tcPr>
            <w:tcW w:w="1098" w:type="dxa"/>
            <w:shd w:val="clear" w:color="auto" w:fill="66CCFF"/>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551,6</w:t>
            </w:r>
          </w:p>
        </w:tc>
        <w:tc>
          <w:tcPr>
            <w:tcW w:w="1350" w:type="dxa"/>
            <w:shd w:val="clear" w:color="auto" w:fill="66CCFF"/>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568,1</w:t>
            </w:r>
          </w:p>
        </w:tc>
      </w:tr>
      <w:tr w:rsidR="00975B17" w:rsidRPr="006E53D2" w:rsidTr="009D55AD">
        <w:trPr>
          <w:trHeight w:val="375"/>
        </w:trPr>
        <w:tc>
          <w:tcPr>
            <w:tcW w:w="1883"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Arad</w:t>
            </w:r>
          </w:p>
        </w:tc>
        <w:tc>
          <w:tcPr>
            <w:tcW w:w="1127"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119,3</w:t>
            </w:r>
          </w:p>
        </w:tc>
        <w:tc>
          <w:tcPr>
            <w:tcW w:w="1127"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122,7</w:t>
            </w:r>
          </w:p>
        </w:tc>
        <w:tc>
          <w:tcPr>
            <w:tcW w:w="1127"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126,4</w:t>
            </w:r>
          </w:p>
        </w:tc>
        <w:tc>
          <w:tcPr>
            <w:tcW w:w="1288"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130,6</w:t>
            </w:r>
          </w:p>
        </w:tc>
        <w:tc>
          <w:tcPr>
            <w:tcW w:w="1098" w:type="dxa"/>
            <w:shd w:val="clear" w:color="auto" w:fill="auto"/>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134,8</w:t>
            </w:r>
          </w:p>
        </w:tc>
        <w:tc>
          <w:tcPr>
            <w:tcW w:w="1350" w:type="dxa"/>
            <w:shd w:val="clear" w:color="auto" w:fill="auto"/>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138,8</w:t>
            </w:r>
          </w:p>
        </w:tc>
      </w:tr>
      <w:tr w:rsidR="00975B17" w:rsidRPr="006E53D2" w:rsidTr="009D55AD">
        <w:trPr>
          <w:trHeight w:val="375"/>
        </w:trPr>
        <w:tc>
          <w:tcPr>
            <w:tcW w:w="1883" w:type="dxa"/>
            <w:shd w:val="clear" w:color="auto" w:fill="auto"/>
            <w:noWrap/>
            <w:vAlign w:val="bottom"/>
            <w:hideMark/>
          </w:tcPr>
          <w:p w:rsidR="00975B17" w:rsidRPr="006E53D2" w:rsidRDefault="00975B17" w:rsidP="00FA6E42">
            <w:pPr>
              <w:spacing w:after="0" w:line="240" w:lineRule="auto"/>
              <w:rPr>
                <w:rFonts w:ascii="Arial" w:hAnsi="Arial" w:cs="Arial"/>
                <w:lang w:eastAsia="ro-RO"/>
              </w:rPr>
            </w:pPr>
            <w:r w:rsidRPr="006E53D2">
              <w:rPr>
                <w:rFonts w:ascii="Arial" w:hAnsi="Arial" w:cs="Arial"/>
                <w:lang w:eastAsia="ro-RO"/>
              </w:rPr>
              <w:t>Cara</w:t>
            </w:r>
            <w:r w:rsidR="00FA6E42">
              <w:rPr>
                <w:rFonts w:ascii="Arial" w:hAnsi="Arial" w:cs="Arial"/>
                <w:lang w:eastAsia="ro-RO"/>
              </w:rPr>
              <w:t>ș</w:t>
            </w:r>
            <w:r w:rsidRPr="006E53D2">
              <w:rPr>
                <w:rFonts w:ascii="Arial" w:hAnsi="Arial" w:cs="Arial"/>
                <w:lang w:eastAsia="ro-RO"/>
              </w:rPr>
              <w:t xml:space="preserve"> Severin</w:t>
            </w:r>
          </w:p>
        </w:tc>
        <w:tc>
          <w:tcPr>
            <w:tcW w:w="1127"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50,9</w:t>
            </w:r>
          </w:p>
        </w:tc>
        <w:tc>
          <w:tcPr>
            <w:tcW w:w="1127"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52,7</w:t>
            </w:r>
          </w:p>
        </w:tc>
        <w:tc>
          <w:tcPr>
            <w:tcW w:w="1127"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54,7</w:t>
            </w:r>
          </w:p>
        </w:tc>
        <w:tc>
          <w:tcPr>
            <w:tcW w:w="1288"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56,6</w:t>
            </w:r>
          </w:p>
        </w:tc>
        <w:tc>
          <w:tcPr>
            <w:tcW w:w="1098" w:type="dxa"/>
            <w:shd w:val="clear" w:color="auto" w:fill="auto"/>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58,7</w:t>
            </w:r>
          </w:p>
        </w:tc>
        <w:tc>
          <w:tcPr>
            <w:tcW w:w="1350" w:type="dxa"/>
            <w:shd w:val="clear" w:color="auto" w:fill="auto"/>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60,6</w:t>
            </w:r>
          </w:p>
        </w:tc>
      </w:tr>
      <w:tr w:rsidR="00975B17" w:rsidRPr="006E53D2" w:rsidTr="009D55AD">
        <w:trPr>
          <w:trHeight w:val="375"/>
        </w:trPr>
        <w:tc>
          <w:tcPr>
            <w:tcW w:w="1883"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Hunedoara</w:t>
            </w:r>
          </w:p>
        </w:tc>
        <w:tc>
          <w:tcPr>
            <w:tcW w:w="1127"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106,9</w:t>
            </w:r>
          </w:p>
        </w:tc>
        <w:tc>
          <w:tcPr>
            <w:tcW w:w="1127"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109,8</w:t>
            </w:r>
          </w:p>
        </w:tc>
        <w:tc>
          <w:tcPr>
            <w:tcW w:w="1127"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112,7</w:t>
            </w:r>
          </w:p>
        </w:tc>
        <w:tc>
          <w:tcPr>
            <w:tcW w:w="1288"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115,9</w:t>
            </w:r>
          </w:p>
        </w:tc>
        <w:tc>
          <w:tcPr>
            <w:tcW w:w="1098" w:type="dxa"/>
            <w:shd w:val="clear" w:color="auto" w:fill="auto"/>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119,1</w:t>
            </w:r>
          </w:p>
        </w:tc>
        <w:tc>
          <w:tcPr>
            <w:tcW w:w="1350" w:type="dxa"/>
            <w:shd w:val="clear" w:color="auto" w:fill="auto"/>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122,0</w:t>
            </w:r>
          </w:p>
        </w:tc>
      </w:tr>
      <w:tr w:rsidR="00975B17" w:rsidRPr="006E53D2" w:rsidTr="009D55AD">
        <w:trPr>
          <w:trHeight w:val="375"/>
        </w:trPr>
        <w:tc>
          <w:tcPr>
            <w:tcW w:w="1883" w:type="dxa"/>
            <w:shd w:val="clear" w:color="auto" w:fill="auto"/>
            <w:noWrap/>
            <w:vAlign w:val="bottom"/>
            <w:hideMark/>
          </w:tcPr>
          <w:p w:rsidR="00975B17" w:rsidRPr="006E53D2" w:rsidRDefault="00975B17" w:rsidP="00FA6E42">
            <w:pPr>
              <w:spacing w:after="0" w:line="240" w:lineRule="auto"/>
              <w:rPr>
                <w:rFonts w:ascii="Arial" w:hAnsi="Arial" w:cs="Arial"/>
                <w:lang w:eastAsia="ro-RO"/>
              </w:rPr>
            </w:pPr>
            <w:r w:rsidRPr="006E53D2">
              <w:rPr>
                <w:rFonts w:ascii="Arial" w:hAnsi="Arial" w:cs="Arial"/>
                <w:lang w:eastAsia="ro-RO"/>
              </w:rPr>
              <w:t>Timi</w:t>
            </w:r>
            <w:r w:rsidR="00FA6E42">
              <w:rPr>
                <w:rFonts w:ascii="Arial" w:hAnsi="Arial" w:cs="Arial"/>
                <w:lang w:eastAsia="ro-RO"/>
              </w:rPr>
              <w:t>ș</w:t>
            </w:r>
          </w:p>
        </w:tc>
        <w:tc>
          <w:tcPr>
            <w:tcW w:w="1127"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209,2</w:t>
            </w:r>
          </w:p>
        </w:tc>
        <w:tc>
          <w:tcPr>
            <w:tcW w:w="1127"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216,1</w:t>
            </w:r>
          </w:p>
        </w:tc>
        <w:tc>
          <w:tcPr>
            <w:tcW w:w="1127"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223,5</w:t>
            </w:r>
          </w:p>
        </w:tc>
        <w:tc>
          <w:tcPr>
            <w:tcW w:w="1288"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231,3</w:t>
            </w:r>
          </w:p>
        </w:tc>
        <w:tc>
          <w:tcPr>
            <w:tcW w:w="1098" w:type="dxa"/>
            <w:shd w:val="clear" w:color="auto" w:fill="auto"/>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239,1</w:t>
            </w:r>
          </w:p>
        </w:tc>
        <w:tc>
          <w:tcPr>
            <w:tcW w:w="1350" w:type="dxa"/>
            <w:shd w:val="clear" w:color="auto" w:fill="auto"/>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246,7</w:t>
            </w:r>
          </w:p>
        </w:tc>
      </w:tr>
    </w:tbl>
    <w:p w:rsidR="00975B17" w:rsidRDefault="00975B17" w:rsidP="000C6A67">
      <w:pPr>
        <w:spacing w:after="0" w:line="240" w:lineRule="auto"/>
        <w:jc w:val="center"/>
        <w:rPr>
          <w:rFonts w:ascii="Arial" w:hAnsi="Arial" w:cs="Arial"/>
        </w:rPr>
      </w:pPr>
      <w:r w:rsidRPr="00435DBC">
        <w:rPr>
          <w:rFonts w:ascii="Arial" w:hAnsi="Arial" w:cs="Arial"/>
        </w:rPr>
        <w:t>Sursa:  Anul 2014 - Institutul Naţional de Statistică</w:t>
      </w:r>
    </w:p>
    <w:p w:rsidR="004D3518" w:rsidRPr="00435DBC" w:rsidRDefault="004D3518" w:rsidP="000C6A67">
      <w:pPr>
        <w:spacing w:after="0" w:line="240" w:lineRule="auto"/>
        <w:jc w:val="center"/>
        <w:rPr>
          <w:rFonts w:ascii="Arial" w:hAnsi="Arial" w:cs="Arial"/>
        </w:rPr>
      </w:pPr>
    </w:p>
    <w:p w:rsidR="003F02D7" w:rsidRDefault="00975B17" w:rsidP="004D0EE3">
      <w:pPr>
        <w:spacing w:after="0" w:line="240" w:lineRule="auto"/>
        <w:jc w:val="both"/>
        <w:rPr>
          <w:rFonts w:ascii="Arial" w:hAnsi="Arial" w:cs="Arial"/>
          <w:sz w:val="24"/>
          <w:szCs w:val="24"/>
        </w:rPr>
      </w:pPr>
      <w:r w:rsidRPr="00975B17">
        <w:rPr>
          <w:rFonts w:ascii="Arial" w:hAnsi="Arial" w:cs="Arial"/>
          <w:b/>
          <w:i/>
          <w:sz w:val="24"/>
          <w:szCs w:val="24"/>
        </w:rPr>
        <w:t>Câştigul salarial mediu brut lunar</w:t>
      </w:r>
      <w:r w:rsidRPr="003C6788">
        <w:rPr>
          <w:rFonts w:ascii="Arial" w:hAnsi="Arial" w:cs="Arial"/>
          <w:sz w:val="24"/>
          <w:szCs w:val="24"/>
        </w:rPr>
        <w:t xml:space="preserve"> – arată o tendință clară de creștere  de la 2.190 lei către 3.036 lei/salariat lunar brut, și în mod similar și câștigul salarial mediu net lunar, cu intervalul 1.601 – 2.219 lei/lună.</w:t>
      </w:r>
    </w:p>
    <w:p w:rsidR="003F02D7" w:rsidRDefault="003F02D7" w:rsidP="000C6A67">
      <w:pPr>
        <w:spacing w:after="0" w:line="240" w:lineRule="auto"/>
        <w:rPr>
          <w:rFonts w:ascii="Arial" w:hAnsi="Arial" w:cs="Arial"/>
          <w:sz w:val="24"/>
          <w:szCs w:val="24"/>
        </w:rPr>
      </w:pPr>
    </w:p>
    <w:p w:rsidR="00975B17" w:rsidRPr="004D3518" w:rsidRDefault="00435DBC" w:rsidP="000C6A67">
      <w:pPr>
        <w:spacing w:after="0" w:line="240" w:lineRule="auto"/>
        <w:jc w:val="center"/>
        <w:rPr>
          <w:rFonts w:ascii="Arial" w:hAnsi="Arial" w:cs="Arial"/>
        </w:rPr>
      </w:pPr>
      <w:r w:rsidRPr="004D3518">
        <w:rPr>
          <w:rFonts w:ascii="Arial" w:hAnsi="Arial" w:cs="Arial"/>
        </w:rPr>
        <w:t>Tabel nr.</w:t>
      </w:r>
      <w:r w:rsidR="006F004E">
        <w:rPr>
          <w:rFonts w:ascii="Arial" w:hAnsi="Arial" w:cs="Arial"/>
        </w:rPr>
        <w:t>6</w:t>
      </w:r>
      <w:r w:rsidRPr="004D3518">
        <w:rPr>
          <w:rFonts w:ascii="Arial" w:hAnsi="Arial" w:cs="Arial"/>
        </w:rPr>
        <w:t xml:space="preserve">. Prognoza – câștigul salarial mediu brut lunar             </w:t>
      </w:r>
      <w:r w:rsidR="00975B17" w:rsidRPr="004D3518">
        <w:rPr>
          <w:rFonts w:ascii="Arial" w:hAnsi="Arial" w:cs="Arial"/>
        </w:rPr>
        <w:t xml:space="preserve"> (</w:t>
      </w:r>
      <w:r w:rsidRPr="004D3518">
        <w:rPr>
          <w:rFonts w:ascii="Arial" w:hAnsi="Arial" w:cs="Arial"/>
        </w:rPr>
        <w:t xml:space="preserve">în </w:t>
      </w:r>
      <w:r w:rsidR="00975B17" w:rsidRPr="004D3518">
        <w:rPr>
          <w:rFonts w:ascii="Arial" w:hAnsi="Arial" w:cs="Arial"/>
        </w:rPr>
        <w:t>lei/salariat)</w:t>
      </w:r>
    </w:p>
    <w:tbl>
      <w:tblPr>
        <w:tblpPr w:leftFromText="180" w:rightFromText="180" w:vertAnchor="text" w:tblpX="91" w:tblpY="1"/>
        <w:tblOverlap w:val="never"/>
        <w:tblW w:w="8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85"/>
        <w:gridCol w:w="706"/>
        <w:gridCol w:w="706"/>
        <w:gridCol w:w="706"/>
        <w:gridCol w:w="706"/>
        <w:gridCol w:w="706"/>
        <w:gridCol w:w="715"/>
      </w:tblGrid>
      <w:tr w:rsidR="00975B17" w:rsidRPr="006E53D2" w:rsidTr="006911B2">
        <w:trPr>
          <w:gridBefore w:val="1"/>
          <w:wBefore w:w="4585" w:type="dxa"/>
          <w:trHeight w:val="249"/>
        </w:trPr>
        <w:tc>
          <w:tcPr>
            <w:tcW w:w="706" w:type="dxa"/>
          </w:tcPr>
          <w:p w:rsidR="00975B17" w:rsidRPr="006E53D2" w:rsidRDefault="00975B17" w:rsidP="000C6A67">
            <w:pPr>
              <w:spacing w:after="0" w:line="240" w:lineRule="auto"/>
              <w:rPr>
                <w:rFonts w:ascii="Arial" w:hAnsi="Arial" w:cs="Arial"/>
                <w:b/>
                <w:lang w:eastAsia="ro-RO"/>
              </w:rPr>
            </w:pPr>
            <w:r w:rsidRPr="006E53D2">
              <w:rPr>
                <w:rFonts w:ascii="Arial" w:hAnsi="Arial" w:cs="Arial"/>
                <w:b/>
                <w:lang w:eastAsia="ro-RO"/>
              </w:rPr>
              <w:t>2014</w:t>
            </w:r>
          </w:p>
        </w:tc>
        <w:tc>
          <w:tcPr>
            <w:tcW w:w="706" w:type="dxa"/>
          </w:tcPr>
          <w:p w:rsidR="00975B17" w:rsidRPr="006E53D2" w:rsidRDefault="00975B17" w:rsidP="000C6A67">
            <w:pPr>
              <w:spacing w:after="0" w:line="240" w:lineRule="auto"/>
              <w:rPr>
                <w:rFonts w:ascii="Arial" w:hAnsi="Arial" w:cs="Arial"/>
                <w:b/>
                <w:lang w:eastAsia="ro-RO"/>
              </w:rPr>
            </w:pPr>
            <w:r w:rsidRPr="006E53D2">
              <w:rPr>
                <w:rFonts w:ascii="Arial" w:hAnsi="Arial" w:cs="Arial"/>
                <w:b/>
                <w:lang w:eastAsia="ro-RO"/>
              </w:rPr>
              <w:t>2015</w:t>
            </w:r>
          </w:p>
        </w:tc>
        <w:tc>
          <w:tcPr>
            <w:tcW w:w="706" w:type="dxa"/>
          </w:tcPr>
          <w:p w:rsidR="00975B17" w:rsidRPr="006E53D2" w:rsidRDefault="00975B17" w:rsidP="000C6A67">
            <w:pPr>
              <w:spacing w:after="0" w:line="240" w:lineRule="auto"/>
              <w:rPr>
                <w:rFonts w:ascii="Arial" w:hAnsi="Arial" w:cs="Arial"/>
                <w:b/>
                <w:lang w:eastAsia="ro-RO"/>
              </w:rPr>
            </w:pPr>
            <w:r w:rsidRPr="006E53D2">
              <w:rPr>
                <w:rFonts w:ascii="Arial" w:hAnsi="Arial" w:cs="Arial"/>
                <w:b/>
                <w:lang w:eastAsia="ro-RO"/>
              </w:rPr>
              <w:t>2016</w:t>
            </w:r>
          </w:p>
        </w:tc>
        <w:tc>
          <w:tcPr>
            <w:tcW w:w="706" w:type="dxa"/>
          </w:tcPr>
          <w:p w:rsidR="00975B17" w:rsidRPr="006E53D2" w:rsidRDefault="00975B17" w:rsidP="000C6A67">
            <w:pPr>
              <w:spacing w:after="0" w:line="240" w:lineRule="auto"/>
              <w:rPr>
                <w:rFonts w:ascii="Arial" w:hAnsi="Arial" w:cs="Arial"/>
                <w:b/>
                <w:lang w:eastAsia="ro-RO"/>
              </w:rPr>
            </w:pPr>
            <w:r w:rsidRPr="006E53D2">
              <w:rPr>
                <w:rFonts w:ascii="Arial" w:hAnsi="Arial" w:cs="Arial"/>
                <w:b/>
                <w:lang w:eastAsia="ro-RO"/>
              </w:rPr>
              <w:t>2017</w:t>
            </w:r>
          </w:p>
        </w:tc>
        <w:tc>
          <w:tcPr>
            <w:tcW w:w="706" w:type="dxa"/>
          </w:tcPr>
          <w:p w:rsidR="00975B17" w:rsidRPr="006E53D2" w:rsidRDefault="00975B17" w:rsidP="000C6A67">
            <w:pPr>
              <w:spacing w:after="0" w:line="240" w:lineRule="auto"/>
              <w:rPr>
                <w:rFonts w:ascii="Arial" w:hAnsi="Arial" w:cs="Arial"/>
                <w:b/>
                <w:lang w:eastAsia="ro-RO"/>
              </w:rPr>
            </w:pPr>
            <w:r w:rsidRPr="006E53D2">
              <w:rPr>
                <w:rFonts w:ascii="Arial" w:hAnsi="Arial" w:cs="Arial"/>
                <w:b/>
                <w:lang w:eastAsia="ro-RO"/>
              </w:rPr>
              <w:t>2018</w:t>
            </w:r>
          </w:p>
        </w:tc>
        <w:tc>
          <w:tcPr>
            <w:tcW w:w="715" w:type="dxa"/>
          </w:tcPr>
          <w:p w:rsidR="00975B17" w:rsidRPr="006E53D2" w:rsidRDefault="00975B17" w:rsidP="000C6A67">
            <w:pPr>
              <w:spacing w:after="0" w:line="240" w:lineRule="auto"/>
              <w:rPr>
                <w:rFonts w:ascii="Arial" w:hAnsi="Arial" w:cs="Arial"/>
                <w:b/>
                <w:lang w:eastAsia="ro-RO"/>
              </w:rPr>
            </w:pPr>
            <w:r w:rsidRPr="006E53D2">
              <w:rPr>
                <w:rFonts w:ascii="Arial" w:hAnsi="Arial" w:cs="Arial"/>
                <w:b/>
                <w:lang w:eastAsia="ro-RO"/>
              </w:rPr>
              <w:t>2019</w:t>
            </w:r>
          </w:p>
        </w:tc>
      </w:tr>
      <w:tr w:rsidR="00975B17" w:rsidRPr="006E53D2" w:rsidTr="002A61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4585" w:type="dxa"/>
            <w:tcBorders>
              <w:top w:val="single" w:sz="4" w:space="0" w:color="auto"/>
              <w:left w:val="single" w:sz="4" w:space="0" w:color="auto"/>
              <w:bottom w:val="single" w:sz="4" w:space="0" w:color="auto"/>
              <w:right w:val="single" w:sz="4" w:space="0" w:color="auto"/>
            </w:tcBorders>
            <w:shd w:val="clear" w:color="auto" w:fill="66CCFF"/>
            <w:vAlign w:val="bottom"/>
            <w:hideMark/>
          </w:tcPr>
          <w:p w:rsidR="00975B17" w:rsidRPr="006E53D2" w:rsidRDefault="00975B17" w:rsidP="000C6A67">
            <w:pPr>
              <w:spacing w:after="0" w:line="240" w:lineRule="auto"/>
              <w:ind w:right="-559"/>
              <w:rPr>
                <w:rFonts w:ascii="Arial" w:hAnsi="Arial" w:cs="Arial"/>
                <w:lang w:eastAsia="ro-RO"/>
              </w:rPr>
            </w:pPr>
            <w:r w:rsidRPr="006E53D2">
              <w:rPr>
                <w:rFonts w:ascii="Arial" w:hAnsi="Arial" w:cs="Arial"/>
                <w:lang w:eastAsia="ro-RO"/>
              </w:rPr>
              <w:t xml:space="preserve">Câștig salarial mediu brut lunar </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2190</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2381</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2597</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2740</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2886</w:t>
            </w:r>
          </w:p>
        </w:tc>
        <w:tc>
          <w:tcPr>
            <w:tcW w:w="715" w:type="dxa"/>
            <w:tcBorders>
              <w:top w:val="single" w:sz="4" w:space="0" w:color="auto"/>
              <w:left w:val="nil"/>
              <w:bottom w:val="single" w:sz="4" w:space="0" w:color="auto"/>
              <w:right w:val="single" w:sz="4" w:space="0" w:color="auto"/>
            </w:tcBorders>
            <w:shd w:val="clear" w:color="auto" w:fill="auto"/>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3036</w:t>
            </w:r>
          </w:p>
        </w:tc>
      </w:tr>
      <w:tr w:rsidR="00975B17" w:rsidRPr="006E53D2" w:rsidTr="002A61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4585" w:type="dxa"/>
            <w:tcBorders>
              <w:top w:val="single" w:sz="4" w:space="0" w:color="auto"/>
              <w:left w:val="single" w:sz="4" w:space="0" w:color="auto"/>
              <w:bottom w:val="single" w:sz="4" w:space="0" w:color="auto"/>
              <w:right w:val="single" w:sz="4" w:space="0" w:color="auto"/>
            </w:tcBorders>
            <w:shd w:val="clear" w:color="auto" w:fill="66CCFF"/>
            <w:vAlign w:val="bottom"/>
            <w:hideMark/>
          </w:tcPr>
          <w:p w:rsidR="00975B17" w:rsidRPr="006E53D2" w:rsidRDefault="00975B17" w:rsidP="000C6A67">
            <w:pPr>
              <w:spacing w:after="0" w:line="240" w:lineRule="auto"/>
              <w:ind w:right="-559"/>
              <w:rPr>
                <w:rFonts w:ascii="Arial" w:hAnsi="Arial" w:cs="Arial"/>
                <w:lang w:eastAsia="ro-RO"/>
              </w:rPr>
            </w:pPr>
            <w:r w:rsidRPr="006E53D2">
              <w:rPr>
                <w:rFonts w:ascii="Arial" w:hAnsi="Arial" w:cs="Arial"/>
                <w:lang w:eastAsia="ro-RO"/>
              </w:rPr>
              <w:t>Câștig salarial mediu net lunar</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1601</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1741</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1899</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2003</w:t>
            </w:r>
          </w:p>
        </w:tc>
        <w:tc>
          <w:tcPr>
            <w:tcW w:w="706" w:type="dxa"/>
            <w:tcBorders>
              <w:top w:val="single" w:sz="4" w:space="0" w:color="auto"/>
              <w:left w:val="nil"/>
              <w:bottom w:val="single" w:sz="4" w:space="0" w:color="auto"/>
              <w:right w:val="single" w:sz="4" w:space="0" w:color="auto"/>
            </w:tcBorders>
            <w:shd w:val="clear" w:color="auto" w:fill="auto"/>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2110</w:t>
            </w:r>
          </w:p>
        </w:tc>
        <w:tc>
          <w:tcPr>
            <w:tcW w:w="715" w:type="dxa"/>
            <w:tcBorders>
              <w:top w:val="single" w:sz="4" w:space="0" w:color="auto"/>
              <w:left w:val="nil"/>
              <w:bottom w:val="single" w:sz="4" w:space="0" w:color="auto"/>
              <w:right w:val="single" w:sz="4" w:space="0" w:color="auto"/>
            </w:tcBorders>
            <w:shd w:val="clear" w:color="auto" w:fill="auto"/>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2219</w:t>
            </w:r>
          </w:p>
        </w:tc>
      </w:tr>
    </w:tbl>
    <w:p w:rsidR="00975B17" w:rsidRDefault="00975B17" w:rsidP="000C6A67">
      <w:pPr>
        <w:spacing w:after="0" w:line="240" w:lineRule="auto"/>
        <w:ind w:firstLine="720"/>
        <w:jc w:val="center"/>
        <w:rPr>
          <w:rFonts w:ascii="Arial" w:hAnsi="Arial" w:cs="Arial"/>
        </w:rPr>
      </w:pPr>
      <w:r w:rsidRPr="00435DBC">
        <w:rPr>
          <w:rFonts w:ascii="Arial" w:hAnsi="Arial" w:cs="Arial"/>
        </w:rPr>
        <w:t>Sursa: Anul 2014 - Institutul Naţional de Statistică</w:t>
      </w:r>
    </w:p>
    <w:p w:rsidR="004D3518" w:rsidRPr="00435DBC" w:rsidRDefault="004D3518" w:rsidP="000C6A67">
      <w:pPr>
        <w:spacing w:after="0" w:line="240" w:lineRule="auto"/>
        <w:ind w:firstLine="720"/>
        <w:jc w:val="center"/>
        <w:rPr>
          <w:rFonts w:ascii="Arial" w:hAnsi="Arial" w:cs="Arial"/>
        </w:rPr>
      </w:pPr>
    </w:p>
    <w:p w:rsidR="00975B17" w:rsidRDefault="00975B17" w:rsidP="000C6A67">
      <w:pPr>
        <w:spacing w:after="0" w:line="240" w:lineRule="auto"/>
        <w:rPr>
          <w:rFonts w:ascii="Arial" w:hAnsi="Arial" w:cs="Arial"/>
          <w:sz w:val="24"/>
          <w:szCs w:val="24"/>
        </w:rPr>
      </w:pPr>
      <w:r w:rsidRPr="003C6788">
        <w:rPr>
          <w:rFonts w:ascii="Arial" w:hAnsi="Arial" w:cs="Arial"/>
          <w:sz w:val="24"/>
          <w:szCs w:val="24"/>
        </w:rPr>
        <w:t xml:space="preserve">Pentru Regiunea Vest valoarea </w:t>
      </w:r>
      <w:r w:rsidRPr="00975B17">
        <w:rPr>
          <w:rFonts w:ascii="Arial" w:hAnsi="Arial" w:cs="Arial"/>
          <w:b/>
          <w:sz w:val="24"/>
          <w:szCs w:val="24"/>
        </w:rPr>
        <w:t xml:space="preserve">indicelui </w:t>
      </w:r>
      <w:r w:rsidRPr="00975B17">
        <w:rPr>
          <w:rFonts w:ascii="Arial" w:hAnsi="Arial" w:cs="Arial"/>
          <w:b/>
          <w:i/>
          <w:sz w:val="24"/>
          <w:szCs w:val="24"/>
        </w:rPr>
        <w:t>de disparitate</w:t>
      </w:r>
      <w:r w:rsidRPr="003C6788">
        <w:rPr>
          <w:rFonts w:ascii="Arial" w:hAnsi="Arial" w:cs="Arial"/>
          <w:sz w:val="24"/>
          <w:szCs w:val="24"/>
        </w:rPr>
        <w:t xml:space="preserve"> este prognozată peste 100%, valoare depășită doar de către București Ilfov. </w:t>
      </w:r>
    </w:p>
    <w:p w:rsidR="004D3518" w:rsidRPr="003C6788" w:rsidRDefault="004D3518" w:rsidP="000C6A67">
      <w:pPr>
        <w:spacing w:after="0" w:line="240" w:lineRule="auto"/>
        <w:rPr>
          <w:rFonts w:ascii="Arial" w:hAnsi="Arial" w:cs="Arial"/>
          <w:sz w:val="24"/>
          <w:szCs w:val="24"/>
        </w:rPr>
      </w:pPr>
    </w:p>
    <w:p w:rsidR="00975B17" w:rsidRPr="004D3518" w:rsidRDefault="00435DBC" w:rsidP="004D3518">
      <w:pPr>
        <w:tabs>
          <w:tab w:val="left" w:pos="1350"/>
        </w:tabs>
        <w:spacing w:after="0" w:line="240" w:lineRule="auto"/>
        <w:ind w:firstLine="720"/>
        <w:rPr>
          <w:rFonts w:ascii="Arial" w:hAnsi="Arial" w:cs="Arial"/>
        </w:rPr>
      </w:pPr>
      <w:r w:rsidRPr="004D3518">
        <w:rPr>
          <w:rFonts w:ascii="Arial" w:hAnsi="Arial" w:cs="Arial"/>
        </w:rPr>
        <w:t>Tabel nr.</w:t>
      </w:r>
      <w:r w:rsidR="006F004E">
        <w:rPr>
          <w:rFonts w:ascii="Arial" w:hAnsi="Arial" w:cs="Arial"/>
        </w:rPr>
        <w:t>7</w:t>
      </w:r>
      <w:r w:rsidRPr="004D3518">
        <w:rPr>
          <w:rFonts w:ascii="Arial" w:hAnsi="Arial" w:cs="Arial"/>
        </w:rPr>
        <w:t xml:space="preserve">. Indicele de disparitate pentru Regiunea Vest </w:t>
      </w:r>
      <w:r w:rsidR="00975B17" w:rsidRPr="004D3518">
        <w:rPr>
          <w:rFonts w:ascii="Arial" w:hAnsi="Arial" w:cs="Arial"/>
        </w:rPr>
        <w:t xml:space="preserve">  </w:t>
      </w:r>
      <w:r w:rsidRPr="004D3518">
        <w:rPr>
          <w:rFonts w:ascii="Arial" w:hAnsi="Arial" w:cs="Arial"/>
        </w:rPr>
        <w:t xml:space="preserve">(în%) </w:t>
      </w:r>
      <w:r w:rsidR="00975B17" w:rsidRPr="004D3518">
        <w:rPr>
          <w:rFonts w:ascii="Arial" w:hAnsi="Arial" w:cs="Arial"/>
        </w:rPr>
        <w:t xml:space="preserve">                                   </w:t>
      </w:r>
    </w:p>
    <w:tbl>
      <w:tblPr>
        <w:tblW w:w="8720" w:type="dxa"/>
        <w:tblInd w:w="91" w:type="dxa"/>
        <w:tblLook w:val="04A0" w:firstRow="1" w:lastRow="0" w:firstColumn="1" w:lastColumn="0" w:noHBand="0" w:noVBand="1"/>
      </w:tblPr>
      <w:tblGrid>
        <w:gridCol w:w="2960"/>
        <w:gridCol w:w="960"/>
        <w:gridCol w:w="960"/>
        <w:gridCol w:w="960"/>
        <w:gridCol w:w="960"/>
        <w:gridCol w:w="960"/>
        <w:gridCol w:w="960"/>
      </w:tblGrid>
      <w:tr w:rsidR="00975B17" w:rsidRPr="006911B2" w:rsidTr="003E0DF7">
        <w:trPr>
          <w:trHeight w:val="233"/>
        </w:trPr>
        <w:tc>
          <w:tcPr>
            <w:tcW w:w="2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75B17" w:rsidRPr="006911B2" w:rsidRDefault="00975B17" w:rsidP="000C6A67">
            <w:pPr>
              <w:spacing w:after="0" w:line="240" w:lineRule="auto"/>
              <w:rPr>
                <w:rFonts w:ascii="Arial" w:hAnsi="Arial" w:cs="Arial"/>
                <w:lang w:eastAsia="ro-RO"/>
              </w:rPr>
            </w:pPr>
            <w:r w:rsidRPr="006911B2">
              <w:rPr>
                <w:rFonts w:ascii="Arial" w:hAnsi="Arial" w:cs="Arial"/>
                <w:lang w:eastAsia="ro-RO"/>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75B17" w:rsidRPr="006911B2" w:rsidRDefault="00975B17" w:rsidP="000C6A67">
            <w:pPr>
              <w:spacing w:after="0" w:line="240" w:lineRule="auto"/>
              <w:jc w:val="center"/>
              <w:rPr>
                <w:rFonts w:ascii="Arial" w:hAnsi="Arial" w:cs="Arial"/>
                <w:b/>
                <w:bCs/>
                <w:lang w:eastAsia="ro-RO"/>
              </w:rPr>
            </w:pPr>
            <w:r w:rsidRPr="006911B2">
              <w:rPr>
                <w:rFonts w:ascii="Arial" w:hAnsi="Arial" w:cs="Arial"/>
                <w:b/>
                <w:bCs/>
                <w:lang w:eastAsia="ro-RO"/>
              </w:rPr>
              <w:t>2014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75B17" w:rsidRPr="006911B2" w:rsidRDefault="00975B17" w:rsidP="000C6A67">
            <w:pPr>
              <w:spacing w:after="0" w:line="240" w:lineRule="auto"/>
              <w:jc w:val="center"/>
              <w:rPr>
                <w:rFonts w:ascii="Arial" w:hAnsi="Arial" w:cs="Arial"/>
                <w:b/>
                <w:bCs/>
                <w:lang w:eastAsia="ro-RO"/>
              </w:rPr>
            </w:pPr>
            <w:r w:rsidRPr="006911B2">
              <w:rPr>
                <w:rFonts w:ascii="Arial" w:hAnsi="Arial" w:cs="Arial"/>
                <w:b/>
                <w:bCs/>
                <w:lang w:eastAsia="ro-RO"/>
              </w:rPr>
              <w:t>2015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75B17" w:rsidRPr="006911B2" w:rsidRDefault="00975B17" w:rsidP="000C6A67">
            <w:pPr>
              <w:spacing w:after="0" w:line="240" w:lineRule="auto"/>
              <w:jc w:val="center"/>
              <w:rPr>
                <w:rFonts w:ascii="Arial" w:hAnsi="Arial" w:cs="Arial"/>
                <w:b/>
                <w:bCs/>
                <w:lang w:eastAsia="ro-RO"/>
              </w:rPr>
            </w:pPr>
            <w:r w:rsidRPr="006911B2">
              <w:rPr>
                <w:rFonts w:ascii="Arial" w:hAnsi="Arial" w:cs="Arial"/>
                <w:b/>
                <w:bCs/>
                <w:lang w:eastAsia="ro-RO"/>
              </w:rPr>
              <w:t>2016</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75B17" w:rsidRPr="006911B2" w:rsidRDefault="00975B17" w:rsidP="000C6A67">
            <w:pPr>
              <w:spacing w:after="0" w:line="240" w:lineRule="auto"/>
              <w:jc w:val="center"/>
              <w:rPr>
                <w:rFonts w:ascii="Arial" w:hAnsi="Arial" w:cs="Arial"/>
                <w:b/>
                <w:bCs/>
                <w:lang w:eastAsia="ro-RO"/>
              </w:rPr>
            </w:pPr>
            <w:r w:rsidRPr="006911B2">
              <w:rPr>
                <w:rFonts w:ascii="Arial" w:hAnsi="Arial" w:cs="Arial"/>
                <w:b/>
                <w:bCs/>
                <w:lang w:eastAsia="ro-RO"/>
              </w:rPr>
              <w:t>2017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75B17" w:rsidRPr="006911B2" w:rsidRDefault="00975B17" w:rsidP="000C6A67">
            <w:pPr>
              <w:spacing w:after="0" w:line="240" w:lineRule="auto"/>
              <w:jc w:val="center"/>
              <w:rPr>
                <w:rFonts w:ascii="Arial" w:hAnsi="Arial" w:cs="Arial"/>
                <w:b/>
                <w:bCs/>
                <w:lang w:eastAsia="ro-RO"/>
              </w:rPr>
            </w:pPr>
            <w:r w:rsidRPr="006911B2">
              <w:rPr>
                <w:rFonts w:ascii="Arial" w:hAnsi="Arial" w:cs="Arial"/>
                <w:b/>
                <w:bCs/>
                <w:lang w:eastAsia="ro-RO"/>
              </w:rPr>
              <w:t>2018</w:t>
            </w:r>
          </w:p>
        </w:tc>
        <w:tc>
          <w:tcPr>
            <w:tcW w:w="960" w:type="dxa"/>
            <w:tcBorders>
              <w:top w:val="single" w:sz="4" w:space="0" w:color="auto"/>
              <w:left w:val="nil"/>
              <w:bottom w:val="single" w:sz="4" w:space="0" w:color="auto"/>
              <w:right w:val="single" w:sz="4" w:space="0" w:color="auto"/>
            </w:tcBorders>
            <w:shd w:val="clear" w:color="auto" w:fill="auto"/>
            <w:vAlign w:val="bottom"/>
            <w:hideMark/>
          </w:tcPr>
          <w:p w:rsidR="00975B17" w:rsidRPr="006911B2" w:rsidRDefault="00975B17" w:rsidP="000C6A67">
            <w:pPr>
              <w:spacing w:after="0" w:line="240" w:lineRule="auto"/>
              <w:jc w:val="center"/>
              <w:rPr>
                <w:rFonts w:ascii="Arial" w:hAnsi="Arial" w:cs="Arial"/>
                <w:b/>
                <w:bCs/>
                <w:lang w:eastAsia="ro-RO"/>
              </w:rPr>
            </w:pPr>
            <w:r w:rsidRPr="006911B2">
              <w:rPr>
                <w:rFonts w:ascii="Arial" w:hAnsi="Arial" w:cs="Arial"/>
                <w:b/>
                <w:bCs/>
                <w:lang w:eastAsia="ro-RO"/>
              </w:rPr>
              <w:t>2019</w:t>
            </w:r>
          </w:p>
        </w:tc>
      </w:tr>
      <w:tr w:rsidR="00975B17" w:rsidRPr="006911B2" w:rsidTr="002A61B3">
        <w:trPr>
          <w:trHeight w:val="375"/>
        </w:trPr>
        <w:tc>
          <w:tcPr>
            <w:tcW w:w="8720" w:type="dxa"/>
            <w:gridSpan w:val="7"/>
            <w:tcBorders>
              <w:top w:val="single" w:sz="4" w:space="0" w:color="auto"/>
              <w:left w:val="single" w:sz="4" w:space="0" w:color="auto"/>
              <w:bottom w:val="single" w:sz="4" w:space="0" w:color="auto"/>
              <w:right w:val="single" w:sz="4" w:space="0" w:color="auto"/>
            </w:tcBorders>
            <w:shd w:val="clear" w:color="auto" w:fill="66CCFF"/>
            <w:noWrap/>
            <w:vAlign w:val="bottom"/>
            <w:hideMark/>
          </w:tcPr>
          <w:p w:rsidR="00975B17" w:rsidRPr="006911B2" w:rsidRDefault="00975B17" w:rsidP="000C6A67">
            <w:pPr>
              <w:spacing w:after="0" w:line="240" w:lineRule="auto"/>
              <w:jc w:val="center"/>
              <w:rPr>
                <w:rFonts w:ascii="Arial" w:hAnsi="Arial" w:cs="Arial"/>
                <w:b/>
                <w:bCs/>
                <w:lang w:eastAsia="ro-RO"/>
              </w:rPr>
            </w:pPr>
            <w:r w:rsidRPr="006911B2">
              <w:rPr>
                <w:rFonts w:ascii="Arial" w:hAnsi="Arial" w:cs="Arial"/>
                <w:b/>
                <w:bCs/>
                <w:lang w:eastAsia="ro-RO"/>
              </w:rPr>
              <w:t>Produsul intern brut pe locuitor</w:t>
            </w:r>
          </w:p>
        </w:tc>
      </w:tr>
      <w:tr w:rsidR="00975B17" w:rsidRPr="006911B2" w:rsidTr="006911B2">
        <w:trPr>
          <w:trHeight w:val="341"/>
        </w:trPr>
        <w:tc>
          <w:tcPr>
            <w:tcW w:w="2960" w:type="dxa"/>
            <w:tcBorders>
              <w:top w:val="nil"/>
              <w:left w:val="single" w:sz="4" w:space="0" w:color="auto"/>
              <w:bottom w:val="single" w:sz="4" w:space="0" w:color="auto"/>
              <w:right w:val="single" w:sz="4" w:space="0" w:color="auto"/>
            </w:tcBorders>
            <w:shd w:val="clear" w:color="auto" w:fill="auto"/>
            <w:noWrap/>
            <w:vAlign w:val="bottom"/>
            <w:hideMark/>
          </w:tcPr>
          <w:p w:rsidR="00975B17" w:rsidRPr="006911B2" w:rsidRDefault="00975B17" w:rsidP="003E0DF7">
            <w:pPr>
              <w:spacing w:after="0" w:line="240" w:lineRule="auto"/>
              <w:rPr>
                <w:rFonts w:ascii="Arial" w:hAnsi="Arial" w:cs="Arial"/>
                <w:lang w:eastAsia="ro-RO"/>
              </w:rPr>
            </w:pPr>
            <w:r w:rsidRPr="006911B2">
              <w:rPr>
                <w:rFonts w:ascii="Arial" w:hAnsi="Arial" w:cs="Arial"/>
                <w:lang w:eastAsia="ro-RO"/>
              </w:rPr>
              <w:t xml:space="preserve">  </w:t>
            </w:r>
            <w:r w:rsidR="003E0DF7">
              <w:rPr>
                <w:rFonts w:ascii="Arial" w:hAnsi="Arial" w:cs="Arial"/>
                <w:lang w:eastAsia="ro-RO"/>
              </w:rPr>
              <w:t>Vest</w:t>
            </w:r>
          </w:p>
        </w:tc>
        <w:tc>
          <w:tcPr>
            <w:tcW w:w="960" w:type="dxa"/>
            <w:tcBorders>
              <w:top w:val="nil"/>
              <w:left w:val="nil"/>
              <w:bottom w:val="single" w:sz="4" w:space="0" w:color="auto"/>
              <w:right w:val="single" w:sz="4" w:space="0" w:color="auto"/>
            </w:tcBorders>
            <w:shd w:val="clear" w:color="auto" w:fill="auto"/>
            <w:noWrap/>
            <w:vAlign w:val="bottom"/>
            <w:hideMark/>
          </w:tcPr>
          <w:p w:rsidR="00975B17" w:rsidRPr="006911B2" w:rsidRDefault="00975B17" w:rsidP="000C6A67">
            <w:pPr>
              <w:spacing w:after="0" w:line="240" w:lineRule="auto"/>
              <w:jc w:val="center"/>
              <w:rPr>
                <w:rFonts w:ascii="Arial" w:hAnsi="Arial" w:cs="Arial"/>
                <w:lang w:eastAsia="ro-RO"/>
              </w:rPr>
            </w:pPr>
            <w:r w:rsidRPr="006911B2">
              <w:rPr>
                <w:rFonts w:ascii="Arial" w:hAnsi="Arial" w:cs="Arial"/>
                <w:lang w:eastAsia="ro-RO"/>
              </w:rPr>
              <w:t>104,5</w:t>
            </w:r>
          </w:p>
        </w:tc>
        <w:tc>
          <w:tcPr>
            <w:tcW w:w="960" w:type="dxa"/>
            <w:tcBorders>
              <w:top w:val="nil"/>
              <w:left w:val="nil"/>
              <w:bottom w:val="single" w:sz="4" w:space="0" w:color="auto"/>
              <w:right w:val="single" w:sz="4" w:space="0" w:color="auto"/>
            </w:tcBorders>
            <w:shd w:val="clear" w:color="auto" w:fill="auto"/>
            <w:noWrap/>
            <w:vAlign w:val="bottom"/>
            <w:hideMark/>
          </w:tcPr>
          <w:p w:rsidR="00975B17" w:rsidRPr="006911B2" w:rsidRDefault="00975B17" w:rsidP="000C6A67">
            <w:pPr>
              <w:spacing w:after="0" w:line="240" w:lineRule="auto"/>
              <w:jc w:val="center"/>
              <w:rPr>
                <w:rFonts w:ascii="Arial" w:hAnsi="Arial" w:cs="Arial"/>
                <w:lang w:eastAsia="ro-RO"/>
              </w:rPr>
            </w:pPr>
            <w:r w:rsidRPr="006911B2">
              <w:rPr>
                <w:rFonts w:ascii="Arial" w:hAnsi="Arial" w:cs="Arial"/>
                <w:lang w:eastAsia="ro-RO"/>
              </w:rPr>
              <w:t>104,8</w:t>
            </w:r>
          </w:p>
        </w:tc>
        <w:tc>
          <w:tcPr>
            <w:tcW w:w="960" w:type="dxa"/>
            <w:tcBorders>
              <w:top w:val="nil"/>
              <w:left w:val="nil"/>
              <w:bottom w:val="single" w:sz="4" w:space="0" w:color="auto"/>
              <w:right w:val="single" w:sz="4" w:space="0" w:color="auto"/>
            </w:tcBorders>
            <w:shd w:val="clear" w:color="auto" w:fill="auto"/>
            <w:noWrap/>
            <w:vAlign w:val="bottom"/>
            <w:hideMark/>
          </w:tcPr>
          <w:p w:rsidR="00975B17" w:rsidRPr="006911B2" w:rsidRDefault="00975B17" w:rsidP="000C6A67">
            <w:pPr>
              <w:spacing w:after="0" w:line="240" w:lineRule="auto"/>
              <w:jc w:val="center"/>
              <w:rPr>
                <w:rFonts w:ascii="Arial" w:hAnsi="Arial" w:cs="Arial"/>
                <w:lang w:eastAsia="ro-RO"/>
              </w:rPr>
            </w:pPr>
            <w:r w:rsidRPr="006911B2">
              <w:rPr>
                <w:rFonts w:ascii="Arial" w:hAnsi="Arial" w:cs="Arial"/>
                <w:lang w:eastAsia="ro-RO"/>
              </w:rPr>
              <w:t>104,6</w:t>
            </w:r>
          </w:p>
        </w:tc>
        <w:tc>
          <w:tcPr>
            <w:tcW w:w="960" w:type="dxa"/>
            <w:tcBorders>
              <w:top w:val="nil"/>
              <w:left w:val="nil"/>
              <w:bottom w:val="single" w:sz="4" w:space="0" w:color="auto"/>
              <w:right w:val="single" w:sz="4" w:space="0" w:color="auto"/>
            </w:tcBorders>
            <w:shd w:val="clear" w:color="auto" w:fill="auto"/>
            <w:noWrap/>
            <w:vAlign w:val="bottom"/>
            <w:hideMark/>
          </w:tcPr>
          <w:p w:rsidR="00975B17" w:rsidRPr="006911B2" w:rsidRDefault="00975B17" w:rsidP="000C6A67">
            <w:pPr>
              <w:spacing w:after="0" w:line="240" w:lineRule="auto"/>
              <w:jc w:val="center"/>
              <w:rPr>
                <w:rFonts w:ascii="Arial" w:hAnsi="Arial" w:cs="Arial"/>
                <w:lang w:eastAsia="ro-RO"/>
              </w:rPr>
            </w:pPr>
            <w:r w:rsidRPr="006911B2">
              <w:rPr>
                <w:rFonts w:ascii="Arial" w:hAnsi="Arial" w:cs="Arial"/>
                <w:lang w:eastAsia="ro-RO"/>
              </w:rPr>
              <w:t>104,5</w:t>
            </w:r>
          </w:p>
        </w:tc>
        <w:tc>
          <w:tcPr>
            <w:tcW w:w="960" w:type="dxa"/>
            <w:tcBorders>
              <w:top w:val="nil"/>
              <w:left w:val="nil"/>
              <w:bottom w:val="single" w:sz="4" w:space="0" w:color="auto"/>
              <w:right w:val="single" w:sz="4" w:space="0" w:color="auto"/>
            </w:tcBorders>
            <w:shd w:val="clear" w:color="auto" w:fill="auto"/>
            <w:noWrap/>
            <w:vAlign w:val="bottom"/>
            <w:hideMark/>
          </w:tcPr>
          <w:p w:rsidR="00975B17" w:rsidRPr="006911B2" w:rsidRDefault="00975B17" w:rsidP="000C6A67">
            <w:pPr>
              <w:spacing w:after="0" w:line="240" w:lineRule="auto"/>
              <w:jc w:val="center"/>
              <w:rPr>
                <w:rFonts w:ascii="Arial" w:hAnsi="Arial" w:cs="Arial"/>
                <w:lang w:eastAsia="ro-RO"/>
              </w:rPr>
            </w:pPr>
            <w:r w:rsidRPr="006911B2">
              <w:rPr>
                <w:rFonts w:ascii="Arial" w:hAnsi="Arial" w:cs="Arial"/>
                <w:lang w:eastAsia="ro-RO"/>
              </w:rPr>
              <w:t>104,5</w:t>
            </w:r>
          </w:p>
        </w:tc>
        <w:tc>
          <w:tcPr>
            <w:tcW w:w="960" w:type="dxa"/>
            <w:tcBorders>
              <w:top w:val="nil"/>
              <w:left w:val="nil"/>
              <w:bottom w:val="single" w:sz="4" w:space="0" w:color="auto"/>
              <w:right w:val="single" w:sz="4" w:space="0" w:color="auto"/>
            </w:tcBorders>
            <w:shd w:val="clear" w:color="auto" w:fill="auto"/>
            <w:vAlign w:val="bottom"/>
            <w:hideMark/>
          </w:tcPr>
          <w:p w:rsidR="00975B17" w:rsidRPr="006911B2" w:rsidRDefault="00975B17" w:rsidP="000C6A67">
            <w:pPr>
              <w:spacing w:after="0" w:line="240" w:lineRule="auto"/>
              <w:jc w:val="center"/>
              <w:rPr>
                <w:rFonts w:ascii="Arial" w:hAnsi="Arial" w:cs="Arial"/>
                <w:lang w:eastAsia="ro-RO"/>
              </w:rPr>
            </w:pPr>
            <w:r w:rsidRPr="006911B2">
              <w:rPr>
                <w:rFonts w:ascii="Arial" w:hAnsi="Arial" w:cs="Arial"/>
                <w:lang w:eastAsia="ro-RO"/>
              </w:rPr>
              <w:t>104,5</w:t>
            </w:r>
          </w:p>
        </w:tc>
      </w:tr>
    </w:tbl>
    <w:p w:rsidR="00975B17" w:rsidRPr="003C6788" w:rsidRDefault="00975B17" w:rsidP="000C6A67">
      <w:pPr>
        <w:spacing w:after="0" w:line="240" w:lineRule="auto"/>
        <w:rPr>
          <w:rFonts w:ascii="Arial" w:hAnsi="Arial" w:cs="Arial"/>
          <w:sz w:val="24"/>
          <w:szCs w:val="24"/>
        </w:rPr>
      </w:pPr>
      <w:r w:rsidRPr="003C6788">
        <w:rPr>
          <w:rFonts w:ascii="Arial" w:hAnsi="Arial" w:cs="Arial"/>
          <w:sz w:val="24"/>
          <w:szCs w:val="24"/>
        </w:rPr>
        <w:t xml:space="preserve">* </w:t>
      </w:r>
      <w:r w:rsidRPr="00435DBC">
        <w:rPr>
          <w:rFonts w:ascii="Arial" w:hAnsi="Arial" w:cs="Arial"/>
        </w:rPr>
        <w:t>Au fost calculaţi conform metodologiei Institutului Naţional de Statistică, prin raportarea nivelului regional la nivelul naţional.</w:t>
      </w:r>
    </w:p>
    <w:p w:rsidR="004D3518" w:rsidRDefault="004D3518" w:rsidP="000C6A67">
      <w:pPr>
        <w:spacing w:after="0" w:line="240" w:lineRule="auto"/>
        <w:rPr>
          <w:rFonts w:ascii="Arial" w:hAnsi="Arial" w:cs="Arial"/>
          <w:b/>
          <w:i/>
          <w:sz w:val="24"/>
          <w:szCs w:val="24"/>
        </w:rPr>
      </w:pPr>
    </w:p>
    <w:p w:rsidR="00975B17" w:rsidRPr="00435DBC" w:rsidRDefault="00975B17" w:rsidP="000C6A67">
      <w:pPr>
        <w:spacing w:after="0" w:line="240" w:lineRule="auto"/>
        <w:rPr>
          <w:rFonts w:ascii="Arial" w:hAnsi="Arial" w:cs="Arial"/>
          <w:i/>
        </w:rPr>
      </w:pPr>
      <w:r w:rsidRPr="00975B17">
        <w:rPr>
          <w:rFonts w:ascii="Arial" w:hAnsi="Arial" w:cs="Arial"/>
          <w:b/>
          <w:i/>
          <w:sz w:val="24"/>
          <w:szCs w:val="24"/>
        </w:rPr>
        <w:t>Decalaje regionale</w:t>
      </w:r>
      <w:r w:rsidRPr="003C6788">
        <w:rPr>
          <w:rFonts w:ascii="Arial" w:hAnsi="Arial" w:cs="Arial"/>
          <w:i/>
          <w:sz w:val="24"/>
          <w:szCs w:val="24"/>
        </w:rPr>
        <w:t xml:space="preserve"> – sunt raportate la Regiunea Vest, având valorile cele mai mar</w:t>
      </w:r>
      <w:r w:rsidR="002D2B05">
        <w:rPr>
          <w:rFonts w:ascii="Arial" w:hAnsi="Arial" w:cs="Arial"/>
          <w:i/>
          <w:sz w:val="24"/>
          <w:szCs w:val="24"/>
        </w:rPr>
        <w:t xml:space="preserve">i ale indicatorilor analizați. </w:t>
      </w:r>
    </w:p>
    <w:p w:rsidR="00975B17" w:rsidRPr="003C6788" w:rsidRDefault="00435DBC" w:rsidP="000C6A67">
      <w:pPr>
        <w:spacing w:after="0" w:line="240" w:lineRule="auto"/>
        <w:ind w:firstLine="720"/>
        <w:jc w:val="center"/>
        <w:rPr>
          <w:rFonts w:ascii="Arial" w:hAnsi="Arial" w:cs="Arial"/>
          <w:sz w:val="24"/>
          <w:szCs w:val="24"/>
        </w:rPr>
      </w:pPr>
      <w:r w:rsidRPr="00435DBC">
        <w:rPr>
          <w:rFonts w:ascii="Arial" w:hAnsi="Arial" w:cs="Arial"/>
        </w:rPr>
        <w:t>Tabel nr.</w:t>
      </w:r>
      <w:r w:rsidR="006A3266">
        <w:rPr>
          <w:rFonts w:ascii="Arial" w:hAnsi="Arial" w:cs="Arial"/>
        </w:rPr>
        <w:t xml:space="preserve"> </w:t>
      </w:r>
      <w:r w:rsidR="006F004E">
        <w:rPr>
          <w:rFonts w:ascii="Arial" w:hAnsi="Arial" w:cs="Arial"/>
        </w:rPr>
        <w:t>8</w:t>
      </w:r>
      <w:r w:rsidRPr="00435DBC">
        <w:rPr>
          <w:rFonts w:ascii="Arial" w:hAnsi="Arial" w:cs="Arial"/>
        </w:rPr>
        <w:t>. Decalaje regionale</w:t>
      </w:r>
      <w:r>
        <w:rPr>
          <w:rFonts w:ascii="Arial" w:hAnsi="Arial" w:cs="Arial"/>
          <w:sz w:val="24"/>
          <w:szCs w:val="24"/>
        </w:rPr>
        <w:t xml:space="preserve">                      </w:t>
      </w:r>
      <w:r w:rsidR="00975B17" w:rsidRPr="003C6788">
        <w:rPr>
          <w:rFonts w:ascii="Arial" w:hAnsi="Arial" w:cs="Arial"/>
          <w:sz w:val="24"/>
          <w:szCs w:val="24"/>
        </w:rPr>
        <w:t>(</w:t>
      </w:r>
      <w:r>
        <w:rPr>
          <w:rFonts w:ascii="Arial" w:hAnsi="Arial" w:cs="Arial"/>
          <w:sz w:val="24"/>
          <w:szCs w:val="24"/>
        </w:rPr>
        <w:t xml:space="preserve">în </w:t>
      </w:r>
      <w:r w:rsidR="00975B17" w:rsidRPr="003C6788">
        <w:rPr>
          <w:rFonts w:ascii="Arial" w:hAnsi="Arial" w:cs="Arial"/>
          <w:sz w:val="24"/>
          <w:szCs w:val="24"/>
        </w:rPr>
        <w:t>%)</w:t>
      </w:r>
    </w:p>
    <w:tbl>
      <w:tblPr>
        <w:tblW w:w="8460" w:type="dxa"/>
        <w:jc w:val="center"/>
        <w:tblLook w:val="04A0" w:firstRow="1" w:lastRow="0" w:firstColumn="1" w:lastColumn="0" w:noHBand="0" w:noVBand="1"/>
      </w:tblPr>
      <w:tblGrid>
        <w:gridCol w:w="2700"/>
        <w:gridCol w:w="960"/>
        <w:gridCol w:w="960"/>
        <w:gridCol w:w="960"/>
        <w:gridCol w:w="960"/>
        <w:gridCol w:w="960"/>
        <w:gridCol w:w="960"/>
      </w:tblGrid>
      <w:tr w:rsidR="00975B17" w:rsidRPr="006911B2" w:rsidTr="002A61B3">
        <w:trPr>
          <w:trHeight w:val="630"/>
          <w:jc w:val="center"/>
        </w:trPr>
        <w:tc>
          <w:tcPr>
            <w:tcW w:w="2700" w:type="dxa"/>
            <w:tcBorders>
              <w:top w:val="single" w:sz="4" w:space="0" w:color="auto"/>
              <w:left w:val="single" w:sz="4" w:space="0" w:color="auto"/>
              <w:bottom w:val="single" w:sz="4" w:space="0" w:color="auto"/>
              <w:right w:val="single" w:sz="4" w:space="0" w:color="auto"/>
            </w:tcBorders>
            <w:shd w:val="clear" w:color="auto" w:fill="66CCFF"/>
            <w:vAlign w:val="bottom"/>
            <w:hideMark/>
          </w:tcPr>
          <w:p w:rsidR="00975B17" w:rsidRPr="006911B2" w:rsidRDefault="00975B17" w:rsidP="000C6A67">
            <w:pPr>
              <w:spacing w:after="0" w:line="240" w:lineRule="auto"/>
              <w:rPr>
                <w:rFonts w:ascii="Arial" w:hAnsi="Arial" w:cs="Arial"/>
                <w:lang w:eastAsia="ro-RO"/>
              </w:rPr>
            </w:pPr>
            <w:r w:rsidRPr="006911B2">
              <w:rPr>
                <w:rFonts w:ascii="Arial" w:hAnsi="Arial" w:cs="Arial"/>
                <w:lang w:eastAsia="ro-RO"/>
              </w:rPr>
              <w:t> </w:t>
            </w:r>
          </w:p>
        </w:tc>
        <w:tc>
          <w:tcPr>
            <w:tcW w:w="2880" w:type="dxa"/>
            <w:gridSpan w:val="3"/>
            <w:tcBorders>
              <w:top w:val="single" w:sz="4" w:space="0" w:color="auto"/>
              <w:left w:val="nil"/>
              <w:bottom w:val="single" w:sz="4" w:space="0" w:color="auto"/>
              <w:right w:val="single" w:sz="4" w:space="0" w:color="auto"/>
            </w:tcBorders>
            <w:shd w:val="clear" w:color="auto" w:fill="66CCFF"/>
            <w:vAlign w:val="bottom"/>
            <w:hideMark/>
          </w:tcPr>
          <w:p w:rsidR="00975B17" w:rsidRPr="006911B2" w:rsidRDefault="00975B17" w:rsidP="000C6A67">
            <w:pPr>
              <w:spacing w:after="0" w:line="240" w:lineRule="auto"/>
              <w:jc w:val="center"/>
              <w:rPr>
                <w:rFonts w:ascii="Arial" w:hAnsi="Arial" w:cs="Arial"/>
                <w:lang w:eastAsia="ro-RO"/>
              </w:rPr>
            </w:pPr>
            <w:r w:rsidRPr="006911B2">
              <w:rPr>
                <w:rFonts w:ascii="Arial" w:hAnsi="Arial" w:cs="Arial"/>
                <w:lang w:eastAsia="ro-RO"/>
              </w:rPr>
              <w:t>Produsul intern brut pe locuitor</w:t>
            </w:r>
          </w:p>
        </w:tc>
        <w:tc>
          <w:tcPr>
            <w:tcW w:w="2880" w:type="dxa"/>
            <w:gridSpan w:val="3"/>
            <w:tcBorders>
              <w:top w:val="single" w:sz="4" w:space="0" w:color="auto"/>
              <w:left w:val="nil"/>
              <w:bottom w:val="single" w:sz="4" w:space="0" w:color="auto"/>
              <w:right w:val="single" w:sz="4" w:space="0" w:color="auto"/>
            </w:tcBorders>
            <w:shd w:val="clear" w:color="auto" w:fill="66CCFF"/>
            <w:vAlign w:val="bottom"/>
            <w:hideMark/>
          </w:tcPr>
          <w:p w:rsidR="00975B17" w:rsidRPr="006911B2" w:rsidRDefault="00975B17" w:rsidP="000C6A67">
            <w:pPr>
              <w:spacing w:after="0" w:line="240" w:lineRule="auto"/>
              <w:jc w:val="center"/>
              <w:rPr>
                <w:rFonts w:ascii="Arial" w:hAnsi="Arial" w:cs="Arial"/>
                <w:lang w:eastAsia="ro-RO"/>
              </w:rPr>
            </w:pPr>
            <w:r w:rsidRPr="006911B2">
              <w:rPr>
                <w:rFonts w:ascii="Arial" w:hAnsi="Arial" w:cs="Arial"/>
                <w:lang w:eastAsia="ro-RO"/>
              </w:rPr>
              <w:t>Câştigul salarial mediu net</w:t>
            </w:r>
          </w:p>
        </w:tc>
      </w:tr>
      <w:tr w:rsidR="00975B17" w:rsidRPr="006911B2" w:rsidTr="002A61B3">
        <w:trPr>
          <w:trHeight w:val="390"/>
          <w:jc w:val="center"/>
        </w:trPr>
        <w:tc>
          <w:tcPr>
            <w:tcW w:w="2700" w:type="dxa"/>
            <w:tcBorders>
              <w:top w:val="nil"/>
              <w:left w:val="single" w:sz="4" w:space="0" w:color="auto"/>
              <w:bottom w:val="single" w:sz="4" w:space="0" w:color="auto"/>
              <w:right w:val="single" w:sz="4" w:space="0" w:color="auto"/>
            </w:tcBorders>
            <w:shd w:val="clear" w:color="auto" w:fill="66CCFF"/>
            <w:vAlign w:val="bottom"/>
            <w:hideMark/>
          </w:tcPr>
          <w:p w:rsidR="00975B17" w:rsidRPr="006911B2" w:rsidRDefault="00975B17" w:rsidP="000C6A67">
            <w:pPr>
              <w:spacing w:after="0" w:line="240" w:lineRule="auto"/>
              <w:rPr>
                <w:rFonts w:ascii="Arial" w:hAnsi="Arial" w:cs="Arial"/>
                <w:lang w:eastAsia="ro-RO"/>
              </w:rPr>
            </w:pPr>
            <w:r w:rsidRPr="006911B2">
              <w:rPr>
                <w:rFonts w:ascii="Arial" w:hAnsi="Arial" w:cs="Arial"/>
                <w:lang w:eastAsia="ro-RO"/>
              </w:rPr>
              <w:t> </w:t>
            </w:r>
          </w:p>
        </w:tc>
        <w:tc>
          <w:tcPr>
            <w:tcW w:w="960" w:type="dxa"/>
            <w:tcBorders>
              <w:top w:val="nil"/>
              <w:left w:val="nil"/>
              <w:bottom w:val="single" w:sz="4" w:space="0" w:color="auto"/>
              <w:right w:val="single" w:sz="4" w:space="0" w:color="auto"/>
            </w:tcBorders>
            <w:shd w:val="clear" w:color="auto" w:fill="66CCFF"/>
            <w:vAlign w:val="bottom"/>
            <w:hideMark/>
          </w:tcPr>
          <w:p w:rsidR="00975B17" w:rsidRPr="006911B2" w:rsidRDefault="00975B17" w:rsidP="000C6A67">
            <w:pPr>
              <w:spacing w:after="0" w:line="240" w:lineRule="auto"/>
              <w:jc w:val="center"/>
              <w:rPr>
                <w:rFonts w:ascii="Arial" w:hAnsi="Arial" w:cs="Arial"/>
                <w:lang w:eastAsia="ro-RO"/>
              </w:rPr>
            </w:pPr>
            <w:r w:rsidRPr="006911B2">
              <w:rPr>
                <w:rFonts w:ascii="Arial" w:hAnsi="Arial" w:cs="Arial"/>
                <w:lang w:eastAsia="ro-RO"/>
              </w:rPr>
              <w:t>2008</w:t>
            </w:r>
          </w:p>
        </w:tc>
        <w:tc>
          <w:tcPr>
            <w:tcW w:w="960" w:type="dxa"/>
            <w:tcBorders>
              <w:top w:val="nil"/>
              <w:left w:val="nil"/>
              <w:bottom w:val="single" w:sz="4" w:space="0" w:color="auto"/>
              <w:right w:val="single" w:sz="4" w:space="0" w:color="auto"/>
            </w:tcBorders>
            <w:shd w:val="clear" w:color="auto" w:fill="66CCFF"/>
            <w:vAlign w:val="bottom"/>
            <w:hideMark/>
          </w:tcPr>
          <w:p w:rsidR="00975B17" w:rsidRPr="006911B2" w:rsidRDefault="00975B17" w:rsidP="000C6A67">
            <w:pPr>
              <w:spacing w:after="0" w:line="240" w:lineRule="auto"/>
              <w:jc w:val="center"/>
              <w:rPr>
                <w:rFonts w:ascii="Arial" w:hAnsi="Arial" w:cs="Arial"/>
                <w:lang w:eastAsia="ro-RO"/>
              </w:rPr>
            </w:pPr>
            <w:r w:rsidRPr="006911B2">
              <w:rPr>
                <w:rFonts w:ascii="Arial" w:hAnsi="Arial" w:cs="Arial"/>
                <w:lang w:eastAsia="ro-RO"/>
              </w:rPr>
              <w:t>2013</w:t>
            </w:r>
          </w:p>
        </w:tc>
        <w:tc>
          <w:tcPr>
            <w:tcW w:w="960" w:type="dxa"/>
            <w:tcBorders>
              <w:top w:val="nil"/>
              <w:left w:val="nil"/>
              <w:bottom w:val="single" w:sz="4" w:space="0" w:color="auto"/>
              <w:right w:val="single" w:sz="4" w:space="0" w:color="auto"/>
            </w:tcBorders>
            <w:shd w:val="clear" w:color="auto" w:fill="66CCFF"/>
            <w:vAlign w:val="bottom"/>
            <w:hideMark/>
          </w:tcPr>
          <w:p w:rsidR="00975B17" w:rsidRPr="006911B2" w:rsidRDefault="00975B17" w:rsidP="000C6A67">
            <w:pPr>
              <w:spacing w:after="0" w:line="240" w:lineRule="auto"/>
              <w:jc w:val="center"/>
              <w:rPr>
                <w:rFonts w:ascii="Arial" w:hAnsi="Arial" w:cs="Arial"/>
                <w:lang w:eastAsia="ro-RO"/>
              </w:rPr>
            </w:pPr>
            <w:r w:rsidRPr="006911B2">
              <w:rPr>
                <w:rFonts w:ascii="Arial" w:hAnsi="Arial" w:cs="Arial"/>
                <w:lang w:eastAsia="ro-RO"/>
              </w:rPr>
              <w:t>2019</w:t>
            </w:r>
          </w:p>
        </w:tc>
        <w:tc>
          <w:tcPr>
            <w:tcW w:w="960" w:type="dxa"/>
            <w:tcBorders>
              <w:top w:val="nil"/>
              <w:left w:val="nil"/>
              <w:bottom w:val="single" w:sz="4" w:space="0" w:color="auto"/>
              <w:right w:val="single" w:sz="4" w:space="0" w:color="auto"/>
            </w:tcBorders>
            <w:shd w:val="clear" w:color="auto" w:fill="66CCFF"/>
            <w:vAlign w:val="bottom"/>
            <w:hideMark/>
          </w:tcPr>
          <w:p w:rsidR="00975B17" w:rsidRPr="006911B2" w:rsidRDefault="00975B17" w:rsidP="000C6A67">
            <w:pPr>
              <w:spacing w:after="0" w:line="240" w:lineRule="auto"/>
              <w:jc w:val="center"/>
              <w:rPr>
                <w:rFonts w:ascii="Arial" w:hAnsi="Arial" w:cs="Arial"/>
                <w:lang w:eastAsia="ro-RO"/>
              </w:rPr>
            </w:pPr>
            <w:r w:rsidRPr="006911B2">
              <w:rPr>
                <w:rFonts w:ascii="Arial" w:hAnsi="Arial" w:cs="Arial"/>
                <w:lang w:eastAsia="ro-RO"/>
              </w:rPr>
              <w:t>2008</w:t>
            </w:r>
          </w:p>
        </w:tc>
        <w:tc>
          <w:tcPr>
            <w:tcW w:w="960" w:type="dxa"/>
            <w:tcBorders>
              <w:top w:val="nil"/>
              <w:left w:val="nil"/>
              <w:bottom w:val="single" w:sz="4" w:space="0" w:color="auto"/>
              <w:right w:val="single" w:sz="4" w:space="0" w:color="auto"/>
            </w:tcBorders>
            <w:shd w:val="clear" w:color="auto" w:fill="66CCFF"/>
            <w:vAlign w:val="bottom"/>
            <w:hideMark/>
          </w:tcPr>
          <w:p w:rsidR="00975B17" w:rsidRPr="006911B2" w:rsidRDefault="00975B17" w:rsidP="000C6A67">
            <w:pPr>
              <w:spacing w:after="0" w:line="240" w:lineRule="auto"/>
              <w:jc w:val="center"/>
              <w:rPr>
                <w:rFonts w:ascii="Arial" w:hAnsi="Arial" w:cs="Arial"/>
                <w:lang w:eastAsia="ro-RO"/>
              </w:rPr>
            </w:pPr>
            <w:r w:rsidRPr="006911B2">
              <w:rPr>
                <w:rFonts w:ascii="Arial" w:hAnsi="Arial" w:cs="Arial"/>
                <w:lang w:eastAsia="ro-RO"/>
              </w:rPr>
              <w:t>2013</w:t>
            </w:r>
          </w:p>
        </w:tc>
        <w:tc>
          <w:tcPr>
            <w:tcW w:w="960" w:type="dxa"/>
            <w:tcBorders>
              <w:top w:val="nil"/>
              <w:left w:val="nil"/>
              <w:bottom w:val="single" w:sz="4" w:space="0" w:color="auto"/>
              <w:right w:val="single" w:sz="4" w:space="0" w:color="auto"/>
            </w:tcBorders>
            <w:shd w:val="clear" w:color="auto" w:fill="66CCFF"/>
            <w:vAlign w:val="bottom"/>
            <w:hideMark/>
          </w:tcPr>
          <w:p w:rsidR="00975B17" w:rsidRPr="006911B2" w:rsidRDefault="00975B17" w:rsidP="000C6A67">
            <w:pPr>
              <w:spacing w:after="0" w:line="240" w:lineRule="auto"/>
              <w:jc w:val="center"/>
              <w:rPr>
                <w:rFonts w:ascii="Arial" w:hAnsi="Arial" w:cs="Arial"/>
                <w:lang w:eastAsia="ro-RO"/>
              </w:rPr>
            </w:pPr>
            <w:r w:rsidRPr="006911B2">
              <w:rPr>
                <w:rFonts w:ascii="Arial" w:hAnsi="Arial" w:cs="Arial"/>
                <w:lang w:eastAsia="ro-RO"/>
              </w:rPr>
              <w:t>2019</w:t>
            </w:r>
          </w:p>
        </w:tc>
      </w:tr>
      <w:tr w:rsidR="00975B17" w:rsidRPr="006911B2" w:rsidTr="00353A07">
        <w:trPr>
          <w:trHeight w:val="296"/>
          <w:jc w:val="center"/>
        </w:trPr>
        <w:tc>
          <w:tcPr>
            <w:tcW w:w="2700" w:type="dxa"/>
            <w:tcBorders>
              <w:top w:val="nil"/>
              <w:left w:val="single" w:sz="4" w:space="0" w:color="auto"/>
              <w:bottom w:val="single" w:sz="4" w:space="0" w:color="auto"/>
              <w:right w:val="single" w:sz="4" w:space="0" w:color="auto"/>
            </w:tcBorders>
            <w:shd w:val="clear" w:color="auto" w:fill="auto"/>
            <w:vAlign w:val="bottom"/>
            <w:hideMark/>
          </w:tcPr>
          <w:p w:rsidR="00975B17" w:rsidRPr="004D3518" w:rsidRDefault="00FA2CE3" w:rsidP="000C6A67">
            <w:pPr>
              <w:spacing w:after="0" w:line="240" w:lineRule="auto"/>
              <w:rPr>
                <w:rFonts w:ascii="Arial" w:hAnsi="Arial" w:cs="Arial"/>
                <w:lang w:eastAsia="ro-RO"/>
              </w:rPr>
            </w:pPr>
            <w:r>
              <w:rPr>
                <w:rFonts w:ascii="Arial" w:hAnsi="Arial" w:cs="Arial"/>
                <w:lang w:eastAsia="ro-RO"/>
              </w:rPr>
              <w:t>Nord - Est</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55,1</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60,0</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59,3</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95,7</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88,5</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88,0</w:t>
            </w:r>
          </w:p>
        </w:tc>
      </w:tr>
      <w:tr w:rsidR="00975B17" w:rsidRPr="006911B2" w:rsidTr="00353A07">
        <w:trPr>
          <w:trHeight w:val="251"/>
          <w:jc w:val="center"/>
        </w:trPr>
        <w:tc>
          <w:tcPr>
            <w:tcW w:w="2700" w:type="dxa"/>
            <w:tcBorders>
              <w:top w:val="nil"/>
              <w:left w:val="single" w:sz="4" w:space="0" w:color="auto"/>
              <w:bottom w:val="single" w:sz="4" w:space="0" w:color="auto"/>
              <w:right w:val="single" w:sz="4" w:space="0" w:color="auto"/>
            </w:tcBorders>
            <w:shd w:val="clear" w:color="auto" w:fill="auto"/>
            <w:vAlign w:val="bottom"/>
            <w:hideMark/>
          </w:tcPr>
          <w:p w:rsidR="00975B17" w:rsidRPr="004D3518" w:rsidRDefault="00FA2CE3" w:rsidP="000C6A67">
            <w:pPr>
              <w:spacing w:after="0" w:line="240" w:lineRule="auto"/>
              <w:rPr>
                <w:rFonts w:ascii="Arial" w:hAnsi="Arial" w:cs="Arial"/>
                <w:lang w:eastAsia="ro-RO"/>
              </w:rPr>
            </w:pPr>
            <w:r>
              <w:rPr>
                <w:rFonts w:ascii="Arial" w:hAnsi="Arial" w:cs="Arial"/>
                <w:lang w:eastAsia="ro-RO"/>
              </w:rPr>
              <w:t>Sud-Est</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70,9</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86,3</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86,4</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98,6</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92,6</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90,6</w:t>
            </w:r>
          </w:p>
        </w:tc>
      </w:tr>
      <w:tr w:rsidR="00975B17" w:rsidRPr="006911B2" w:rsidTr="00353A07">
        <w:trPr>
          <w:trHeight w:val="170"/>
          <w:jc w:val="center"/>
        </w:trPr>
        <w:tc>
          <w:tcPr>
            <w:tcW w:w="2700" w:type="dxa"/>
            <w:tcBorders>
              <w:top w:val="nil"/>
              <w:left w:val="single" w:sz="4" w:space="0" w:color="auto"/>
              <w:bottom w:val="single" w:sz="4" w:space="0" w:color="auto"/>
              <w:right w:val="single" w:sz="4" w:space="0" w:color="auto"/>
            </w:tcBorders>
            <w:shd w:val="clear" w:color="auto" w:fill="auto"/>
            <w:vAlign w:val="bottom"/>
            <w:hideMark/>
          </w:tcPr>
          <w:p w:rsidR="00975B17" w:rsidRPr="004D3518" w:rsidRDefault="00FA2CE3" w:rsidP="000C6A67">
            <w:pPr>
              <w:spacing w:after="0" w:line="240" w:lineRule="auto"/>
              <w:rPr>
                <w:rFonts w:ascii="Arial" w:hAnsi="Arial" w:cs="Arial"/>
                <w:lang w:eastAsia="ro-RO"/>
              </w:rPr>
            </w:pPr>
            <w:r>
              <w:rPr>
                <w:rFonts w:ascii="Arial" w:hAnsi="Arial" w:cs="Arial"/>
                <w:lang w:eastAsia="ro-RO"/>
              </w:rPr>
              <w:t>Sud Muntenia</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72,9</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75,6</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75,1</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101,1</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98,1</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98,3</w:t>
            </w:r>
          </w:p>
        </w:tc>
      </w:tr>
      <w:tr w:rsidR="00975B17" w:rsidRPr="006911B2" w:rsidTr="00353A07">
        <w:trPr>
          <w:trHeight w:val="269"/>
          <w:jc w:val="center"/>
        </w:trPr>
        <w:tc>
          <w:tcPr>
            <w:tcW w:w="2700" w:type="dxa"/>
            <w:tcBorders>
              <w:top w:val="nil"/>
              <w:left w:val="single" w:sz="4" w:space="0" w:color="auto"/>
              <w:bottom w:val="single" w:sz="4" w:space="0" w:color="auto"/>
              <w:right w:val="single" w:sz="4" w:space="0" w:color="auto"/>
            </w:tcBorders>
            <w:shd w:val="clear" w:color="auto" w:fill="auto"/>
            <w:vAlign w:val="bottom"/>
            <w:hideMark/>
          </w:tcPr>
          <w:p w:rsidR="00975B17" w:rsidRPr="004D3518" w:rsidRDefault="00C778EC" w:rsidP="000C6A67">
            <w:pPr>
              <w:spacing w:after="0" w:line="240" w:lineRule="auto"/>
              <w:rPr>
                <w:rFonts w:ascii="Arial" w:hAnsi="Arial" w:cs="Arial"/>
                <w:lang w:eastAsia="ro-RO"/>
              </w:rPr>
            </w:pPr>
            <w:r>
              <w:rPr>
                <w:rFonts w:ascii="Arial" w:hAnsi="Arial" w:cs="Arial"/>
                <w:lang w:eastAsia="ro-RO"/>
              </w:rPr>
              <w:t>Sud-Vest Oltenia</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66,6</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70,8</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72,1</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104,4</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96,0</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94,5</w:t>
            </w:r>
          </w:p>
        </w:tc>
      </w:tr>
      <w:tr w:rsidR="00975B17" w:rsidRPr="006911B2" w:rsidTr="00353A07">
        <w:trPr>
          <w:trHeight w:val="260"/>
          <w:jc w:val="center"/>
        </w:trPr>
        <w:tc>
          <w:tcPr>
            <w:tcW w:w="2700" w:type="dxa"/>
            <w:tcBorders>
              <w:top w:val="nil"/>
              <w:left w:val="single" w:sz="4" w:space="0" w:color="auto"/>
              <w:bottom w:val="single" w:sz="4" w:space="0" w:color="auto"/>
              <w:right w:val="single" w:sz="4" w:space="0" w:color="auto"/>
            </w:tcBorders>
            <w:shd w:val="clear" w:color="auto" w:fill="auto"/>
            <w:vAlign w:val="bottom"/>
            <w:hideMark/>
          </w:tcPr>
          <w:p w:rsidR="00975B17" w:rsidRPr="004D3518" w:rsidRDefault="00C778EC" w:rsidP="000C6A67">
            <w:pPr>
              <w:spacing w:after="0" w:line="240" w:lineRule="auto"/>
              <w:rPr>
                <w:rFonts w:ascii="Arial" w:hAnsi="Arial" w:cs="Arial"/>
                <w:lang w:eastAsia="ro-RO"/>
              </w:rPr>
            </w:pPr>
            <w:r>
              <w:rPr>
                <w:rFonts w:ascii="Arial" w:hAnsi="Arial" w:cs="Arial"/>
                <w:lang w:eastAsia="ro-RO"/>
              </w:rPr>
              <w:t>Nord-Vest</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80,5</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83,2</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83,6</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92,7</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89,9</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92,7</w:t>
            </w:r>
          </w:p>
        </w:tc>
      </w:tr>
      <w:tr w:rsidR="00975B17" w:rsidRPr="006911B2" w:rsidTr="00353A07">
        <w:trPr>
          <w:trHeight w:val="269"/>
          <w:jc w:val="center"/>
        </w:trPr>
        <w:tc>
          <w:tcPr>
            <w:tcW w:w="2700" w:type="dxa"/>
            <w:tcBorders>
              <w:top w:val="nil"/>
              <w:left w:val="single" w:sz="4" w:space="0" w:color="auto"/>
              <w:bottom w:val="single" w:sz="4" w:space="0" w:color="auto"/>
              <w:right w:val="single" w:sz="4" w:space="0" w:color="auto"/>
            </w:tcBorders>
            <w:shd w:val="clear" w:color="auto" w:fill="auto"/>
            <w:vAlign w:val="bottom"/>
            <w:hideMark/>
          </w:tcPr>
          <w:p w:rsidR="00975B17" w:rsidRPr="004D3518" w:rsidRDefault="00C778EC" w:rsidP="000C6A67">
            <w:pPr>
              <w:spacing w:after="0" w:line="240" w:lineRule="auto"/>
              <w:rPr>
                <w:rFonts w:ascii="Arial" w:hAnsi="Arial" w:cs="Arial"/>
                <w:lang w:eastAsia="ro-RO"/>
              </w:rPr>
            </w:pPr>
            <w:r>
              <w:rPr>
                <w:rFonts w:ascii="Arial" w:hAnsi="Arial" w:cs="Arial"/>
                <w:lang w:eastAsia="ro-RO"/>
              </w:rPr>
              <w:t>Centru</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85,2</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90,0</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90,2</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95,3</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93,4</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93,2</w:t>
            </w:r>
          </w:p>
        </w:tc>
      </w:tr>
      <w:tr w:rsidR="00975B17" w:rsidRPr="006911B2" w:rsidTr="00353A07">
        <w:trPr>
          <w:trHeight w:val="251"/>
          <w:jc w:val="center"/>
        </w:trPr>
        <w:tc>
          <w:tcPr>
            <w:tcW w:w="2700" w:type="dxa"/>
            <w:tcBorders>
              <w:top w:val="nil"/>
              <w:left w:val="single" w:sz="4" w:space="0" w:color="auto"/>
              <w:bottom w:val="single" w:sz="4" w:space="0" w:color="auto"/>
              <w:right w:val="single" w:sz="4" w:space="0" w:color="auto"/>
            </w:tcBorders>
            <w:shd w:val="clear" w:color="auto" w:fill="auto"/>
            <w:vAlign w:val="bottom"/>
            <w:hideMark/>
          </w:tcPr>
          <w:p w:rsidR="00975B17" w:rsidRPr="004D3518" w:rsidRDefault="00C778EC" w:rsidP="000C6A67">
            <w:pPr>
              <w:spacing w:after="0" w:line="240" w:lineRule="auto"/>
              <w:rPr>
                <w:rFonts w:ascii="Arial" w:hAnsi="Arial" w:cs="Arial"/>
                <w:lang w:eastAsia="ro-RO"/>
              </w:rPr>
            </w:pPr>
            <w:r>
              <w:rPr>
                <w:rFonts w:ascii="Arial" w:hAnsi="Arial" w:cs="Arial"/>
                <w:lang w:eastAsia="ro-RO"/>
              </w:rPr>
              <w:t>București-Ilfov</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229,7</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225,2</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219,3</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150,0</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151,8</w:t>
            </w:r>
          </w:p>
        </w:tc>
        <w:tc>
          <w:tcPr>
            <w:tcW w:w="960" w:type="dxa"/>
            <w:tcBorders>
              <w:top w:val="nil"/>
              <w:left w:val="nil"/>
              <w:bottom w:val="single" w:sz="4" w:space="0" w:color="auto"/>
              <w:right w:val="single" w:sz="4" w:space="0" w:color="auto"/>
            </w:tcBorders>
            <w:shd w:val="clear" w:color="auto" w:fill="auto"/>
            <w:vAlign w:val="bottom"/>
            <w:hideMark/>
          </w:tcPr>
          <w:p w:rsidR="00975B17" w:rsidRPr="004D3518" w:rsidRDefault="00975B17" w:rsidP="000C6A67">
            <w:pPr>
              <w:spacing w:after="0" w:line="240" w:lineRule="auto"/>
              <w:jc w:val="center"/>
              <w:rPr>
                <w:rFonts w:ascii="Arial" w:hAnsi="Arial" w:cs="Arial"/>
                <w:lang w:eastAsia="ro-RO"/>
              </w:rPr>
            </w:pPr>
            <w:r w:rsidRPr="004D3518">
              <w:rPr>
                <w:rFonts w:ascii="Arial" w:hAnsi="Arial" w:cs="Arial"/>
                <w:lang w:eastAsia="ro-RO"/>
              </w:rPr>
              <w:t>150,0</w:t>
            </w:r>
          </w:p>
        </w:tc>
      </w:tr>
      <w:tr w:rsidR="00975B17" w:rsidRPr="006911B2" w:rsidTr="00975B17">
        <w:trPr>
          <w:trHeight w:val="517"/>
          <w:jc w:val="center"/>
        </w:trPr>
        <w:tc>
          <w:tcPr>
            <w:tcW w:w="8460" w:type="dxa"/>
            <w:gridSpan w:val="7"/>
            <w:vMerge w:val="restart"/>
            <w:tcBorders>
              <w:top w:val="nil"/>
              <w:left w:val="nil"/>
              <w:bottom w:val="nil"/>
              <w:right w:val="nil"/>
            </w:tcBorders>
            <w:shd w:val="clear" w:color="auto" w:fill="auto"/>
            <w:vAlign w:val="bottom"/>
            <w:hideMark/>
          </w:tcPr>
          <w:p w:rsidR="00975B17" w:rsidRPr="006911B2" w:rsidRDefault="00975B17" w:rsidP="000C6A67">
            <w:pPr>
              <w:spacing w:after="0" w:line="240" w:lineRule="auto"/>
              <w:jc w:val="center"/>
              <w:rPr>
                <w:rFonts w:ascii="Arial" w:hAnsi="Arial" w:cs="Arial"/>
                <w:lang w:eastAsia="ro-RO"/>
              </w:rPr>
            </w:pPr>
            <w:r w:rsidRPr="006911B2">
              <w:rPr>
                <w:rFonts w:ascii="Arial" w:hAnsi="Arial" w:cs="Arial"/>
                <w:lang w:eastAsia="ro-RO"/>
              </w:rPr>
              <w:t>** Fiecare regiune faţă de regiunea Vest (dat fiind specificul sau, regiunea Bucureşti - Ilfov nu a fost luată ca bază), aflată pe locul doi din punct de vedere al dezvoltării</w:t>
            </w:r>
            <w:r w:rsidR="008C549F">
              <w:rPr>
                <w:rFonts w:ascii="Arial" w:hAnsi="Arial" w:cs="Arial"/>
                <w:lang w:eastAsia="ro-RO"/>
              </w:rPr>
              <w:t xml:space="preserve"> </w:t>
            </w:r>
            <w:r w:rsidRPr="006911B2">
              <w:rPr>
                <w:rFonts w:ascii="Arial" w:hAnsi="Arial" w:cs="Arial"/>
                <w:lang w:eastAsia="ro-RO"/>
              </w:rPr>
              <w:t>economice.</w:t>
            </w:r>
          </w:p>
        </w:tc>
      </w:tr>
      <w:tr w:rsidR="00975B17" w:rsidRPr="006911B2" w:rsidTr="00435DBC">
        <w:trPr>
          <w:trHeight w:val="253"/>
          <w:jc w:val="center"/>
        </w:trPr>
        <w:tc>
          <w:tcPr>
            <w:tcW w:w="8460" w:type="dxa"/>
            <w:gridSpan w:val="7"/>
            <w:vMerge/>
            <w:tcBorders>
              <w:top w:val="nil"/>
              <w:left w:val="nil"/>
              <w:bottom w:val="nil"/>
              <w:right w:val="nil"/>
            </w:tcBorders>
            <w:vAlign w:val="center"/>
            <w:hideMark/>
          </w:tcPr>
          <w:p w:rsidR="00975B17" w:rsidRPr="006911B2" w:rsidRDefault="00975B17" w:rsidP="000C6A67">
            <w:pPr>
              <w:spacing w:after="0" w:line="240" w:lineRule="auto"/>
              <w:rPr>
                <w:rFonts w:ascii="Arial" w:hAnsi="Arial" w:cs="Arial"/>
                <w:lang w:eastAsia="ro-RO"/>
              </w:rPr>
            </w:pPr>
          </w:p>
        </w:tc>
      </w:tr>
    </w:tbl>
    <w:p w:rsidR="00925AED" w:rsidRDefault="00925AED" w:rsidP="00E81EB7">
      <w:pPr>
        <w:spacing w:after="0" w:line="240" w:lineRule="auto"/>
        <w:contextualSpacing/>
        <w:rPr>
          <w:rFonts w:ascii="Arial" w:hAnsi="Arial" w:cs="Arial"/>
          <w:sz w:val="24"/>
          <w:szCs w:val="24"/>
        </w:rPr>
      </w:pPr>
    </w:p>
    <w:p w:rsidR="009153D2" w:rsidRDefault="00975B17" w:rsidP="00E81EB7">
      <w:pPr>
        <w:spacing w:after="0" w:line="240" w:lineRule="auto"/>
        <w:contextualSpacing/>
        <w:rPr>
          <w:rFonts w:ascii="Arial" w:hAnsi="Arial" w:cs="Arial"/>
          <w:sz w:val="24"/>
          <w:szCs w:val="24"/>
        </w:rPr>
      </w:pPr>
      <w:r w:rsidRPr="00435DBC">
        <w:rPr>
          <w:rFonts w:ascii="Arial" w:hAnsi="Arial" w:cs="Arial"/>
          <w:sz w:val="24"/>
          <w:szCs w:val="24"/>
        </w:rPr>
        <w:t xml:space="preserve">Evoluţia principalilor indicatori economico – sociali în Regiunea Vest este prezentată sintetic în tabelul de mai jos: </w:t>
      </w:r>
    </w:p>
    <w:p w:rsidR="00925AED" w:rsidRDefault="00435DBC" w:rsidP="000C6A67">
      <w:pPr>
        <w:spacing w:after="0" w:line="240" w:lineRule="auto"/>
        <w:ind w:firstLine="720"/>
        <w:contextualSpacing/>
        <w:jc w:val="right"/>
        <w:rPr>
          <w:rFonts w:ascii="Arial" w:hAnsi="Arial" w:cs="Arial"/>
          <w:sz w:val="24"/>
          <w:szCs w:val="24"/>
        </w:rPr>
      </w:pPr>
      <w:r>
        <w:rPr>
          <w:rFonts w:ascii="Arial" w:hAnsi="Arial" w:cs="Arial"/>
          <w:sz w:val="24"/>
          <w:szCs w:val="24"/>
        </w:rPr>
        <w:lastRenderedPageBreak/>
        <w:t xml:space="preserve"> </w:t>
      </w:r>
    </w:p>
    <w:p w:rsidR="00975B17" w:rsidRPr="00435DBC" w:rsidRDefault="00435DBC" w:rsidP="000C6A67">
      <w:pPr>
        <w:spacing w:after="0" w:line="240" w:lineRule="auto"/>
        <w:ind w:firstLine="720"/>
        <w:contextualSpacing/>
        <w:jc w:val="right"/>
        <w:rPr>
          <w:rFonts w:ascii="Arial" w:hAnsi="Arial" w:cs="Arial"/>
        </w:rPr>
      </w:pPr>
      <w:r w:rsidRPr="00435DBC">
        <w:rPr>
          <w:rFonts w:ascii="Arial" w:hAnsi="Arial" w:cs="Arial"/>
        </w:rPr>
        <w:t>Tabel nr.</w:t>
      </w:r>
      <w:r w:rsidR="006F004E">
        <w:rPr>
          <w:rFonts w:ascii="Arial" w:hAnsi="Arial" w:cs="Arial"/>
        </w:rPr>
        <w:t>9</w:t>
      </w:r>
      <w:r w:rsidRPr="00435DBC">
        <w:rPr>
          <w:rFonts w:ascii="Arial" w:hAnsi="Arial" w:cs="Arial"/>
        </w:rPr>
        <w:t>. Evoluţia pr</w:t>
      </w:r>
      <w:r w:rsidR="009153D2">
        <w:rPr>
          <w:rFonts w:ascii="Arial" w:hAnsi="Arial" w:cs="Arial"/>
        </w:rPr>
        <w:t xml:space="preserve">incipalilor indicatori </w:t>
      </w:r>
      <w:r w:rsidRPr="00435DBC">
        <w:rPr>
          <w:rFonts w:ascii="Arial" w:hAnsi="Arial" w:cs="Arial"/>
        </w:rPr>
        <w:t>(în  modificări procentuale)</w:t>
      </w:r>
    </w:p>
    <w:tbl>
      <w:tblPr>
        <w:tblW w:w="9308"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0"/>
        <w:gridCol w:w="1011"/>
        <w:gridCol w:w="960"/>
        <w:gridCol w:w="1011"/>
        <w:gridCol w:w="1366"/>
        <w:gridCol w:w="960"/>
      </w:tblGrid>
      <w:tr w:rsidR="00975B17" w:rsidRPr="006E53D2" w:rsidTr="002A61B3">
        <w:trPr>
          <w:trHeight w:val="645"/>
        </w:trPr>
        <w:tc>
          <w:tcPr>
            <w:tcW w:w="4000" w:type="dxa"/>
            <w:shd w:val="clear" w:color="auto" w:fill="66CCFF"/>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 </w:t>
            </w:r>
          </w:p>
        </w:tc>
        <w:tc>
          <w:tcPr>
            <w:tcW w:w="1011" w:type="dxa"/>
            <w:shd w:val="clear" w:color="auto" w:fill="66CCFF"/>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Total regiune</w:t>
            </w:r>
          </w:p>
        </w:tc>
        <w:tc>
          <w:tcPr>
            <w:tcW w:w="960" w:type="dxa"/>
            <w:shd w:val="clear" w:color="auto" w:fill="66CCFF"/>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Arad</w:t>
            </w:r>
          </w:p>
        </w:tc>
        <w:tc>
          <w:tcPr>
            <w:tcW w:w="1011" w:type="dxa"/>
            <w:shd w:val="clear" w:color="auto" w:fill="66CCFF"/>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Caraş Severin</w:t>
            </w:r>
          </w:p>
        </w:tc>
        <w:tc>
          <w:tcPr>
            <w:tcW w:w="1366" w:type="dxa"/>
            <w:shd w:val="clear" w:color="auto" w:fill="66CCFF"/>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Hunedoara</w:t>
            </w:r>
          </w:p>
        </w:tc>
        <w:tc>
          <w:tcPr>
            <w:tcW w:w="960" w:type="dxa"/>
            <w:shd w:val="clear" w:color="auto" w:fill="66CCFF"/>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Timiş</w:t>
            </w:r>
          </w:p>
        </w:tc>
      </w:tr>
      <w:tr w:rsidR="00975B17" w:rsidRPr="006E53D2" w:rsidTr="006911B2">
        <w:trPr>
          <w:trHeight w:val="330"/>
        </w:trPr>
        <w:tc>
          <w:tcPr>
            <w:tcW w:w="4000"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2014</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Creşterea reală a PIB</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3,3</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6,5</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2,2</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2,9</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2,2</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PIB/Locuitor (euro)</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7883</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7824</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5495</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6053</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9978</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Numărul mediu de salariaţi</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2,1</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2,0</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1,6</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0,5</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3,1</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Rata şomajului înregistrat - %</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3,4</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2,8</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4,5</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6,6</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1,6</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Câştigul salarial mediu net lunar – lei/salariat</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1601</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1492</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1326</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1393</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1836</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Câştigul salarial mediu net lunar</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7,3</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6,4</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8,1</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6,3</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7,7</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2015</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Creşterea reală a PIB</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4,0</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3,7</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4,9</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3,1</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4,3</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PIB/Locuitor (euro)</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8470</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8386</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5989</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6496</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10672</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Numărul mediu de salariaţi</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3,1</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2,9</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3,6</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2,7</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3,3</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Rata şomajului înregistrat - %</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3,0</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2,3</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4,2</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6,0</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1,3</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Câştigul salarial mediu net lunar – lei/salariat</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1741</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1622</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1432</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1507</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2002</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Câştigul salarial mediu net lunar</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8,7</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8,7</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8,0</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8,2</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9,1</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2016</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Creşterea reală a PIB</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4,2</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4,4</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4,0</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4,2</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4,1</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PIB/Locuitor (euro)</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8977</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8905</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6377</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6927</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11237</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Numărul mediu de salariaţi</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3,2</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3,0</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3,7</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2,7</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3,4</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Rata şomajului înregistrat - %</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3,2</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2,4</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4,5</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6,2</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1,4</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Câştigul salarial mediu net lunar – lei/salariat</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1899</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1769</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1553</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1637</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2188</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Câştigul salarial mediu net lunar</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9,1</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9,0</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8,5</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8,7</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9,3</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2017</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Creşterea reală a PIB</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4,2</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4,2</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4,0</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4,1</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4,3</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PIB/Locuitor (euro)</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9613</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9537</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6852</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7460</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11972</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Numărul mediu de salariaţi</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3,3</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3,3</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3,6</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2,8</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3,5</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Rata şomajului înregistrat - %</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2,8</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2,1</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4,1</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6,0</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1,3</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Câştigul salarial mediu net lunar (lei/salariat)</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2003</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1868</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1632</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1719</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2312</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Câştigul salarial mediu net lunar</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5,5</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5,6</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5,1</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5,0</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5,7</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2018</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Creşterea reală a PIB</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4,5</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4,5</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4,2</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4,4</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4,5</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PIB/Locuitor (euro)</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10335</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10261</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7397</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8064</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12799</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Numărul mediu de salariaţi</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3,2</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3,2</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3,6</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2,7</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3,4</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Rata şomajului înregistrat - %</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2,6</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2,0</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4,0</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5,8</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1,2</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Câştigul salarial mediu net lunar (lei/salariat)</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2110</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1970</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1714</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1809</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2435</w:t>
            </w:r>
          </w:p>
        </w:tc>
      </w:tr>
      <w:tr w:rsidR="00975B17" w:rsidRPr="006E53D2" w:rsidTr="006911B2">
        <w:trPr>
          <w:trHeight w:val="315"/>
        </w:trPr>
        <w:tc>
          <w:tcPr>
            <w:tcW w:w="4000" w:type="dxa"/>
            <w:shd w:val="clear" w:color="auto" w:fill="auto"/>
            <w:noWrap/>
            <w:vAlign w:val="bottom"/>
            <w:hideMark/>
          </w:tcPr>
          <w:p w:rsidR="00975B17" w:rsidRPr="006E53D2" w:rsidRDefault="00975B17" w:rsidP="000C6A67">
            <w:pPr>
              <w:spacing w:after="0" w:line="240" w:lineRule="auto"/>
              <w:rPr>
                <w:rFonts w:ascii="Arial" w:hAnsi="Arial" w:cs="Arial"/>
                <w:lang w:eastAsia="ro-RO"/>
              </w:rPr>
            </w:pPr>
            <w:r w:rsidRPr="006E53D2">
              <w:rPr>
                <w:rFonts w:ascii="Arial" w:hAnsi="Arial" w:cs="Arial"/>
                <w:lang w:eastAsia="ro-RO"/>
              </w:rPr>
              <w:t>Câştigul salarial mediu net lunar</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b/>
                <w:bCs/>
                <w:lang w:eastAsia="ro-RO"/>
              </w:rPr>
            </w:pPr>
            <w:r w:rsidRPr="006E53D2">
              <w:rPr>
                <w:rFonts w:ascii="Arial" w:hAnsi="Arial" w:cs="Arial"/>
                <w:b/>
                <w:bCs/>
                <w:lang w:eastAsia="ro-RO"/>
              </w:rPr>
              <w:t>5,3</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5,4</w:t>
            </w:r>
          </w:p>
        </w:tc>
        <w:tc>
          <w:tcPr>
            <w:tcW w:w="1011"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5,0</w:t>
            </w:r>
          </w:p>
        </w:tc>
        <w:tc>
          <w:tcPr>
            <w:tcW w:w="1366"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5,2</w:t>
            </w:r>
          </w:p>
        </w:tc>
        <w:tc>
          <w:tcPr>
            <w:tcW w:w="960" w:type="dxa"/>
            <w:shd w:val="clear" w:color="auto" w:fill="auto"/>
            <w:noWrap/>
            <w:vAlign w:val="bottom"/>
            <w:hideMark/>
          </w:tcPr>
          <w:p w:rsidR="00975B17" w:rsidRPr="006E53D2" w:rsidRDefault="00975B17" w:rsidP="000C6A67">
            <w:pPr>
              <w:spacing w:after="0" w:line="240" w:lineRule="auto"/>
              <w:jc w:val="center"/>
              <w:rPr>
                <w:rFonts w:ascii="Arial" w:hAnsi="Arial" w:cs="Arial"/>
                <w:lang w:eastAsia="ro-RO"/>
              </w:rPr>
            </w:pPr>
            <w:r w:rsidRPr="006E53D2">
              <w:rPr>
                <w:rFonts w:ascii="Arial" w:hAnsi="Arial" w:cs="Arial"/>
                <w:lang w:eastAsia="ro-RO"/>
              </w:rPr>
              <w:t>5,3</w:t>
            </w:r>
          </w:p>
        </w:tc>
      </w:tr>
    </w:tbl>
    <w:p w:rsidR="00B268A2" w:rsidRDefault="00B268A2" w:rsidP="000C6A67">
      <w:pPr>
        <w:spacing w:after="0" w:line="240" w:lineRule="auto"/>
        <w:jc w:val="both"/>
        <w:rPr>
          <w:rFonts w:ascii="Arial" w:hAnsi="Arial" w:cs="Arial"/>
          <w:color w:val="000000" w:themeColor="text1"/>
          <w:sz w:val="24"/>
          <w:szCs w:val="24"/>
        </w:rPr>
      </w:pPr>
    </w:p>
    <w:p w:rsidR="007F577B" w:rsidRPr="00DD5F85" w:rsidRDefault="007F577B" w:rsidP="000C6A67">
      <w:pPr>
        <w:spacing w:after="0" w:line="240" w:lineRule="auto"/>
        <w:jc w:val="both"/>
        <w:rPr>
          <w:rFonts w:ascii="Arial" w:hAnsi="Arial" w:cs="Arial"/>
          <w:color w:val="000000" w:themeColor="text1"/>
          <w:sz w:val="24"/>
          <w:szCs w:val="24"/>
        </w:rPr>
      </w:pPr>
    </w:p>
    <w:p w:rsidR="00544316" w:rsidRDefault="00544316" w:rsidP="000C6A67">
      <w:pPr>
        <w:pStyle w:val="Heading2"/>
        <w:spacing w:before="0" w:line="240" w:lineRule="auto"/>
        <w:jc w:val="both"/>
        <w:rPr>
          <w:rFonts w:ascii="Arial" w:hAnsi="Arial" w:cs="Arial"/>
          <w:i/>
          <w:color w:val="000000" w:themeColor="text1"/>
          <w:sz w:val="24"/>
          <w:szCs w:val="24"/>
        </w:rPr>
      </w:pPr>
      <w:bookmarkStart w:id="44" w:name="_Toc465489989"/>
      <w:bookmarkStart w:id="45" w:name="_Toc488066028"/>
    </w:p>
    <w:p w:rsidR="00F2266B" w:rsidRPr="00BE574E" w:rsidRDefault="001A346C" w:rsidP="000C6A67">
      <w:pPr>
        <w:pStyle w:val="Heading2"/>
        <w:spacing w:before="0" w:line="240" w:lineRule="auto"/>
        <w:jc w:val="both"/>
        <w:rPr>
          <w:rFonts w:ascii="Arial" w:hAnsi="Arial" w:cs="Arial"/>
          <w:i/>
          <w:color w:val="000000" w:themeColor="text1"/>
          <w:sz w:val="24"/>
          <w:szCs w:val="24"/>
        </w:rPr>
      </w:pPr>
      <w:r w:rsidRPr="00BE574E">
        <w:rPr>
          <w:rFonts w:ascii="Arial" w:hAnsi="Arial" w:cs="Arial"/>
          <w:i/>
          <w:color w:val="000000" w:themeColor="text1"/>
          <w:sz w:val="24"/>
          <w:szCs w:val="24"/>
        </w:rPr>
        <w:t>4</w:t>
      </w:r>
      <w:r w:rsidR="00F2266B" w:rsidRPr="00BE574E">
        <w:rPr>
          <w:rFonts w:ascii="Arial" w:hAnsi="Arial" w:cs="Arial"/>
          <w:i/>
          <w:color w:val="000000" w:themeColor="text1"/>
          <w:sz w:val="24"/>
          <w:szCs w:val="24"/>
        </w:rPr>
        <w:t>.3. Alte informaţii şi informaţii parţiale</w:t>
      </w:r>
      <w:bookmarkEnd w:id="44"/>
      <w:bookmarkEnd w:id="45"/>
    </w:p>
    <w:p w:rsidR="00224325" w:rsidRPr="00BE574E" w:rsidRDefault="00224325" w:rsidP="000C6A67">
      <w:pPr>
        <w:spacing w:after="0" w:line="240" w:lineRule="auto"/>
        <w:jc w:val="both"/>
        <w:rPr>
          <w:rFonts w:ascii="Arial" w:hAnsi="Arial" w:cs="Arial"/>
          <w:i/>
          <w:color w:val="000000" w:themeColor="text1"/>
          <w:sz w:val="24"/>
          <w:szCs w:val="24"/>
        </w:rPr>
      </w:pPr>
    </w:p>
    <w:p w:rsidR="005B3B58" w:rsidRPr="00BE574E" w:rsidRDefault="001A346C" w:rsidP="00503C1A">
      <w:pPr>
        <w:pStyle w:val="Heading3"/>
        <w:spacing w:before="0" w:line="240" w:lineRule="auto"/>
        <w:jc w:val="both"/>
        <w:rPr>
          <w:rFonts w:ascii="Arial" w:hAnsi="Arial" w:cs="Arial"/>
          <w:b w:val="0"/>
          <w:i/>
          <w:color w:val="auto"/>
          <w:sz w:val="24"/>
          <w:szCs w:val="24"/>
        </w:rPr>
      </w:pPr>
      <w:bookmarkStart w:id="46" w:name="_Toc465489990"/>
      <w:bookmarkStart w:id="47" w:name="_Toc488066029"/>
      <w:r w:rsidRPr="00BE574E">
        <w:rPr>
          <w:rFonts w:ascii="Arial" w:hAnsi="Arial" w:cs="Arial"/>
          <w:b w:val="0"/>
          <w:i/>
          <w:color w:val="auto"/>
          <w:sz w:val="24"/>
          <w:szCs w:val="24"/>
        </w:rPr>
        <w:t>4</w:t>
      </w:r>
      <w:r w:rsidR="00F2266B" w:rsidRPr="00BE574E">
        <w:rPr>
          <w:rFonts w:ascii="Arial" w:hAnsi="Arial" w:cs="Arial"/>
          <w:b w:val="0"/>
          <w:i/>
          <w:color w:val="auto"/>
          <w:sz w:val="24"/>
          <w:szCs w:val="24"/>
        </w:rPr>
        <w:t>.3.1.</w:t>
      </w:r>
      <w:r w:rsidRPr="00BE574E">
        <w:rPr>
          <w:rFonts w:ascii="Arial" w:hAnsi="Arial" w:cs="Arial"/>
          <w:b w:val="0"/>
          <w:i/>
          <w:color w:val="auto"/>
          <w:sz w:val="24"/>
          <w:szCs w:val="24"/>
        </w:rPr>
        <w:t xml:space="preserve"> </w:t>
      </w:r>
      <w:r w:rsidR="00F2266B" w:rsidRPr="00BE574E">
        <w:rPr>
          <w:rFonts w:ascii="Arial" w:hAnsi="Arial" w:cs="Arial"/>
          <w:b w:val="0"/>
          <w:i/>
          <w:color w:val="auto"/>
          <w:sz w:val="24"/>
          <w:szCs w:val="24"/>
        </w:rPr>
        <w:t>Cercetarea – dezvoltare</w:t>
      </w:r>
      <w:bookmarkStart w:id="48" w:name="_Toc465489991"/>
      <w:bookmarkEnd w:id="46"/>
      <w:bookmarkEnd w:id="47"/>
      <w:r w:rsidR="005B3B58" w:rsidRPr="00BE574E">
        <w:rPr>
          <w:rFonts w:ascii="TimesNewRomanPSMT" w:eastAsia="TimesNewRomanPSMT" w:cs="TimesNewRomanPSMT"/>
          <w:i/>
          <w:color w:val="auto"/>
          <w:sz w:val="23"/>
          <w:szCs w:val="23"/>
          <w:lang w:val="en-US"/>
        </w:rPr>
        <w:t>(</w:t>
      </w:r>
      <w:r w:rsidR="008B2808" w:rsidRPr="00BE574E">
        <w:rPr>
          <w:rFonts w:ascii="Arial" w:eastAsia="TimesNewRomanPSMT" w:hAnsi="Arial" w:cs="Arial"/>
          <w:b w:val="0"/>
          <w:i/>
          <w:color w:val="auto"/>
          <w:sz w:val="24"/>
          <w:szCs w:val="24"/>
          <w:lang w:val="en-US"/>
        </w:rPr>
        <w:t>informa</w:t>
      </w:r>
      <w:r w:rsidR="008B2808" w:rsidRPr="00BE574E">
        <w:rPr>
          <w:rFonts w:ascii="Arial" w:eastAsia="TimesNewRomanPSMT" w:hAnsi="Arial" w:cs="Arial"/>
          <w:b w:val="0"/>
          <w:i/>
          <w:color w:val="auto"/>
          <w:sz w:val="24"/>
          <w:szCs w:val="24"/>
        </w:rPr>
        <w:t>ții preluate din</w:t>
      </w:r>
      <w:r w:rsidR="008B2808" w:rsidRPr="00BE574E">
        <w:rPr>
          <w:rFonts w:ascii="Arial" w:eastAsia="TimesNewRomanPSMT" w:hAnsi="Arial" w:cs="Arial"/>
          <w:i/>
          <w:color w:val="auto"/>
          <w:sz w:val="24"/>
          <w:szCs w:val="24"/>
        </w:rPr>
        <w:t xml:space="preserve"> </w:t>
      </w:r>
      <w:r w:rsidR="00C440BD" w:rsidRPr="00BE574E">
        <w:rPr>
          <w:rFonts w:ascii="Arial" w:eastAsia="TimesNewRomanPSMT" w:hAnsi="Arial" w:cs="Arial"/>
          <w:b w:val="0"/>
          <w:i/>
          <w:iCs/>
          <w:color w:val="auto"/>
          <w:sz w:val="24"/>
          <w:szCs w:val="24"/>
          <w:lang w:val="en-US"/>
        </w:rPr>
        <w:t xml:space="preserve">PDR Regiunea Vest </w:t>
      </w:r>
      <w:r w:rsidR="005B3B58" w:rsidRPr="00BE574E">
        <w:rPr>
          <w:rFonts w:ascii="Arial" w:eastAsia="TimesNewRomanPSMT" w:hAnsi="Arial" w:cs="Arial"/>
          <w:b w:val="0"/>
          <w:i/>
          <w:iCs/>
          <w:color w:val="auto"/>
          <w:sz w:val="24"/>
          <w:szCs w:val="24"/>
          <w:lang w:val="en-US"/>
        </w:rPr>
        <w:t xml:space="preserve">2014-2020, pag. </w:t>
      </w:r>
      <w:r w:rsidR="00C440BD" w:rsidRPr="00BE574E">
        <w:rPr>
          <w:rFonts w:ascii="Arial" w:eastAsia="TimesNewRomanPSMT" w:hAnsi="Arial" w:cs="Arial"/>
          <w:b w:val="0"/>
          <w:i/>
          <w:iCs/>
          <w:color w:val="auto"/>
          <w:sz w:val="24"/>
          <w:szCs w:val="24"/>
          <w:lang w:val="en-US"/>
        </w:rPr>
        <w:t>81- 94</w:t>
      </w:r>
      <w:r w:rsidR="005B3B58" w:rsidRPr="00BE574E">
        <w:rPr>
          <w:rFonts w:ascii="Arial" w:eastAsia="TimesNewRomanPSMT" w:hAnsi="Arial" w:cs="Arial"/>
          <w:b w:val="0"/>
          <w:i/>
          <w:iCs/>
          <w:color w:val="auto"/>
          <w:sz w:val="24"/>
          <w:szCs w:val="24"/>
          <w:lang w:val="en-US"/>
        </w:rPr>
        <w:t>)</w:t>
      </w:r>
    </w:p>
    <w:p w:rsidR="0081136A" w:rsidRDefault="0081136A" w:rsidP="00503C1A">
      <w:pPr>
        <w:pStyle w:val="Heading3"/>
        <w:spacing w:before="0" w:line="240" w:lineRule="auto"/>
        <w:jc w:val="both"/>
        <w:rPr>
          <w:rFonts w:ascii="Arial" w:hAnsi="Arial" w:cs="Arial"/>
          <w:b w:val="0"/>
          <w:color w:val="auto"/>
          <w:sz w:val="24"/>
          <w:szCs w:val="24"/>
        </w:rPr>
      </w:pPr>
    </w:p>
    <w:p w:rsidR="005B3B58" w:rsidRDefault="005B3B58" w:rsidP="00FA2298">
      <w:pPr>
        <w:pStyle w:val="Heading3"/>
        <w:spacing w:before="0" w:line="240" w:lineRule="auto"/>
        <w:ind w:left="-90"/>
        <w:jc w:val="both"/>
        <w:rPr>
          <w:rFonts w:ascii="Arial" w:hAnsi="Arial" w:cs="Arial"/>
          <w:b w:val="0"/>
          <w:color w:val="auto"/>
          <w:sz w:val="24"/>
          <w:szCs w:val="24"/>
        </w:rPr>
      </w:pPr>
      <w:r w:rsidRPr="005B3B58">
        <w:rPr>
          <w:rFonts w:ascii="Arial" w:hAnsi="Arial" w:cs="Arial"/>
          <w:b w:val="0"/>
          <w:color w:val="auto"/>
          <w:sz w:val="24"/>
          <w:szCs w:val="24"/>
        </w:rPr>
        <w:t>Activitatea de cercetare-dezvoltare-inovare cuprinde munca creativă întreprinsă pentru a creşte stocul de cunoştinţe şi pentru a concepe noi aplicaţii. Comisia Europeană a pus un accent puternic pe conversia expertizei ştiinţifice a Europei în produse şi servicii vandabile.</w:t>
      </w:r>
    </w:p>
    <w:p w:rsidR="005B3B58" w:rsidRPr="008B2808" w:rsidRDefault="005B3B58" w:rsidP="00FA2298">
      <w:pPr>
        <w:pStyle w:val="Heading3"/>
        <w:spacing w:before="0" w:line="240" w:lineRule="auto"/>
        <w:ind w:left="-90"/>
        <w:jc w:val="both"/>
        <w:rPr>
          <w:rFonts w:ascii="Arial" w:hAnsi="Arial" w:cs="Arial"/>
          <w:b w:val="0"/>
          <w:i/>
          <w:color w:val="auto"/>
          <w:sz w:val="24"/>
          <w:szCs w:val="24"/>
        </w:rPr>
      </w:pPr>
      <w:r w:rsidRPr="005B3B58">
        <w:rPr>
          <w:rFonts w:ascii="Arial" w:hAnsi="Arial" w:cs="Arial"/>
          <w:b w:val="0"/>
          <w:i/>
          <w:color w:val="auto"/>
          <w:sz w:val="24"/>
          <w:szCs w:val="24"/>
        </w:rPr>
        <w:t xml:space="preserve">Educaţia superioară </w:t>
      </w:r>
      <w:r w:rsidRPr="005B3B58">
        <w:rPr>
          <w:rFonts w:ascii="Arial" w:hAnsi="Arial" w:cs="Arial"/>
          <w:b w:val="0"/>
          <w:color w:val="auto"/>
          <w:sz w:val="24"/>
          <w:szCs w:val="24"/>
        </w:rPr>
        <w:t>este puternic dezvoltată în Regiunea Vest, fiind în 2011 a patra regiune</w:t>
      </w:r>
      <w:r w:rsidRPr="005B3B58">
        <w:rPr>
          <w:rFonts w:ascii="Arial" w:hAnsi="Arial" w:cs="Arial"/>
          <w:b w:val="0"/>
          <w:color w:val="auto"/>
          <w:spacing w:val="-12"/>
          <w:sz w:val="24"/>
          <w:szCs w:val="24"/>
        </w:rPr>
        <w:t xml:space="preserve"> </w:t>
      </w:r>
      <w:r w:rsidRPr="005B3B58">
        <w:rPr>
          <w:rFonts w:ascii="Arial" w:hAnsi="Arial" w:cs="Arial"/>
          <w:b w:val="0"/>
          <w:color w:val="auto"/>
          <w:sz w:val="24"/>
          <w:szCs w:val="24"/>
        </w:rPr>
        <w:t>din</w:t>
      </w:r>
      <w:r w:rsidRPr="005B3B58">
        <w:rPr>
          <w:rFonts w:ascii="Arial" w:hAnsi="Arial" w:cs="Arial"/>
          <w:b w:val="0"/>
          <w:color w:val="auto"/>
          <w:spacing w:val="-11"/>
          <w:sz w:val="24"/>
          <w:szCs w:val="24"/>
        </w:rPr>
        <w:t xml:space="preserve"> </w:t>
      </w:r>
      <w:r w:rsidRPr="005B3B58">
        <w:rPr>
          <w:rFonts w:ascii="Arial" w:hAnsi="Arial" w:cs="Arial"/>
          <w:b w:val="0"/>
          <w:color w:val="auto"/>
          <w:sz w:val="24"/>
          <w:szCs w:val="24"/>
        </w:rPr>
        <w:t>ţară</w:t>
      </w:r>
      <w:r w:rsidRPr="005B3B58">
        <w:rPr>
          <w:rFonts w:ascii="Arial" w:hAnsi="Arial" w:cs="Arial"/>
          <w:b w:val="0"/>
          <w:color w:val="auto"/>
          <w:spacing w:val="-11"/>
          <w:sz w:val="24"/>
          <w:szCs w:val="24"/>
        </w:rPr>
        <w:t xml:space="preserve"> </w:t>
      </w:r>
      <w:r w:rsidRPr="005B3B58">
        <w:rPr>
          <w:rFonts w:ascii="Arial" w:hAnsi="Arial" w:cs="Arial"/>
          <w:b w:val="0"/>
          <w:color w:val="auto"/>
          <w:sz w:val="24"/>
          <w:szCs w:val="24"/>
        </w:rPr>
        <w:t>cu</w:t>
      </w:r>
      <w:r w:rsidRPr="005B3B58">
        <w:rPr>
          <w:rFonts w:ascii="Arial" w:hAnsi="Arial" w:cs="Arial"/>
          <w:b w:val="0"/>
          <w:color w:val="auto"/>
          <w:spacing w:val="-8"/>
          <w:sz w:val="24"/>
          <w:szCs w:val="24"/>
        </w:rPr>
        <w:t xml:space="preserve"> </w:t>
      </w:r>
      <w:r w:rsidRPr="005B3B58">
        <w:rPr>
          <w:rFonts w:ascii="Arial" w:hAnsi="Arial" w:cs="Arial"/>
          <w:b w:val="0"/>
          <w:color w:val="auto"/>
          <w:sz w:val="24"/>
          <w:szCs w:val="24"/>
        </w:rPr>
        <w:t>14</w:t>
      </w:r>
      <w:r w:rsidRPr="005B3B58">
        <w:rPr>
          <w:rFonts w:ascii="Arial" w:hAnsi="Arial" w:cs="Arial"/>
          <w:b w:val="0"/>
          <w:color w:val="auto"/>
          <w:spacing w:val="-8"/>
          <w:sz w:val="24"/>
          <w:szCs w:val="24"/>
        </w:rPr>
        <w:t xml:space="preserve"> </w:t>
      </w:r>
      <w:r w:rsidRPr="005B3B58">
        <w:rPr>
          <w:rFonts w:ascii="Arial" w:hAnsi="Arial" w:cs="Arial"/>
          <w:b w:val="0"/>
          <w:color w:val="auto"/>
          <w:sz w:val="24"/>
          <w:szCs w:val="24"/>
        </w:rPr>
        <w:t>unităţi</w:t>
      </w:r>
      <w:r w:rsidRPr="005B3B58">
        <w:rPr>
          <w:rFonts w:ascii="Arial" w:hAnsi="Arial" w:cs="Arial"/>
          <w:b w:val="0"/>
          <w:color w:val="auto"/>
          <w:spacing w:val="-11"/>
          <w:sz w:val="24"/>
          <w:szCs w:val="24"/>
        </w:rPr>
        <w:t xml:space="preserve"> </w:t>
      </w:r>
      <w:r w:rsidRPr="005B3B58">
        <w:rPr>
          <w:rFonts w:ascii="Arial" w:hAnsi="Arial" w:cs="Arial"/>
          <w:b w:val="0"/>
          <w:color w:val="auto"/>
          <w:sz w:val="24"/>
          <w:szCs w:val="24"/>
        </w:rPr>
        <w:t>de</w:t>
      </w:r>
      <w:r w:rsidRPr="005B3B58">
        <w:rPr>
          <w:rFonts w:ascii="Arial" w:hAnsi="Arial" w:cs="Arial"/>
          <w:b w:val="0"/>
          <w:color w:val="auto"/>
          <w:spacing w:val="-12"/>
          <w:sz w:val="24"/>
          <w:szCs w:val="24"/>
        </w:rPr>
        <w:t xml:space="preserve"> </w:t>
      </w:r>
      <w:r w:rsidRPr="005B3B58">
        <w:rPr>
          <w:rFonts w:ascii="Arial" w:hAnsi="Arial" w:cs="Arial"/>
          <w:b w:val="0"/>
          <w:color w:val="auto"/>
          <w:sz w:val="24"/>
          <w:szCs w:val="24"/>
        </w:rPr>
        <w:t>educaţie</w:t>
      </w:r>
      <w:r w:rsidRPr="005B3B58">
        <w:rPr>
          <w:rFonts w:ascii="Arial" w:hAnsi="Arial" w:cs="Arial"/>
          <w:b w:val="0"/>
          <w:color w:val="auto"/>
          <w:spacing w:val="-8"/>
          <w:sz w:val="24"/>
          <w:szCs w:val="24"/>
        </w:rPr>
        <w:t xml:space="preserve"> </w:t>
      </w:r>
      <w:r w:rsidRPr="005B3B58">
        <w:rPr>
          <w:rFonts w:ascii="Arial" w:hAnsi="Arial" w:cs="Arial"/>
          <w:b w:val="0"/>
          <w:color w:val="auto"/>
          <w:sz w:val="24"/>
          <w:szCs w:val="24"/>
        </w:rPr>
        <w:t>superioară,</w:t>
      </w:r>
      <w:r w:rsidRPr="005B3B58">
        <w:rPr>
          <w:rFonts w:ascii="Arial" w:hAnsi="Arial" w:cs="Arial"/>
          <w:b w:val="0"/>
          <w:color w:val="auto"/>
          <w:spacing w:val="-10"/>
          <w:sz w:val="24"/>
          <w:szCs w:val="24"/>
        </w:rPr>
        <w:t xml:space="preserve"> </w:t>
      </w:r>
      <w:r w:rsidRPr="005B3B58">
        <w:rPr>
          <w:rFonts w:ascii="Arial" w:hAnsi="Arial" w:cs="Arial"/>
          <w:b w:val="0"/>
          <w:color w:val="auto"/>
          <w:sz w:val="24"/>
          <w:szCs w:val="24"/>
        </w:rPr>
        <w:t>după</w:t>
      </w:r>
      <w:r w:rsidRPr="005B3B58">
        <w:rPr>
          <w:rFonts w:ascii="Arial" w:hAnsi="Arial" w:cs="Arial"/>
          <w:b w:val="0"/>
          <w:color w:val="auto"/>
          <w:spacing w:val="-11"/>
          <w:sz w:val="24"/>
          <w:szCs w:val="24"/>
        </w:rPr>
        <w:t xml:space="preserve"> </w:t>
      </w:r>
      <w:r w:rsidRPr="005B3B58">
        <w:rPr>
          <w:rFonts w:ascii="Arial" w:hAnsi="Arial" w:cs="Arial"/>
          <w:b w:val="0"/>
          <w:color w:val="auto"/>
          <w:sz w:val="24"/>
          <w:szCs w:val="24"/>
        </w:rPr>
        <w:t>Bucureşti-Ilfov</w:t>
      </w:r>
      <w:r w:rsidRPr="005B3B58">
        <w:rPr>
          <w:rFonts w:ascii="Arial" w:hAnsi="Arial" w:cs="Arial"/>
          <w:b w:val="0"/>
          <w:color w:val="auto"/>
          <w:spacing w:val="-11"/>
          <w:sz w:val="24"/>
          <w:szCs w:val="24"/>
        </w:rPr>
        <w:t xml:space="preserve"> </w:t>
      </w:r>
      <w:r w:rsidRPr="005B3B58">
        <w:rPr>
          <w:rFonts w:ascii="Arial" w:hAnsi="Arial" w:cs="Arial"/>
          <w:b w:val="0"/>
          <w:color w:val="auto"/>
          <w:sz w:val="24"/>
          <w:szCs w:val="24"/>
        </w:rPr>
        <w:t>(34</w:t>
      </w:r>
      <w:r w:rsidRPr="005B3B58">
        <w:rPr>
          <w:rFonts w:ascii="Arial" w:hAnsi="Arial" w:cs="Arial"/>
          <w:b w:val="0"/>
          <w:color w:val="auto"/>
          <w:spacing w:val="-11"/>
          <w:sz w:val="24"/>
          <w:szCs w:val="24"/>
        </w:rPr>
        <w:t xml:space="preserve"> </w:t>
      </w:r>
      <w:r w:rsidRPr="005B3B58">
        <w:rPr>
          <w:rFonts w:ascii="Arial" w:hAnsi="Arial" w:cs="Arial"/>
          <w:b w:val="0"/>
          <w:color w:val="auto"/>
          <w:sz w:val="24"/>
          <w:szCs w:val="24"/>
        </w:rPr>
        <w:t>unităţi),</w:t>
      </w:r>
      <w:r w:rsidRPr="005B3B58">
        <w:rPr>
          <w:rFonts w:ascii="Arial" w:hAnsi="Arial" w:cs="Arial"/>
          <w:b w:val="0"/>
          <w:color w:val="auto"/>
          <w:spacing w:val="-11"/>
          <w:sz w:val="24"/>
          <w:szCs w:val="24"/>
        </w:rPr>
        <w:t xml:space="preserve"> </w:t>
      </w:r>
      <w:r w:rsidRPr="005B3B58">
        <w:rPr>
          <w:rFonts w:ascii="Arial" w:hAnsi="Arial" w:cs="Arial"/>
          <w:b w:val="0"/>
          <w:color w:val="auto"/>
          <w:sz w:val="24"/>
          <w:szCs w:val="24"/>
        </w:rPr>
        <w:t>Nord- Vest (16 unităţi) şi regiunea Nord-Est (15 unităţi). În regiune sunt prezente 7 universităţi publice şi 7 universităţi private. Cercetarea este dezvoltată în cadrul universităţilor în centre de cercetare–acreditate de Consiliul Naţional pentru Cercetare Ştiinţifică în Educaţia Superioară sau în departamentele (catedrele) facultăţilor.</w:t>
      </w:r>
      <w:r w:rsidR="008B2808" w:rsidRPr="008B2808">
        <w:rPr>
          <w:rFonts w:ascii="TimesNewRomanPSMT" w:eastAsia="TimesNewRomanPSMT" w:cs="TimesNewRomanPSMT"/>
          <w:color w:val="auto"/>
          <w:sz w:val="23"/>
          <w:szCs w:val="23"/>
          <w:lang w:val="en-US"/>
        </w:rPr>
        <w:t xml:space="preserve"> </w:t>
      </w:r>
      <w:r w:rsidR="008B2808" w:rsidRPr="00C440BD">
        <w:rPr>
          <w:rFonts w:ascii="TimesNewRomanPSMT" w:eastAsia="TimesNewRomanPSMT" w:cs="TimesNewRomanPSMT"/>
          <w:color w:val="auto"/>
          <w:sz w:val="23"/>
          <w:szCs w:val="23"/>
          <w:lang w:val="en-US"/>
        </w:rPr>
        <w:t>(</w:t>
      </w:r>
      <w:r w:rsidR="008B2808" w:rsidRPr="008B2808">
        <w:rPr>
          <w:rFonts w:ascii="Arial" w:eastAsia="TimesNewRomanPSMT" w:hAnsi="Arial" w:cs="Arial"/>
          <w:b w:val="0"/>
          <w:i/>
          <w:color w:val="auto"/>
          <w:sz w:val="24"/>
          <w:szCs w:val="24"/>
          <w:lang w:val="en-US"/>
        </w:rPr>
        <w:t>informa</w:t>
      </w:r>
      <w:r w:rsidR="008B2808" w:rsidRPr="008B2808">
        <w:rPr>
          <w:rFonts w:ascii="Arial" w:eastAsia="TimesNewRomanPSMT" w:hAnsi="Arial" w:cs="Arial"/>
          <w:b w:val="0"/>
          <w:i/>
          <w:color w:val="auto"/>
          <w:sz w:val="24"/>
          <w:szCs w:val="24"/>
        </w:rPr>
        <w:t>ții preluate din</w:t>
      </w:r>
      <w:r w:rsidR="008B2808" w:rsidRPr="008B2808">
        <w:rPr>
          <w:rFonts w:ascii="Arial" w:eastAsia="TimesNewRomanPSMT" w:hAnsi="Arial" w:cs="Arial"/>
          <w:i/>
          <w:color w:val="auto"/>
          <w:sz w:val="24"/>
          <w:szCs w:val="24"/>
        </w:rPr>
        <w:t xml:space="preserve"> </w:t>
      </w:r>
      <w:r w:rsidR="008B2808" w:rsidRPr="008B2808">
        <w:rPr>
          <w:rFonts w:ascii="Arial" w:eastAsia="TimesNewRomanPSMT" w:hAnsi="Arial" w:cs="Arial"/>
          <w:b w:val="0"/>
          <w:i/>
          <w:iCs/>
          <w:color w:val="auto"/>
          <w:sz w:val="24"/>
          <w:szCs w:val="24"/>
          <w:lang w:val="en-US"/>
        </w:rPr>
        <w:t>PDR Regiunea Vest 2014-2020, pag. 81)</w:t>
      </w:r>
    </w:p>
    <w:p w:rsidR="005B3B58" w:rsidRDefault="005B3B58" w:rsidP="00FA2298">
      <w:pPr>
        <w:pStyle w:val="Heading3"/>
        <w:spacing w:before="0" w:line="240" w:lineRule="auto"/>
        <w:ind w:left="-90"/>
        <w:jc w:val="both"/>
        <w:rPr>
          <w:rFonts w:ascii="Arial" w:hAnsi="Arial" w:cs="Arial"/>
          <w:b w:val="0"/>
          <w:color w:val="auto"/>
          <w:sz w:val="24"/>
          <w:szCs w:val="24"/>
        </w:rPr>
      </w:pPr>
      <w:r w:rsidRPr="005B3B58">
        <w:rPr>
          <w:rFonts w:ascii="Arial" w:hAnsi="Arial" w:cs="Arial"/>
          <w:b w:val="0"/>
          <w:color w:val="auto"/>
          <w:sz w:val="24"/>
          <w:szCs w:val="24"/>
        </w:rPr>
        <w:t xml:space="preserve">Cele mai importante </w:t>
      </w:r>
      <w:r w:rsidRPr="005B3B58">
        <w:rPr>
          <w:rFonts w:ascii="Arial" w:hAnsi="Arial" w:cs="Arial"/>
          <w:b w:val="0"/>
          <w:i/>
          <w:color w:val="auto"/>
          <w:sz w:val="24"/>
          <w:szCs w:val="24"/>
        </w:rPr>
        <w:t xml:space="preserve">instituţii de cercetare </w:t>
      </w:r>
      <w:r w:rsidRPr="005B3B58">
        <w:rPr>
          <w:rFonts w:ascii="Arial" w:hAnsi="Arial" w:cs="Arial"/>
          <w:b w:val="0"/>
          <w:color w:val="auto"/>
          <w:sz w:val="24"/>
          <w:szCs w:val="24"/>
        </w:rPr>
        <w:t xml:space="preserve">din Regiunea Vest sunt </w:t>
      </w:r>
      <w:r w:rsidRPr="005B3B58">
        <w:rPr>
          <w:rFonts w:ascii="Arial" w:hAnsi="Arial" w:cs="Arial"/>
          <w:b w:val="0"/>
          <w:i/>
          <w:color w:val="auto"/>
          <w:sz w:val="24"/>
          <w:szCs w:val="24"/>
        </w:rPr>
        <w:t>Institutele de Cercetare</w:t>
      </w:r>
      <w:r w:rsidRPr="005B3B58">
        <w:rPr>
          <w:rFonts w:ascii="Arial" w:hAnsi="Arial" w:cs="Arial"/>
          <w:b w:val="0"/>
          <w:i/>
          <w:color w:val="auto"/>
          <w:spacing w:val="-14"/>
          <w:sz w:val="24"/>
          <w:szCs w:val="24"/>
        </w:rPr>
        <w:t xml:space="preserve"> </w:t>
      </w:r>
      <w:r w:rsidRPr="005B3B58">
        <w:rPr>
          <w:rFonts w:ascii="Arial" w:hAnsi="Arial" w:cs="Arial"/>
          <w:b w:val="0"/>
          <w:i/>
          <w:color w:val="auto"/>
          <w:sz w:val="24"/>
          <w:szCs w:val="24"/>
        </w:rPr>
        <w:t>şi</w:t>
      </w:r>
      <w:r w:rsidRPr="005B3B58">
        <w:rPr>
          <w:rFonts w:ascii="Arial" w:hAnsi="Arial" w:cs="Arial"/>
          <w:b w:val="0"/>
          <w:i/>
          <w:color w:val="auto"/>
          <w:spacing w:val="-14"/>
          <w:sz w:val="24"/>
          <w:szCs w:val="24"/>
        </w:rPr>
        <w:t xml:space="preserve"> </w:t>
      </w:r>
      <w:r w:rsidRPr="005B3B58">
        <w:rPr>
          <w:rFonts w:ascii="Arial" w:hAnsi="Arial" w:cs="Arial"/>
          <w:b w:val="0"/>
          <w:i/>
          <w:color w:val="auto"/>
          <w:sz w:val="24"/>
          <w:szCs w:val="24"/>
        </w:rPr>
        <w:t>Dezvoltare</w:t>
      </w:r>
      <w:r w:rsidRPr="005B3B58">
        <w:rPr>
          <w:rFonts w:ascii="Arial" w:hAnsi="Arial" w:cs="Arial"/>
          <w:b w:val="0"/>
          <w:i/>
          <w:color w:val="auto"/>
          <w:spacing w:val="-10"/>
          <w:sz w:val="24"/>
          <w:szCs w:val="24"/>
        </w:rPr>
        <w:t xml:space="preserve"> </w:t>
      </w:r>
      <w:r w:rsidRPr="005B3B58">
        <w:rPr>
          <w:rFonts w:ascii="Arial" w:hAnsi="Arial" w:cs="Arial"/>
          <w:b w:val="0"/>
          <w:color w:val="auto"/>
          <w:sz w:val="24"/>
          <w:szCs w:val="24"/>
        </w:rPr>
        <w:t>(ICD)</w:t>
      </w:r>
      <w:r w:rsidRPr="005B3B58">
        <w:rPr>
          <w:rFonts w:ascii="Arial" w:hAnsi="Arial" w:cs="Arial"/>
          <w:b w:val="0"/>
          <w:color w:val="auto"/>
          <w:spacing w:val="-15"/>
          <w:sz w:val="24"/>
          <w:szCs w:val="24"/>
        </w:rPr>
        <w:t xml:space="preserve"> </w:t>
      </w:r>
      <w:r w:rsidRPr="005B3B58">
        <w:rPr>
          <w:rFonts w:ascii="Arial" w:hAnsi="Arial" w:cs="Arial"/>
          <w:b w:val="0"/>
          <w:color w:val="auto"/>
          <w:sz w:val="24"/>
          <w:szCs w:val="24"/>
        </w:rPr>
        <w:t>Naţionale.</w:t>
      </w:r>
      <w:r w:rsidRPr="005B3B58">
        <w:rPr>
          <w:rFonts w:ascii="Arial" w:hAnsi="Arial" w:cs="Arial"/>
          <w:b w:val="0"/>
          <w:color w:val="auto"/>
          <w:spacing w:val="-14"/>
          <w:sz w:val="24"/>
          <w:szCs w:val="24"/>
        </w:rPr>
        <w:t xml:space="preserve"> </w:t>
      </w:r>
      <w:r w:rsidRPr="005B3B58">
        <w:rPr>
          <w:rFonts w:ascii="Arial" w:hAnsi="Arial" w:cs="Arial"/>
          <w:b w:val="0"/>
          <w:color w:val="auto"/>
          <w:sz w:val="24"/>
          <w:szCs w:val="24"/>
        </w:rPr>
        <w:t>Unele</w:t>
      </w:r>
      <w:r w:rsidRPr="005B3B58">
        <w:rPr>
          <w:rFonts w:ascii="Arial" w:hAnsi="Arial" w:cs="Arial"/>
          <w:b w:val="0"/>
          <w:color w:val="auto"/>
          <w:spacing w:val="-16"/>
          <w:sz w:val="24"/>
          <w:szCs w:val="24"/>
        </w:rPr>
        <w:t xml:space="preserve"> </w:t>
      </w:r>
      <w:r w:rsidRPr="005B3B58">
        <w:rPr>
          <w:rFonts w:ascii="Arial" w:hAnsi="Arial" w:cs="Arial"/>
          <w:b w:val="0"/>
          <w:color w:val="auto"/>
          <w:sz w:val="24"/>
          <w:szCs w:val="24"/>
        </w:rPr>
        <w:t>dintre</w:t>
      </w:r>
      <w:r w:rsidRPr="005B3B58">
        <w:rPr>
          <w:rFonts w:ascii="Arial" w:hAnsi="Arial" w:cs="Arial"/>
          <w:b w:val="0"/>
          <w:color w:val="auto"/>
          <w:spacing w:val="-15"/>
          <w:sz w:val="24"/>
          <w:szCs w:val="24"/>
        </w:rPr>
        <w:t xml:space="preserve"> </w:t>
      </w:r>
      <w:r w:rsidRPr="005B3B58">
        <w:rPr>
          <w:rFonts w:ascii="Arial" w:hAnsi="Arial" w:cs="Arial"/>
          <w:b w:val="0"/>
          <w:color w:val="auto"/>
          <w:sz w:val="24"/>
          <w:szCs w:val="24"/>
        </w:rPr>
        <w:t>acestea</w:t>
      </w:r>
      <w:r w:rsidRPr="005B3B58">
        <w:rPr>
          <w:rFonts w:ascii="Arial" w:hAnsi="Arial" w:cs="Arial"/>
          <w:b w:val="0"/>
          <w:color w:val="auto"/>
          <w:spacing w:val="-12"/>
          <w:sz w:val="24"/>
          <w:szCs w:val="24"/>
        </w:rPr>
        <w:t xml:space="preserve"> </w:t>
      </w:r>
      <w:r w:rsidRPr="005B3B58">
        <w:rPr>
          <w:rFonts w:ascii="Arial" w:hAnsi="Arial" w:cs="Arial"/>
          <w:b w:val="0"/>
          <w:color w:val="auto"/>
          <w:sz w:val="24"/>
          <w:szCs w:val="24"/>
        </w:rPr>
        <w:t>sunt</w:t>
      </w:r>
      <w:r w:rsidRPr="005B3B58">
        <w:rPr>
          <w:rFonts w:ascii="Arial" w:hAnsi="Arial" w:cs="Arial"/>
          <w:b w:val="0"/>
          <w:color w:val="auto"/>
          <w:spacing w:val="-14"/>
          <w:sz w:val="24"/>
          <w:szCs w:val="24"/>
        </w:rPr>
        <w:t xml:space="preserve"> </w:t>
      </w:r>
      <w:r w:rsidRPr="005B3B58">
        <w:rPr>
          <w:rFonts w:ascii="Arial" w:hAnsi="Arial" w:cs="Arial"/>
          <w:b w:val="0"/>
          <w:color w:val="auto"/>
          <w:sz w:val="24"/>
          <w:szCs w:val="24"/>
        </w:rPr>
        <w:t>sucursale</w:t>
      </w:r>
      <w:r w:rsidRPr="005B3B58">
        <w:rPr>
          <w:rFonts w:ascii="Arial" w:hAnsi="Arial" w:cs="Arial"/>
          <w:b w:val="0"/>
          <w:color w:val="auto"/>
          <w:spacing w:val="-16"/>
          <w:sz w:val="24"/>
          <w:szCs w:val="24"/>
        </w:rPr>
        <w:t xml:space="preserve"> </w:t>
      </w:r>
      <w:r w:rsidRPr="005B3B58">
        <w:rPr>
          <w:rFonts w:ascii="Arial" w:hAnsi="Arial" w:cs="Arial"/>
          <w:b w:val="0"/>
          <w:color w:val="auto"/>
          <w:sz w:val="24"/>
          <w:szCs w:val="24"/>
        </w:rPr>
        <w:t>regionale</w:t>
      </w:r>
      <w:r w:rsidRPr="005B3B58">
        <w:rPr>
          <w:rFonts w:ascii="Arial" w:hAnsi="Arial" w:cs="Arial"/>
          <w:b w:val="0"/>
          <w:color w:val="auto"/>
          <w:spacing w:val="-15"/>
          <w:sz w:val="24"/>
          <w:szCs w:val="24"/>
        </w:rPr>
        <w:t xml:space="preserve"> </w:t>
      </w:r>
      <w:r w:rsidRPr="005B3B58">
        <w:rPr>
          <w:rFonts w:ascii="Arial" w:hAnsi="Arial" w:cs="Arial"/>
          <w:b w:val="0"/>
          <w:color w:val="auto"/>
          <w:sz w:val="24"/>
          <w:szCs w:val="24"/>
        </w:rPr>
        <w:t>ale</w:t>
      </w:r>
      <w:r w:rsidRPr="005B3B58">
        <w:rPr>
          <w:rFonts w:ascii="Arial" w:hAnsi="Arial" w:cs="Arial"/>
          <w:b w:val="0"/>
          <w:color w:val="auto"/>
          <w:spacing w:val="-13"/>
          <w:sz w:val="24"/>
          <w:szCs w:val="24"/>
        </w:rPr>
        <w:t xml:space="preserve"> </w:t>
      </w:r>
      <w:r w:rsidRPr="005B3B58">
        <w:rPr>
          <w:rFonts w:ascii="Arial" w:hAnsi="Arial" w:cs="Arial"/>
          <w:b w:val="0"/>
          <w:color w:val="auto"/>
          <w:sz w:val="24"/>
          <w:szCs w:val="24"/>
        </w:rPr>
        <w:t>ICD Naţionale mai mari care îşi au sediul în Bucureşti, acoperind în total un spectru larg de domenii de cercetare. Capacitatea şi dimensiunea acestor institute variază considerabil, de la mai puţin de 10 până la peste 100 cercetători, în funcţie de statutul laboraturului: sucursală</w:t>
      </w:r>
      <w:r w:rsidRPr="005B3B58">
        <w:rPr>
          <w:rFonts w:ascii="Arial" w:hAnsi="Arial" w:cs="Arial"/>
          <w:b w:val="0"/>
          <w:color w:val="auto"/>
          <w:spacing w:val="-14"/>
          <w:sz w:val="24"/>
          <w:szCs w:val="24"/>
        </w:rPr>
        <w:t xml:space="preserve"> </w:t>
      </w:r>
      <w:r w:rsidRPr="005B3B58">
        <w:rPr>
          <w:rFonts w:ascii="Arial" w:hAnsi="Arial" w:cs="Arial"/>
          <w:b w:val="0"/>
          <w:color w:val="auto"/>
          <w:sz w:val="24"/>
          <w:szCs w:val="24"/>
        </w:rPr>
        <w:t>a</w:t>
      </w:r>
      <w:r w:rsidRPr="005B3B58">
        <w:rPr>
          <w:rFonts w:ascii="Arial" w:hAnsi="Arial" w:cs="Arial"/>
          <w:b w:val="0"/>
          <w:color w:val="auto"/>
          <w:spacing w:val="-17"/>
          <w:sz w:val="24"/>
          <w:szCs w:val="24"/>
        </w:rPr>
        <w:t xml:space="preserve"> </w:t>
      </w:r>
      <w:r w:rsidRPr="005B3B58">
        <w:rPr>
          <w:rFonts w:ascii="Arial" w:hAnsi="Arial" w:cs="Arial"/>
          <w:b w:val="0"/>
          <w:color w:val="auto"/>
          <w:sz w:val="24"/>
          <w:szCs w:val="24"/>
        </w:rPr>
        <w:t>unui</w:t>
      </w:r>
      <w:r w:rsidRPr="005B3B58">
        <w:rPr>
          <w:rFonts w:ascii="Arial" w:hAnsi="Arial" w:cs="Arial"/>
          <w:b w:val="0"/>
          <w:color w:val="auto"/>
          <w:spacing w:val="-17"/>
          <w:sz w:val="24"/>
          <w:szCs w:val="24"/>
        </w:rPr>
        <w:t xml:space="preserve"> </w:t>
      </w:r>
      <w:r w:rsidRPr="005B3B58">
        <w:rPr>
          <w:rFonts w:ascii="Arial" w:hAnsi="Arial" w:cs="Arial"/>
          <w:b w:val="0"/>
          <w:color w:val="auto"/>
          <w:sz w:val="24"/>
          <w:szCs w:val="24"/>
        </w:rPr>
        <w:t>ICD</w:t>
      </w:r>
      <w:r w:rsidRPr="005B3B58">
        <w:rPr>
          <w:rFonts w:ascii="Arial" w:hAnsi="Arial" w:cs="Arial"/>
          <w:b w:val="0"/>
          <w:color w:val="auto"/>
          <w:spacing w:val="-17"/>
          <w:sz w:val="24"/>
          <w:szCs w:val="24"/>
        </w:rPr>
        <w:t xml:space="preserve"> </w:t>
      </w:r>
      <w:r w:rsidRPr="005B3B58">
        <w:rPr>
          <w:rFonts w:ascii="Arial" w:hAnsi="Arial" w:cs="Arial"/>
          <w:b w:val="0"/>
          <w:color w:val="auto"/>
          <w:sz w:val="24"/>
          <w:szCs w:val="24"/>
        </w:rPr>
        <w:t>cu</w:t>
      </w:r>
      <w:r w:rsidRPr="005B3B58">
        <w:rPr>
          <w:rFonts w:ascii="Arial" w:hAnsi="Arial" w:cs="Arial"/>
          <w:b w:val="0"/>
          <w:color w:val="auto"/>
          <w:spacing w:val="-12"/>
          <w:sz w:val="24"/>
          <w:szCs w:val="24"/>
        </w:rPr>
        <w:t xml:space="preserve"> </w:t>
      </w:r>
      <w:r w:rsidRPr="005B3B58">
        <w:rPr>
          <w:rFonts w:ascii="Arial" w:hAnsi="Arial" w:cs="Arial"/>
          <w:b w:val="0"/>
          <w:color w:val="auto"/>
          <w:sz w:val="24"/>
          <w:szCs w:val="24"/>
        </w:rPr>
        <w:t>sediul</w:t>
      </w:r>
      <w:r w:rsidRPr="005B3B58">
        <w:rPr>
          <w:rFonts w:ascii="Arial" w:hAnsi="Arial" w:cs="Arial"/>
          <w:b w:val="0"/>
          <w:color w:val="auto"/>
          <w:spacing w:val="-15"/>
          <w:sz w:val="24"/>
          <w:szCs w:val="24"/>
        </w:rPr>
        <w:t xml:space="preserve"> </w:t>
      </w:r>
      <w:r w:rsidRPr="005B3B58">
        <w:rPr>
          <w:rFonts w:ascii="Arial" w:hAnsi="Arial" w:cs="Arial"/>
          <w:b w:val="0"/>
          <w:color w:val="auto"/>
          <w:sz w:val="24"/>
          <w:szCs w:val="24"/>
        </w:rPr>
        <w:t>în</w:t>
      </w:r>
      <w:r w:rsidRPr="005B3B58">
        <w:rPr>
          <w:rFonts w:ascii="Arial" w:hAnsi="Arial" w:cs="Arial"/>
          <w:b w:val="0"/>
          <w:color w:val="auto"/>
          <w:spacing w:val="-14"/>
          <w:sz w:val="24"/>
          <w:szCs w:val="24"/>
        </w:rPr>
        <w:t xml:space="preserve"> </w:t>
      </w:r>
      <w:r w:rsidRPr="005B3B58">
        <w:rPr>
          <w:rFonts w:ascii="Arial" w:hAnsi="Arial" w:cs="Arial"/>
          <w:b w:val="0"/>
          <w:color w:val="auto"/>
          <w:sz w:val="24"/>
          <w:szCs w:val="24"/>
        </w:rPr>
        <w:t>Bucureşti</w:t>
      </w:r>
      <w:r w:rsidRPr="005B3B58">
        <w:rPr>
          <w:rFonts w:ascii="Arial" w:hAnsi="Arial" w:cs="Arial"/>
          <w:b w:val="0"/>
          <w:color w:val="auto"/>
          <w:spacing w:val="-15"/>
          <w:sz w:val="24"/>
          <w:szCs w:val="24"/>
        </w:rPr>
        <w:t xml:space="preserve"> </w:t>
      </w:r>
      <w:r w:rsidRPr="005B3B58">
        <w:rPr>
          <w:rFonts w:ascii="Arial" w:hAnsi="Arial" w:cs="Arial"/>
          <w:b w:val="0"/>
          <w:color w:val="auto"/>
          <w:sz w:val="24"/>
          <w:szCs w:val="24"/>
        </w:rPr>
        <w:t>sau</w:t>
      </w:r>
      <w:r w:rsidRPr="005B3B58">
        <w:rPr>
          <w:rFonts w:ascii="Arial" w:hAnsi="Arial" w:cs="Arial"/>
          <w:b w:val="0"/>
          <w:color w:val="auto"/>
          <w:spacing w:val="-13"/>
          <w:sz w:val="24"/>
          <w:szCs w:val="24"/>
        </w:rPr>
        <w:t xml:space="preserve"> </w:t>
      </w:r>
      <w:r w:rsidRPr="005B3B58">
        <w:rPr>
          <w:rFonts w:ascii="Arial" w:hAnsi="Arial" w:cs="Arial"/>
          <w:b w:val="0"/>
          <w:color w:val="auto"/>
          <w:sz w:val="24"/>
          <w:szCs w:val="24"/>
        </w:rPr>
        <w:t>o</w:t>
      </w:r>
      <w:r w:rsidRPr="005B3B58">
        <w:rPr>
          <w:rFonts w:ascii="Arial" w:hAnsi="Arial" w:cs="Arial"/>
          <w:b w:val="0"/>
          <w:color w:val="auto"/>
          <w:spacing w:val="-16"/>
          <w:sz w:val="24"/>
          <w:szCs w:val="24"/>
        </w:rPr>
        <w:t xml:space="preserve"> </w:t>
      </w:r>
      <w:r w:rsidRPr="005B3B58">
        <w:rPr>
          <w:rFonts w:ascii="Arial" w:hAnsi="Arial" w:cs="Arial"/>
          <w:b w:val="0"/>
          <w:color w:val="auto"/>
          <w:sz w:val="24"/>
          <w:szCs w:val="24"/>
        </w:rPr>
        <w:t>instituţie</w:t>
      </w:r>
      <w:r w:rsidRPr="005B3B58">
        <w:rPr>
          <w:rFonts w:ascii="Arial" w:hAnsi="Arial" w:cs="Arial"/>
          <w:b w:val="0"/>
          <w:color w:val="auto"/>
          <w:spacing w:val="-16"/>
          <w:sz w:val="24"/>
          <w:szCs w:val="24"/>
        </w:rPr>
        <w:t xml:space="preserve"> </w:t>
      </w:r>
      <w:r w:rsidRPr="005B3B58">
        <w:rPr>
          <w:rFonts w:ascii="Arial" w:hAnsi="Arial" w:cs="Arial"/>
          <w:b w:val="0"/>
          <w:color w:val="auto"/>
          <w:sz w:val="24"/>
          <w:szCs w:val="24"/>
        </w:rPr>
        <w:t>autonomă.</w:t>
      </w:r>
      <w:r w:rsidRPr="005B3B58">
        <w:rPr>
          <w:rFonts w:ascii="Arial" w:hAnsi="Arial" w:cs="Arial"/>
          <w:b w:val="0"/>
          <w:color w:val="auto"/>
          <w:spacing w:val="-16"/>
          <w:sz w:val="24"/>
          <w:szCs w:val="24"/>
        </w:rPr>
        <w:t xml:space="preserve">  </w:t>
      </w:r>
      <w:r w:rsidRPr="005B3B58">
        <w:rPr>
          <w:rFonts w:ascii="Arial" w:hAnsi="Arial" w:cs="Arial"/>
          <w:b w:val="0"/>
          <w:color w:val="auto"/>
          <w:sz w:val="24"/>
          <w:szCs w:val="24"/>
        </w:rPr>
        <w:t>În</w:t>
      </w:r>
      <w:r w:rsidRPr="005B3B58">
        <w:rPr>
          <w:rFonts w:ascii="Arial" w:hAnsi="Arial" w:cs="Arial"/>
          <w:b w:val="0"/>
          <w:color w:val="auto"/>
          <w:spacing w:val="-16"/>
          <w:sz w:val="24"/>
          <w:szCs w:val="24"/>
        </w:rPr>
        <w:t xml:space="preserve"> </w:t>
      </w:r>
      <w:r w:rsidRPr="005B3B58">
        <w:rPr>
          <w:rFonts w:ascii="Arial" w:hAnsi="Arial" w:cs="Arial"/>
          <w:b w:val="0"/>
          <w:color w:val="auto"/>
          <w:sz w:val="24"/>
          <w:szCs w:val="24"/>
        </w:rPr>
        <w:t>acelaşi</w:t>
      </w:r>
      <w:r w:rsidRPr="005B3B58">
        <w:rPr>
          <w:rFonts w:ascii="Arial" w:hAnsi="Arial" w:cs="Arial"/>
          <w:b w:val="0"/>
          <w:color w:val="auto"/>
          <w:spacing w:val="-15"/>
          <w:sz w:val="24"/>
          <w:szCs w:val="24"/>
        </w:rPr>
        <w:t xml:space="preserve"> </w:t>
      </w:r>
      <w:r w:rsidRPr="005B3B58">
        <w:rPr>
          <w:rFonts w:ascii="Arial" w:hAnsi="Arial" w:cs="Arial"/>
          <w:b w:val="0"/>
          <w:color w:val="auto"/>
          <w:sz w:val="24"/>
          <w:szCs w:val="24"/>
        </w:rPr>
        <w:t>mod,</w:t>
      </w:r>
      <w:r w:rsidRPr="005B3B58">
        <w:rPr>
          <w:rFonts w:ascii="Arial" w:hAnsi="Arial" w:cs="Arial"/>
          <w:b w:val="0"/>
          <w:color w:val="auto"/>
          <w:spacing w:val="-16"/>
          <w:sz w:val="24"/>
          <w:szCs w:val="24"/>
        </w:rPr>
        <w:t xml:space="preserve"> </w:t>
      </w:r>
      <w:r w:rsidRPr="005B3B58">
        <w:rPr>
          <w:rFonts w:ascii="Arial" w:hAnsi="Arial" w:cs="Arial"/>
          <w:b w:val="0"/>
          <w:color w:val="auto"/>
          <w:sz w:val="24"/>
          <w:szCs w:val="24"/>
        </w:rPr>
        <w:t>numărul de</w:t>
      </w:r>
      <w:r w:rsidRPr="005B3B58">
        <w:rPr>
          <w:rFonts w:ascii="Arial" w:hAnsi="Arial" w:cs="Arial"/>
          <w:b w:val="0"/>
          <w:color w:val="auto"/>
          <w:spacing w:val="-5"/>
          <w:sz w:val="24"/>
          <w:szCs w:val="24"/>
        </w:rPr>
        <w:t xml:space="preserve"> </w:t>
      </w:r>
      <w:r w:rsidRPr="005B3B58">
        <w:rPr>
          <w:rFonts w:ascii="Arial" w:hAnsi="Arial" w:cs="Arial"/>
          <w:b w:val="0"/>
          <w:color w:val="auto"/>
          <w:sz w:val="24"/>
          <w:szCs w:val="24"/>
        </w:rPr>
        <w:t>publicaţii</w:t>
      </w:r>
      <w:r w:rsidRPr="005B3B58">
        <w:rPr>
          <w:rFonts w:ascii="Arial" w:hAnsi="Arial" w:cs="Arial"/>
          <w:b w:val="0"/>
          <w:color w:val="auto"/>
          <w:spacing w:val="-5"/>
          <w:sz w:val="24"/>
          <w:szCs w:val="24"/>
        </w:rPr>
        <w:t xml:space="preserve"> </w:t>
      </w:r>
      <w:r w:rsidRPr="005B3B58">
        <w:rPr>
          <w:rFonts w:ascii="Arial" w:hAnsi="Arial" w:cs="Arial"/>
          <w:b w:val="0"/>
          <w:color w:val="auto"/>
          <w:sz w:val="24"/>
          <w:szCs w:val="24"/>
        </w:rPr>
        <w:t>în</w:t>
      </w:r>
      <w:r w:rsidRPr="005B3B58">
        <w:rPr>
          <w:rFonts w:ascii="Arial" w:hAnsi="Arial" w:cs="Arial"/>
          <w:b w:val="0"/>
          <w:color w:val="auto"/>
          <w:spacing w:val="-4"/>
          <w:sz w:val="24"/>
          <w:szCs w:val="24"/>
        </w:rPr>
        <w:t xml:space="preserve"> </w:t>
      </w:r>
      <w:r w:rsidRPr="005B3B58">
        <w:rPr>
          <w:rFonts w:ascii="Arial" w:hAnsi="Arial" w:cs="Arial"/>
          <w:b w:val="0"/>
          <w:color w:val="auto"/>
          <w:sz w:val="24"/>
          <w:szCs w:val="24"/>
        </w:rPr>
        <w:t>jurnalele</w:t>
      </w:r>
      <w:r w:rsidRPr="005B3B58">
        <w:rPr>
          <w:rFonts w:ascii="Arial" w:hAnsi="Arial" w:cs="Arial"/>
          <w:b w:val="0"/>
          <w:color w:val="auto"/>
          <w:spacing w:val="-6"/>
          <w:sz w:val="24"/>
          <w:szCs w:val="24"/>
        </w:rPr>
        <w:t xml:space="preserve"> </w:t>
      </w:r>
      <w:r w:rsidRPr="005B3B58">
        <w:rPr>
          <w:rFonts w:ascii="Arial" w:hAnsi="Arial" w:cs="Arial"/>
          <w:b w:val="0"/>
          <w:color w:val="auto"/>
          <w:sz w:val="24"/>
          <w:szCs w:val="24"/>
        </w:rPr>
        <w:t>ISI</w:t>
      </w:r>
      <w:r w:rsidRPr="005B3B58">
        <w:rPr>
          <w:rFonts w:ascii="Arial" w:hAnsi="Arial" w:cs="Arial"/>
          <w:b w:val="0"/>
          <w:color w:val="auto"/>
          <w:spacing w:val="-4"/>
          <w:sz w:val="24"/>
          <w:szCs w:val="24"/>
        </w:rPr>
        <w:t xml:space="preserve"> </w:t>
      </w:r>
      <w:r w:rsidRPr="005B3B58">
        <w:rPr>
          <w:rFonts w:ascii="Arial" w:hAnsi="Arial" w:cs="Arial"/>
          <w:b w:val="0"/>
          <w:color w:val="auto"/>
          <w:sz w:val="24"/>
          <w:szCs w:val="24"/>
        </w:rPr>
        <w:t>şi</w:t>
      </w:r>
      <w:r w:rsidRPr="005B3B58">
        <w:rPr>
          <w:rFonts w:ascii="Arial" w:hAnsi="Arial" w:cs="Arial"/>
          <w:b w:val="0"/>
          <w:color w:val="auto"/>
          <w:spacing w:val="-5"/>
          <w:sz w:val="24"/>
          <w:szCs w:val="24"/>
        </w:rPr>
        <w:t xml:space="preserve"> </w:t>
      </w:r>
      <w:r w:rsidRPr="005B3B58">
        <w:rPr>
          <w:rFonts w:ascii="Arial" w:hAnsi="Arial" w:cs="Arial"/>
          <w:b w:val="0"/>
          <w:color w:val="auto"/>
          <w:sz w:val="24"/>
          <w:szCs w:val="24"/>
        </w:rPr>
        <w:t>brevetele</w:t>
      </w:r>
      <w:r w:rsidRPr="005B3B58">
        <w:rPr>
          <w:rFonts w:ascii="Arial" w:hAnsi="Arial" w:cs="Arial"/>
          <w:b w:val="0"/>
          <w:color w:val="auto"/>
          <w:spacing w:val="-6"/>
          <w:sz w:val="24"/>
          <w:szCs w:val="24"/>
        </w:rPr>
        <w:t xml:space="preserve"> </w:t>
      </w:r>
      <w:r w:rsidRPr="005B3B58">
        <w:rPr>
          <w:rFonts w:ascii="Arial" w:hAnsi="Arial" w:cs="Arial"/>
          <w:b w:val="0"/>
          <w:color w:val="auto"/>
          <w:sz w:val="24"/>
          <w:szCs w:val="24"/>
        </w:rPr>
        <w:t>deţinute</w:t>
      </w:r>
      <w:r w:rsidRPr="005B3B58">
        <w:rPr>
          <w:rFonts w:ascii="Arial" w:hAnsi="Arial" w:cs="Arial"/>
          <w:b w:val="0"/>
          <w:color w:val="auto"/>
          <w:spacing w:val="-5"/>
          <w:sz w:val="24"/>
          <w:szCs w:val="24"/>
        </w:rPr>
        <w:t xml:space="preserve"> </w:t>
      </w:r>
      <w:r w:rsidRPr="005B3B58">
        <w:rPr>
          <w:rFonts w:ascii="Arial" w:hAnsi="Arial" w:cs="Arial"/>
          <w:b w:val="0"/>
          <w:color w:val="auto"/>
          <w:sz w:val="24"/>
          <w:szCs w:val="24"/>
        </w:rPr>
        <w:t>de</w:t>
      </w:r>
      <w:r w:rsidRPr="005B3B58">
        <w:rPr>
          <w:rFonts w:ascii="Arial" w:hAnsi="Arial" w:cs="Arial"/>
          <w:b w:val="0"/>
          <w:color w:val="auto"/>
          <w:spacing w:val="-5"/>
          <w:sz w:val="24"/>
          <w:szCs w:val="24"/>
        </w:rPr>
        <w:t xml:space="preserve"> </w:t>
      </w:r>
      <w:r w:rsidRPr="005B3B58">
        <w:rPr>
          <w:rFonts w:ascii="Arial" w:hAnsi="Arial" w:cs="Arial"/>
          <w:b w:val="0"/>
          <w:color w:val="auto"/>
          <w:sz w:val="24"/>
          <w:szCs w:val="24"/>
        </w:rPr>
        <w:t>ICS</w:t>
      </w:r>
      <w:r w:rsidRPr="005B3B58">
        <w:rPr>
          <w:rFonts w:ascii="Arial" w:hAnsi="Arial" w:cs="Arial"/>
          <w:b w:val="0"/>
          <w:color w:val="auto"/>
          <w:spacing w:val="-5"/>
          <w:sz w:val="24"/>
          <w:szCs w:val="24"/>
        </w:rPr>
        <w:t xml:space="preserve"> </w:t>
      </w:r>
      <w:r w:rsidRPr="005B3B58">
        <w:rPr>
          <w:rFonts w:ascii="Arial" w:hAnsi="Arial" w:cs="Arial"/>
          <w:b w:val="0"/>
          <w:color w:val="auto"/>
          <w:sz w:val="24"/>
          <w:szCs w:val="24"/>
        </w:rPr>
        <w:t>din</w:t>
      </w:r>
      <w:r w:rsidRPr="005B3B58">
        <w:rPr>
          <w:rFonts w:ascii="Arial" w:hAnsi="Arial" w:cs="Arial"/>
          <w:b w:val="0"/>
          <w:color w:val="auto"/>
          <w:spacing w:val="-4"/>
          <w:sz w:val="24"/>
          <w:szCs w:val="24"/>
        </w:rPr>
        <w:t xml:space="preserve"> </w:t>
      </w:r>
      <w:r w:rsidRPr="005B3B58">
        <w:rPr>
          <w:rFonts w:ascii="Arial" w:hAnsi="Arial" w:cs="Arial"/>
          <w:b w:val="0"/>
          <w:color w:val="auto"/>
          <w:sz w:val="24"/>
          <w:szCs w:val="24"/>
        </w:rPr>
        <w:t>Regiunea</w:t>
      </w:r>
      <w:r w:rsidRPr="005B3B58">
        <w:rPr>
          <w:rFonts w:ascii="Arial" w:hAnsi="Arial" w:cs="Arial"/>
          <w:b w:val="0"/>
          <w:color w:val="auto"/>
          <w:spacing w:val="-7"/>
          <w:sz w:val="24"/>
          <w:szCs w:val="24"/>
        </w:rPr>
        <w:t xml:space="preserve"> </w:t>
      </w:r>
      <w:r w:rsidRPr="005B3B58">
        <w:rPr>
          <w:rFonts w:ascii="Arial" w:hAnsi="Arial" w:cs="Arial"/>
          <w:b w:val="0"/>
          <w:color w:val="auto"/>
          <w:sz w:val="24"/>
          <w:szCs w:val="24"/>
        </w:rPr>
        <w:t>Vest</w:t>
      </w:r>
      <w:r w:rsidRPr="005B3B58">
        <w:rPr>
          <w:rFonts w:ascii="Arial" w:hAnsi="Arial" w:cs="Arial"/>
          <w:b w:val="0"/>
          <w:color w:val="auto"/>
          <w:spacing w:val="-5"/>
          <w:sz w:val="24"/>
          <w:szCs w:val="24"/>
        </w:rPr>
        <w:t xml:space="preserve"> </w:t>
      </w:r>
      <w:r w:rsidRPr="005B3B58">
        <w:rPr>
          <w:rFonts w:ascii="Arial" w:hAnsi="Arial" w:cs="Arial"/>
          <w:b w:val="0"/>
          <w:color w:val="auto"/>
          <w:sz w:val="24"/>
          <w:szCs w:val="24"/>
        </w:rPr>
        <w:t>variază</w:t>
      </w:r>
      <w:r w:rsidRPr="005B3B58">
        <w:rPr>
          <w:rFonts w:ascii="Arial" w:hAnsi="Arial" w:cs="Arial"/>
          <w:b w:val="0"/>
          <w:color w:val="auto"/>
          <w:spacing w:val="-5"/>
          <w:sz w:val="24"/>
          <w:szCs w:val="24"/>
        </w:rPr>
        <w:t xml:space="preserve"> </w:t>
      </w:r>
      <w:r w:rsidRPr="005B3B58">
        <w:rPr>
          <w:rFonts w:ascii="Arial" w:hAnsi="Arial" w:cs="Arial"/>
          <w:b w:val="0"/>
          <w:color w:val="auto"/>
          <w:sz w:val="24"/>
          <w:szCs w:val="24"/>
        </w:rPr>
        <w:t>de</w:t>
      </w:r>
      <w:r w:rsidRPr="005B3B58">
        <w:rPr>
          <w:rFonts w:ascii="Arial" w:hAnsi="Arial" w:cs="Arial"/>
          <w:b w:val="0"/>
          <w:color w:val="auto"/>
          <w:spacing w:val="-5"/>
          <w:sz w:val="24"/>
          <w:szCs w:val="24"/>
        </w:rPr>
        <w:t xml:space="preserve"> </w:t>
      </w:r>
      <w:r w:rsidRPr="005B3B58">
        <w:rPr>
          <w:rFonts w:ascii="Arial" w:hAnsi="Arial" w:cs="Arial"/>
          <w:b w:val="0"/>
          <w:color w:val="auto"/>
          <w:sz w:val="24"/>
          <w:szCs w:val="24"/>
        </w:rPr>
        <w:t>la</w:t>
      </w:r>
      <w:r w:rsidRPr="005B3B58">
        <w:rPr>
          <w:rFonts w:ascii="Arial" w:hAnsi="Arial" w:cs="Arial"/>
          <w:b w:val="0"/>
          <w:color w:val="auto"/>
          <w:spacing w:val="-5"/>
          <w:sz w:val="24"/>
          <w:szCs w:val="24"/>
        </w:rPr>
        <w:t xml:space="preserve"> </w:t>
      </w:r>
      <w:r w:rsidRPr="005B3B58">
        <w:rPr>
          <w:rFonts w:ascii="Arial" w:hAnsi="Arial" w:cs="Arial"/>
          <w:b w:val="0"/>
          <w:color w:val="auto"/>
          <w:sz w:val="24"/>
          <w:szCs w:val="24"/>
        </w:rPr>
        <w:t>zero până la niveluri competitive cu restul</w:t>
      </w:r>
      <w:r w:rsidRPr="005B3B58">
        <w:rPr>
          <w:rFonts w:ascii="Arial" w:hAnsi="Arial" w:cs="Arial"/>
          <w:b w:val="0"/>
          <w:color w:val="auto"/>
          <w:spacing w:val="-11"/>
          <w:sz w:val="24"/>
          <w:szCs w:val="24"/>
        </w:rPr>
        <w:t xml:space="preserve"> </w:t>
      </w:r>
      <w:r w:rsidRPr="005B3B58">
        <w:rPr>
          <w:rFonts w:ascii="Arial" w:hAnsi="Arial" w:cs="Arial"/>
          <w:b w:val="0"/>
          <w:color w:val="auto"/>
          <w:sz w:val="24"/>
          <w:szCs w:val="24"/>
        </w:rPr>
        <w:t>ţării.</w:t>
      </w:r>
    </w:p>
    <w:p w:rsidR="005B3B58" w:rsidRPr="005B3B58" w:rsidRDefault="005B3B58" w:rsidP="00FA2298">
      <w:pPr>
        <w:pStyle w:val="Heading3"/>
        <w:spacing w:before="0" w:line="240" w:lineRule="auto"/>
        <w:ind w:left="-90"/>
        <w:jc w:val="both"/>
        <w:rPr>
          <w:rFonts w:ascii="Arial" w:hAnsi="Arial" w:cs="Arial"/>
          <w:b w:val="0"/>
          <w:i/>
          <w:color w:val="auto"/>
          <w:sz w:val="24"/>
          <w:szCs w:val="24"/>
        </w:rPr>
      </w:pPr>
      <w:r w:rsidRPr="005B3B58">
        <w:rPr>
          <w:rFonts w:ascii="Arial" w:hAnsi="Arial" w:cs="Arial"/>
          <w:b w:val="0"/>
          <w:color w:val="auto"/>
          <w:sz w:val="24"/>
          <w:szCs w:val="24"/>
        </w:rPr>
        <w:t>Profilul sectorial al unităţilor de cercetare în Regiunea Vest este diferit de la un judeţ la altul:</w:t>
      </w:r>
    </w:p>
    <w:p w:rsidR="00A604C1" w:rsidRDefault="005B3B58" w:rsidP="00445724">
      <w:pPr>
        <w:pStyle w:val="ListParagraph"/>
        <w:widowControl w:val="0"/>
        <w:numPr>
          <w:ilvl w:val="1"/>
          <w:numId w:val="35"/>
        </w:numPr>
        <w:tabs>
          <w:tab w:val="left" w:pos="873"/>
          <w:tab w:val="left" w:pos="874"/>
        </w:tabs>
        <w:ind w:right="159"/>
        <w:jc w:val="both"/>
        <w:rPr>
          <w:rFonts w:ascii="Arial" w:hAnsi="Arial" w:cs="Arial"/>
          <w:sz w:val="24"/>
          <w:szCs w:val="24"/>
        </w:rPr>
      </w:pPr>
      <w:r w:rsidRPr="00794557">
        <w:rPr>
          <w:rFonts w:ascii="Arial" w:hAnsi="Arial" w:cs="Arial"/>
          <w:sz w:val="24"/>
          <w:szCs w:val="24"/>
        </w:rPr>
        <w:t>În judeţul Arad unităţile de cercetare sunt predominante în: construcţii şi material rulant, sectorul vinului şi creşterea</w:t>
      </w:r>
      <w:r w:rsidRPr="00794557">
        <w:rPr>
          <w:rFonts w:ascii="Arial" w:hAnsi="Arial" w:cs="Arial"/>
          <w:spacing w:val="-12"/>
          <w:sz w:val="24"/>
          <w:szCs w:val="24"/>
        </w:rPr>
        <w:t xml:space="preserve"> </w:t>
      </w:r>
      <w:r w:rsidRPr="00794557">
        <w:rPr>
          <w:rFonts w:ascii="Arial" w:hAnsi="Arial" w:cs="Arial"/>
          <w:sz w:val="24"/>
          <w:szCs w:val="24"/>
        </w:rPr>
        <w:t>bovinelor;</w:t>
      </w:r>
    </w:p>
    <w:p w:rsidR="00A604C1" w:rsidRDefault="005B3B58" w:rsidP="00445724">
      <w:pPr>
        <w:pStyle w:val="ListParagraph"/>
        <w:widowControl w:val="0"/>
        <w:numPr>
          <w:ilvl w:val="1"/>
          <w:numId w:val="35"/>
        </w:numPr>
        <w:tabs>
          <w:tab w:val="left" w:pos="873"/>
          <w:tab w:val="left" w:pos="874"/>
        </w:tabs>
        <w:ind w:right="159"/>
        <w:jc w:val="both"/>
        <w:rPr>
          <w:rFonts w:ascii="Arial" w:hAnsi="Arial" w:cs="Arial"/>
          <w:sz w:val="24"/>
          <w:szCs w:val="24"/>
        </w:rPr>
      </w:pPr>
      <w:r w:rsidRPr="00A604C1">
        <w:rPr>
          <w:rFonts w:ascii="Arial" w:hAnsi="Arial" w:cs="Arial"/>
          <w:sz w:val="24"/>
          <w:szCs w:val="24"/>
        </w:rPr>
        <w:t>În judeţul Hunedoara în siderurgie şi metalurgie, silvicultură. Minerit şi securitatea mineritului sunt principalele sectoare cu unităţi de</w:t>
      </w:r>
      <w:r w:rsidRPr="00A604C1">
        <w:rPr>
          <w:rFonts w:ascii="Arial" w:hAnsi="Arial" w:cs="Arial"/>
          <w:spacing w:val="-16"/>
          <w:sz w:val="24"/>
          <w:szCs w:val="24"/>
        </w:rPr>
        <w:t xml:space="preserve"> </w:t>
      </w:r>
      <w:r w:rsidRPr="00A604C1">
        <w:rPr>
          <w:rFonts w:ascii="Arial" w:hAnsi="Arial" w:cs="Arial"/>
          <w:sz w:val="24"/>
          <w:szCs w:val="24"/>
        </w:rPr>
        <w:t>cercetare;</w:t>
      </w:r>
    </w:p>
    <w:p w:rsidR="00A604C1" w:rsidRDefault="005B3B58" w:rsidP="00445724">
      <w:pPr>
        <w:pStyle w:val="ListParagraph"/>
        <w:widowControl w:val="0"/>
        <w:numPr>
          <w:ilvl w:val="1"/>
          <w:numId w:val="35"/>
        </w:numPr>
        <w:tabs>
          <w:tab w:val="left" w:pos="873"/>
          <w:tab w:val="left" w:pos="874"/>
        </w:tabs>
        <w:ind w:right="159"/>
        <w:jc w:val="both"/>
        <w:rPr>
          <w:rFonts w:ascii="Arial" w:hAnsi="Arial" w:cs="Arial"/>
          <w:sz w:val="24"/>
          <w:szCs w:val="24"/>
        </w:rPr>
      </w:pPr>
      <w:r w:rsidRPr="00A604C1">
        <w:rPr>
          <w:rFonts w:ascii="Arial" w:hAnsi="Arial" w:cs="Arial"/>
          <w:sz w:val="24"/>
          <w:szCs w:val="24"/>
        </w:rPr>
        <w:t>În judeţul Caraş-Severin găsim unităţi de cercetare în inginerie mecanică, cultivarea fructelor şi creşterea</w:t>
      </w:r>
      <w:r w:rsidRPr="00A604C1">
        <w:rPr>
          <w:rFonts w:ascii="Arial" w:hAnsi="Arial" w:cs="Arial"/>
          <w:spacing w:val="-5"/>
          <w:sz w:val="24"/>
          <w:szCs w:val="24"/>
        </w:rPr>
        <w:t xml:space="preserve"> </w:t>
      </w:r>
      <w:r w:rsidRPr="00A604C1">
        <w:rPr>
          <w:rFonts w:ascii="Arial" w:hAnsi="Arial" w:cs="Arial"/>
          <w:sz w:val="24"/>
          <w:szCs w:val="24"/>
        </w:rPr>
        <w:t>ovinelor;</w:t>
      </w:r>
    </w:p>
    <w:p w:rsidR="005B3B58" w:rsidRPr="00A604C1" w:rsidRDefault="005B3B58" w:rsidP="00445724">
      <w:pPr>
        <w:pStyle w:val="ListParagraph"/>
        <w:widowControl w:val="0"/>
        <w:numPr>
          <w:ilvl w:val="1"/>
          <w:numId w:val="35"/>
        </w:numPr>
        <w:tabs>
          <w:tab w:val="left" w:pos="873"/>
          <w:tab w:val="left" w:pos="874"/>
        </w:tabs>
        <w:ind w:right="159"/>
        <w:jc w:val="both"/>
        <w:rPr>
          <w:rFonts w:ascii="Arial" w:hAnsi="Arial" w:cs="Arial"/>
          <w:sz w:val="24"/>
          <w:szCs w:val="24"/>
        </w:rPr>
      </w:pPr>
      <w:r w:rsidRPr="00A604C1">
        <w:rPr>
          <w:rFonts w:ascii="Arial" w:hAnsi="Arial" w:cs="Arial"/>
          <w:sz w:val="24"/>
          <w:szCs w:val="24"/>
        </w:rPr>
        <w:t>În</w:t>
      </w:r>
      <w:r w:rsidRPr="00A604C1">
        <w:rPr>
          <w:rFonts w:ascii="Arial" w:hAnsi="Arial" w:cs="Arial"/>
          <w:spacing w:val="38"/>
          <w:sz w:val="24"/>
          <w:szCs w:val="24"/>
        </w:rPr>
        <w:t xml:space="preserve"> </w:t>
      </w:r>
      <w:r w:rsidRPr="00A604C1">
        <w:rPr>
          <w:rFonts w:ascii="Arial" w:hAnsi="Arial" w:cs="Arial"/>
          <w:sz w:val="24"/>
          <w:szCs w:val="24"/>
        </w:rPr>
        <w:t>judeţul</w:t>
      </w:r>
      <w:r w:rsidRPr="00A604C1">
        <w:rPr>
          <w:rFonts w:ascii="Arial" w:hAnsi="Arial" w:cs="Arial"/>
          <w:spacing w:val="37"/>
          <w:sz w:val="24"/>
          <w:szCs w:val="24"/>
        </w:rPr>
        <w:t xml:space="preserve"> </w:t>
      </w:r>
      <w:r w:rsidRPr="00A604C1">
        <w:rPr>
          <w:rFonts w:ascii="Arial" w:hAnsi="Arial" w:cs="Arial"/>
          <w:sz w:val="24"/>
          <w:szCs w:val="24"/>
        </w:rPr>
        <w:t>Timiş</w:t>
      </w:r>
      <w:r w:rsidRPr="00A604C1">
        <w:rPr>
          <w:rFonts w:ascii="Arial" w:hAnsi="Arial" w:cs="Arial"/>
          <w:sz w:val="24"/>
          <w:szCs w:val="24"/>
        </w:rPr>
        <w:tab/>
        <w:t xml:space="preserve">sunt concentrate majoritatea unităţilor de cercetare   </w:t>
      </w:r>
      <w:r w:rsidRPr="00A604C1">
        <w:rPr>
          <w:rFonts w:ascii="Arial" w:hAnsi="Arial" w:cs="Arial"/>
          <w:spacing w:val="34"/>
          <w:sz w:val="24"/>
          <w:szCs w:val="24"/>
        </w:rPr>
        <w:t xml:space="preserve"> </w:t>
      </w:r>
      <w:r w:rsidRPr="00A604C1">
        <w:rPr>
          <w:rFonts w:ascii="Arial" w:hAnsi="Arial" w:cs="Arial"/>
          <w:sz w:val="24"/>
          <w:szCs w:val="24"/>
        </w:rPr>
        <w:t>ale</w:t>
      </w:r>
      <w:r w:rsidRPr="00A604C1">
        <w:rPr>
          <w:rFonts w:ascii="Arial" w:hAnsi="Arial" w:cs="Arial"/>
          <w:spacing w:val="37"/>
          <w:sz w:val="24"/>
          <w:szCs w:val="24"/>
        </w:rPr>
        <w:t xml:space="preserve"> </w:t>
      </w:r>
      <w:r w:rsidRPr="00A604C1">
        <w:rPr>
          <w:rFonts w:ascii="Arial" w:hAnsi="Arial" w:cs="Arial"/>
          <w:sz w:val="24"/>
          <w:szCs w:val="24"/>
        </w:rPr>
        <w:t>regiunii, aşadar domeniile sunt mai diverse: sudură şi testarea materialelor, chimie şi</w:t>
      </w:r>
      <w:r w:rsidRPr="00A604C1">
        <w:rPr>
          <w:rFonts w:ascii="Arial" w:hAnsi="Arial" w:cs="Arial"/>
          <w:spacing w:val="65"/>
          <w:sz w:val="24"/>
          <w:szCs w:val="24"/>
        </w:rPr>
        <w:t xml:space="preserve"> </w:t>
      </w:r>
      <w:r w:rsidRPr="00A604C1">
        <w:rPr>
          <w:rFonts w:ascii="Arial" w:hAnsi="Arial" w:cs="Arial"/>
          <w:sz w:val="24"/>
          <w:szCs w:val="24"/>
        </w:rPr>
        <w:t>electro</w:t>
      </w:r>
      <w:r w:rsidR="008B2808" w:rsidRPr="00A604C1">
        <w:rPr>
          <w:rFonts w:ascii="Arial" w:hAnsi="Arial" w:cs="Arial"/>
          <w:sz w:val="24"/>
          <w:szCs w:val="24"/>
        </w:rPr>
        <w:t>-</w:t>
      </w:r>
      <w:r w:rsidRPr="00A604C1">
        <w:rPr>
          <w:rFonts w:ascii="Arial" w:hAnsi="Arial" w:cs="Arial"/>
          <w:sz w:val="24"/>
          <w:szCs w:val="24"/>
        </w:rPr>
        <w:t>chimie, fizică, silvicultură, construcţii, sănătate publică, maşini hidraulice, agricultură, medicină, ştiinţe sociale etc.</w:t>
      </w:r>
      <w:r w:rsidR="008B2808" w:rsidRPr="00A604C1">
        <w:rPr>
          <w:rFonts w:ascii="Arial" w:hAnsi="Arial" w:cs="Arial"/>
          <w:sz w:val="24"/>
          <w:szCs w:val="24"/>
        </w:rPr>
        <w:t xml:space="preserve"> (</w:t>
      </w:r>
      <w:r w:rsidR="008B2808" w:rsidRPr="00A604C1">
        <w:rPr>
          <w:rFonts w:ascii="Arial" w:eastAsia="TimesNewRomanPSMT" w:hAnsi="Arial" w:cs="Arial"/>
          <w:i/>
          <w:sz w:val="24"/>
          <w:szCs w:val="24"/>
        </w:rPr>
        <w:t xml:space="preserve">informații preluate din </w:t>
      </w:r>
      <w:r w:rsidR="008B2808" w:rsidRPr="00A604C1">
        <w:rPr>
          <w:rFonts w:ascii="Arial" w:eastAsia="TimesNewRomanPSMT" w:hAnsi="Arial" w:cs="Arial"/>
          <w:i/>
          <w:iCs/>
          <w:sz w:val="24"/>
          <w:szCs w:val="24"/>
        </w:rPr>
        <w:t>PDR Regiunea Vest 2014-2020, pag. 82-83)</w:t>
      </w:r>
    </w:p>
    <w:p w:rsidR="00503C1A" w:rsidRDefault="005B3B58" w:rsidP="00FA2298">
      <w:pPr>
        <w:spacing w:after="0" w:line="240" w:lineRule="auto"/>
        <w:ind w:left="-90"/>
        <w:jc w:val="both"/>
        <w:rPr>
          <w:rFonts w:ascii="Arial" w:hAnsi="Arial" w:cs="Arial"/>
          <w:position w:val="9"/>
          <w:sz w:val="24"/>
          <w:szCs w:val="24"/>
        </w:rPr>
      </w:pPr>
      <w:r w:rsidRPr="00794557">
        <w:rPr>
          <w:rFonts w:ascii="Arial" w:hAnsi="Arial" w:cs="Arial"/>
          <w:sz w:val="24"/>
          <w:szCs w:val="24"/>
        </w:rPr>
        <w:t xml:space="preserve">Activitatea de cercetare-dezvoltare-inovare stă la baza strategiei UE de a deveni </w:t>
      </w:r>
      <w:r w:rsidRPr="00794557">
        <w:rPr>
          <w:rFonts w:ascii="Arial" w:hAnsi="Arial" w:cs="Arial"/>
          <w:i/>
          <w:sz w:val="24"/>
          <w:szCs w:val="24"/>
        </w:rPr>
        <w:t xml:space="preserve">cea mai competitivă şi dinamică economie bazată pe cunoaştere </w:t>
      </w:r>
      <w:r w:rsidRPr="00794557">
        <w:rPr>
          <w:rFonts w:ascii="Arial" w:hAnsi="Arial" w:cs="Arial"/>
          <w:sz w:val="24"/>
          <w:szCs w:val="24"/>
        </w:rPr>
        <w:t>până în 2020. Unul din obiectivele iniţiale stabilite de Strategia de la Lisabona şi menţinut în strategia Europa 2020 este de a creşte cheltuielile de cercetare-dez</w:t>
      </w:r>
      <w:r w:rsidR="00503C1A">
        <w:rPr>
          <w:rFonts w:ascii="Arial" w:hAnsi="Arial" w:cs="Arial"/>
          <w:sz w:val="24"/>
          <w:szCs w:val="24"/>
        </w:rPr>
        <w:t xml:space="preserve">voltare cu cel puţin 3% din PIB </w:t>
      </w:r>
      <w:r w:rsidRPr="00794557">
        <w:rPr>
          <w:rFonts w:ascii="Arial" w:hAnsi="Arial" w:cs="Arial"/>
          <w:sz w:val="24"/>
          <w:szCs w:val="24"/>
        </w:rPr>
        <w:t>până în 2010, din care două treimi ar trebui finanţate de sectorul de afaceri.</w:t>
      </w:r>
      <w:r w:rsidR="00C47897">
        <w:rPr>
          <w:rFonts w:ascii="Arial" w:hAnsi="Arial" w:cs="Arial"/>
          <w:sz w:val="24"/>
          <w:szCs w:val="24"/>
        </w:rPr>
        <w:t xml:space="preserve"> (</w:t>
      </w:r>
      <w:r w:rsidR="00C47897" w:rsidRPr="00A604C1">
        <w:rPr>
          <w:rFonts w:ascii="Arial" w:eastAsia="TimesNewRomanPSMT" w:hAnsi="Arial" w:cs="Arial"/>
          <w:i/>
          <w:sz w:val="24"/>
          <w:szCs w:val="24"/>
        </w:rPr>
        <w:t xml:space="preserve">informații preluate din </w:t>
      </w:r>
      <w:r w:rsidR="00C47897" w:rsidRPr="00A604C1">
        <w:rPr>
          <w:rFonts w:ascii="Arial" w:eastAsia="TimesNewRomanPSMT" w:hAnsi="Arial" w:cs="Arial"/>
          <w:i/>
          <w:iCs/>
          <w:sz w:val="24"/>
          <w:szCs w:val="24"/>
        </w:rPr>
        <w:t>PDR Regiunea Vest 2014-2020, pag. 8</w:t>
      </w:r>
      <w:r w:rsidR="00C47897">
        <w:rPr>
          <w:rFonts w:ascii="Arial" w:eastAsia="TimesNewRomanPSMT" w:hAnsi="Arial" w:cs="Arial"/>
          <w:i/>
          <w:iCs/>
          <w:sz w:val="24"/>
          <w:szCs w:val="24"/>
        </w:rPr>
        <w:t>3</w:t>
      </w:r>
      <w:r w:rsidR="00C47897" w:rsidRPr="00A604C1">
        <w:rPr>
          <w:rFonts w:ascii="Arial" w:eastAsia="TimesNewRomanPSMT" w:hAnsi="Arial" w:cs="Arial"/>
          <w:i/>
          <w:iCs/>
          <w:sz w:val="24"/>
          <w:szCs w:val="24"/>
        </w:rPr>
        <w:t>-8</w:t>
      </w:r>
      <w:r w:rsidR="00C47897">
        <w:rPr>
          <w:rFonts w:ascii="Arial" w:eastAsia="TimesNewRomanPSMT" w:hAnsi="Arial" w:cs="Arial"/>
          <w:i/>
          <w:iCs/>
          <w:sz w:val="24"/>
          <w:szCs w:val="24"/>
        </w:rPr>
        <w:t>5</w:t>
      </w:r>
      <w:r w:rsidR="00C47897">
        <w:rPr>
          <w:rFonts w:ascii="Arial" w:hAnsi="Arial" w:cs="Arial"/>
          <w:sz w:val="24"/>
          <w:szCs w:val="24"/>
        </w:rPr>
        <w:t>)</w:t>
      </w:r>
    </w:p>
    <w:p w:rsidR="00503C1A" w:rsidRDefault="00503C1A" w:rsidP="00FA2298">
      <w:pPr>
        <w:spacing w:after="0" w:line="240" w:lineRule="auto"/>
        <w:ind w:left="-90"/>
        <w:jc w:val="both"/>
        <w:rPr>
          <w:rFonts w:ascii="Arial" w:hAnsi="Arial" w:cs="Arial"/>
          <w:color w:val="FF0000"/>
          <w:sz w:val="24"/>
          <w:szCs w:val="24"/>
        </w:rPr>
      </w:pPr>
      <w:r w:rsidRPr="00503C1A">
        <w:rPr>
          <w:rFonts w:ascii="Arial" w:hAnsi="Arial" w:cs="Arial"/>
          <w:i/>
          <w:sz w:val="24"/>
          <w:szCs w:val="24"/>
        </w:rPr>
        <w:t xml:space="preserve">Cantitatea de </w:t>
      </w:r>
      <w:r w:rsidRPr="00503C1A">
        <w:rPr>
          <w:rFonts w:ascii="Arial" w:hAnsi="Arial" w:cs="Arial"/>
          <w:sz w:val="24"/>
          <w:szCs w:val="24"/>
        </w:rPr>
        <w:t>cheltuieli interne brute pentru cercetare-dezvoltare pe cap de locuitor</w:t>
      </w:r>
      <w:r w:rsidRPr="00503C1A">
        <w:rPr>
          <w:rFonts w:ascii="Arial" w:hAnsi="Arial" w:cs="Arial"/>
          <w:i/>
          <w:sz w:val="24"/>
          <w:szCs w:val="24"/>
        </w:rPr>
        <w:t xml:space="preserve"> (CIBCD) în Regiunea Vest este de doar 15,5 Euro/locuitor în anul 2011. Această</w:t>
      </w:r>
      <w:r w:rsidRPr="00503C1A">
        <w:rPr>
          <w:rFonts w:ascii="Arial" w:hAnsi="Arial" w:cs="Arial"/>
          <w:i/>
          <w:spacing w:val="-6"/>
          <w:sz w:val="24"/>
          <w:szCs w:val="24"/>
        </w:rPr>
        <w:t xml:space="preserve"> </w:t>
      </w:r>
      <w:r w:rsidRPr="00503C1A">
        <w:rPr>
          <w:rFonts w:ascii="Arial" w:hAnsi="Arial" w:cs="Arial"/>
          <w:i/>
          <w:sz w:val="24"/>
          <w:szCs w:val="24"/>
        </w:rPr>
        <w:t>valoare</w:t>
      </w:r>
      <w:r w:rsidRPr="00503C1A">
        <w:rPr>
          <w:rFonts w:ascii="Arial" w:hAnsi="Arial" w:cs="Arial"/>
          <w:i/>
          <w:spacing w:val="-7"/>
          <w:sz w:val="24"/>
          <w:szCs w:val="24"/>
        </w:rPr>
        <w:t xml:space="preserve"> </w:t>
      </w:r>
      <w:r w:rsidRPr="00503C1A">
        <w:rPr>
          <w:rFonts w:ascii="Arial" w:hAnsi="Arial" w:cs="Arial"/>
          <w:i/>
          <w:sz w:val="24"/>
          <w:szCs w:val="24"/>
        </w:rPr>
        <w:t>plasează</w:t>
      </w:r>
      <w:r w:rsidRPr="00503C1A">
        <w:rPr>
          <w:rFonts w:ascii="Arial" w:hAnsi="Arial" w:cs="Arial"/>
          <w:i/>
          <w:spacing w:val="-6"/>
          <w:sz w:val="24"/>
          <w:szCs w:val="24"/>
        </w:rPr>
        <w:t xml:space="preserve"> </w:t>
      </w:r>
      <w:r w:rsidRPr="00503C1A">
        <w:rPr>
          <w:rFonts w:ascii="Arial" w:hAnsi="Arial" w:cs="Arial"/>
          <w:i/>
          <w:sz w:val="24"/>
          <w:szCs w:val="24"/>
        </w:rPr>
        <w:t>regiunea</w:t>
      </w:r>
      <w:r w:rsidRPr="00503C1A">
        <w:rPr>
          <w:rFonts w:ascii="Arial" w:hAnsi="Arial" w:cs="Arial"/>
          <w:i/>
          <w:spacing w:val="-6"/>
          <w:sz w:val="24"/>
          <w:szCs w:val="24"/>
        </w:rPr>
        <w:t xml:space="preserve"> </w:t>
      </w:r>
      <w:r w:rsidRPr="00503C1A">
        <w:rPr>
          <w:rFonts w:ascii="Arial" w:hAnsi="Arial" w:cs="Arial"/>
          <w:i/>
          <w:sz w:val="24"/>
          <w:szCs w:val="24"/>
        </w:rPr>
        <w:t>pe</w:t>
      </w:r>
      <w:r w:rsidRPr="00503C1A">
        <w:rPr>
          <w:rFonts w:ascii="Arial" w:hAnsi="Arial" w:cs="Arial"/>
          <w:i/>
          <w:spacing w:val="-6"/>
          <w:sz w:val="24"/>
          <w:szCs w:val="24"/>
        </w:rPr>
        <w:t xml:space="preserve"> </w:t>
      </w:r>
      <w:r w:rsidRPr="00503C1A">
        <w:rPr>
          <w:rFonts w:ascii="Arial" w:hAnsi="Arial" w:cs="Arial"/>
          <w:i/>
          <w:sz w:val="24"/>
          <w:szCs w:val="24"/>
        </w:rPr>
        <w:t>locul</w:t>
      </w:r>
      <w:r w:rsidRPr="00503C1A">
        <w:rPr>
          <w:rFonts w:ascii="Arial" w:hAnsi="Arial" w:cs="Arial"/>
          <w:i/>
          <w:spacing w:val="-7"/>
          <w:sz w:val="24"/>
          <w:szCs w:val="24"/>
        </w:rPr>
        <w:t xml:space="preserve"> </w:t>
      </w:r>
      <w:r w:rsidRPr="00503C1A">
        <w:rPr>
          <w:rFonts w:ascii="Arial" w:hAnsi="Arial" w:cs="Arial"/>
          <w:i/>
          <w:sz w:val="24"/>
          <w:szCs w:val="24"/>
        </w:rPr>
        <w:t>4</w:t>
      </w:r>
      <w:r w:rsidRPr="00503C1A">
        <w:rPr>
          <w:rFonts w:ascii="Arial" w:hAnsi="Arial" w:cs="Arial"/>
          <w:i/>
          <w:spacing w:val="-4"/>
          <w:sz w:val="24"/>
          <w:szCs w:val="24"/>
        </w:rPr>
        <w:t xml:space="preserve"> </w:t>
      </w:r>
      <w:r w:rsidRPr="00503C1A">
        <w:rPr>
          <w:rFonts w:ascii="Arial" w:hAnsi="Arial" w:cs="Arial"/>
          <w:i/>
          <w:sz w:val="24"/>
          <w:szCs w:val="24"/>
        </w:rPr>
        <w:t>în</w:t>
      </w:r>
      <w:r w:rsidRPr="00503C1A">
        <w:rPr>
          <w:rFonts w:ascii="Arial" w:hAnsi="Arial" w:cs="Arial"/>
          <w:i/>
          <w:spacing w:val="-6"/>
          <w:sz w:val="24"/>
          <w:szCs w:val="24"/>
        </w:rPr>
        <w:t xml:space="preserve"> </w:t>
      </w:r>
      <w:r w:rsidRPr="00503C1A">
        <w:rPr>
          <w:rFonts w:ascii="Arial" w:hAnsi="Arial" w:cs="Arial"/>
          <w:i/>
          <w:sz w:val="24"/>
          <w:szCs w:val="24"/>
        </w:rPr>
        <w:t>România,</w:t>
      </w:r>
      <w:r w:rsidRPr="00503C1A">
        <w:rPr>
          <w:rFonts w:ascii="Arial" w:hAnsi="Arial" w:cs="Arial"/>
          <w:i/>
          <w:spacing w:val="-5"/>
          <w:sz w:val="24"/>
          <w:szCs w:val="24"/>
        </w:rPr>
        <w:t xml:space="preserve"> </w:t>
      </w:r>
      <w:r w:rsidRPr="00503C1A">
        <w:rPr>
          <w:rFonts w:ascii="Arial" w:hAnsi="Arial" w:cs="Arial"/>
          <w:i/>
          <w:sz w:val="24"/>
          <w:szCs w:val="24"/>
        </w:rPr>
        <w:t>cu</w:t>
      </w:r>
      <w:r w:rsidRPr="00503C1A">
        <w:rPr>
          <w:rFonts w:ascii="Arial" w:hAnsi="Arial" w:cs="Arial"/>
          <w:i/>
          <w:spacing w:val="-6"/>
          <w:sz w:val="24"/>
          <w:szCs w:val="24"/>
        </w:rPr>
        <w:t xml:space="preserve"> </w:t>
      </w:r>
      <w:r w:rsidRPr="00503C1A">
        <w:rPr>
          <w:rFonts w:ascii="Arial" w:hAnsi="Arial" w:cs="Arial"/>
          <w:i/>
          <w:sz w:val="24"/>
          <w:szCs w:val="24"/>
        </w:rPr>
        <w:t>47,7%</w:t>
      </w:r>
      <w:r w:rsidRPr="00503C1A">
        <w:rPr>
          <w:rFonts w:ascii="Arial" w:hAnsi="Arial" w:cs="Arial"/>
          <w:i/>
          <w:spacing w:val="-6"/>
          <w:sz w:val="24"/>
          <w:szCs w:val="24"/>
        </w:rPr>
        <w:t xml:space="preserve"> </w:t>
      </w:r>
      <w:r w:rsidRPr="00503C1A">
        <w:rPr>
          <w:rFonts w:ascii="Arial" w:hAnsi="Arial" w:cs="Arial"/>
          <w:i/>
          <w:sz w:val="24"/>
          <w:szCs w:val="24"/>
        </w:rPr>
        <w:t>din</w:t>
      </w:r>
      <w:r w:rsidRPr="00503C1A">
        <w:rPr>
          <w:rFonts w:ascii="Arial" w:hAnsi="Arial" w:cs="Arial"/>
          <w:i/>
          <w:spacing w:val="-6"/>
          <w:sz w:val="24"/>
          <w:szCs w:val="24"/>
        </w:rPr>
        <w:t xml:space="preserve"> </w:t>
      </w:r>
      <w:r w:rsidRPr="00503C1A">
        <w:rPr>
          <w:rFonts w:ascii="Arial" w:hAnsi="Arial" w:cs="Arial"/>
          <w:i/>
          <w:sz w:val="24"/>
          <w:szCs w:val="24"/>
        </w:rPr>
        <w:t>media</w:t>
      </w:r>
      <w:r w:rsidRPr="00503C1A">
        <w:rPr>
          <w:rFonts w:ascii="Arial" w:hAnsi="Arial" w:cs="Arial"/>
          <w:i/>
          <w:spacing w:val="-6"/>
          <w:sz w:val="24"/>
          <w:szCs w:val="24"/>
        </w:rPr>
        <w:t xml:space="preserve"> </w:t>
      </w:r>
      <w:r w:rsidRPr="00503C1A">
        <w:rPr>
          <w:rFonts w:ascii="Arial" w:hAnsi="Arial" w:cs="Arial"/>
          <w:i/>
          <w:sz w:val="24"/>
          <w:szCs w:val="24"/>
        </w:rPr>
        <w:t>pe</w:t>
      </w:r>
      <w:r w:rsidRPr="00503C1A">
        <w:rPr>
          <w:rFonts w:ascii="Arial" w:hAnsi="Arial" w:cs="Arial"/>
          <w:i/>
          <w:spacing w:val="-6"/>
          <w:sz w:val="24"/>
          <w:szCs w:val="24"/>
        </w:rPr>
        <w:t xml:space="preserve"> </w:t>
      </w:r>
      <w:r w:rsidRPr="00503C1A">
        <w:rPr>
          <w:rFonts w:ascii="Arial" w:hAnsi="Arial" w:cs="Arial"/>
          <w:i/>
          <w:sz w:val="24"/>
          <w:szCs w:val="24"/>
        </w:rPr>
        <w:t>România</w:t>
      </w:r>
      <w:r w:rsidRPr="00503C1A">
        <w:rPr>
          <w:rFonts w:ascii="Arial" w:hAnsi="Arial" w:cs="Arial"/>
          <w:i/>
          <w:spacing w:val="-6"/>
          <w:sz w:val="24"/>
          <w:szCs w:val="24"/>
        </w:rPr>
        <w:t xml:space="preserve"> </w:t>
      </w:r>
      <w:r w:rsidRPr="00503C1A">
        <w:rPr>
          <w:rFonts w:ascii="Arial" w:hAnsi="Arial" w:cs="Arial"/>
          <w:i/>
          <w:sz w:val="24"/>
          <w:szCs w:val="24"/>
        </w:rPr>
        <w:t>şi doar</w:t>
      </w:r>
      <w:r w:rsidRPr="00503C1A">
        <w:rPr>
          <w:rFonts w:ascii="Arial" w:hAnsi="Arial" w:cs="Arial"/>
          <w:i/>
          <w:spacing w:val="-9"/>
          <w:sz w:val="24"/>
          <w:szCs w:val="24"/>
        </w:rPr>
        <w:t xml:space="preserve"> </w:t>
      </w:r>
      <w:r w:rsidRPr="00503C1A">
        <w:rPr>
          <w:rFonts w:ascii="Arial" w:hAnsi="Arial" w:cs="Arial"/>
          <w:i/>
          <w:sz w:val="24"/>
          <w:szCs w:val="24"/>
        </w:rPr>
        <w:t>9,3%</w:t>
      </w:r>
      <w:r w:rsidRPr="00503C1A">
        <w:rPr>
          <w:rFonts w:ascii="Arial" w:hAnsi="Arial" w:cs="Arial"/>
          <w:i/>
          <w:spacing w:val="-9"/>
          <w:sz w:val="24"/>
          <w:szCs w:val="24"/>
        </w:rPr>
        <w:t xml:space="preserve"> </w:t>
      </w:r>
      <w:r w:rsidRPr="00503C1A">
        <w:rPr>
          <w:rFonts w:ascii="Arial" w:hAnsi="Arial" w:cs="Arial"/>
          <w:i/>
          <w:sz w:val="24"/>
          <w:szCs w:val="24"/>
        </w:rPr>
        <w:t>faţă</w:t>
      </w:r>
      <w:r w:rsidRPr="00503C1A">
        <w:rPr>
          <w:rFonts w:ascii="Arial" w:hAnsi="Arial" w:cs="Arial"/>
          <w:i/>
          <w:spacing w:val="-10"/>
          <w:sz w:val="24"/>
          <w:szCs w:val="24"/>
        </w:rPr>
        <w:t xml:space="preserve"> </w:t>
      </w:r>
      <w:r w:rsidRPr="00503C1A">
        <w:rPr>
          <w:rFonts w:ascii="Arial" w:hAnsi="Arial" w:cs="Arial"/>
          <w:i/>
          <w:sz w:val="24"/>
          <w:szCs w:val="24"/>
        </w:rPr>
        <w:t>de</w:t>
      </w:r>
      <w:r w:rsidRPr="00503C1A">
        <w:rPr>
          <w:rFonts w:ascii="Arial" w:hAnsi="Arial" w:cs="Arial"/>
          <w:i/>
          <w:spacing w:val="-10"/>
          <w:sz w:val="24"/>
          <w:szCs w:val="24"/>
        </w:rPr>
        <w:t xml:space="preserve"> </w:t>
      </w:r>
      <w:r w:rsidRPr="00503C1A">
        <w:rPr>
          <w:rFonts w:ascii="Arial" w:hAnsi="Arial" w:cs="Arial"/>
          <w:i/>
          <w:sz w:val="24"/>
          <w:szCs w:val="24"/>
        </w:rPr>
        <w:t>zona</w:t>
      </w:r>
      <w:r w:rsidRPr="00503C1A">
        <w:rPr>
          <w:rFonts w:ascii="Arial" w:hAnsi="Arial" w:cs="Arial"/>
          <w:i/>
          <w:spacing w:val="-9"/>
          <w:sz w:val="24"/>
          <w:szCs w:val="24"/>
        </w:rPr>
        <w:t xml:space="preserve"> </w:t>
      </w:r>
      <w:r w:rsidRPr="00503C1A">
        <w:rPr>
          <w:rFonts w:ascii="Arial" w:hAnsi="Arial" w:cs="Arial"/>
          <w:i/>
          <w:sz w:val="24"/>
          <w:szCs w:val="24"/>
        </w:rPr>
        <w:t>cu</w:t>
      </w:r>
      <w:r w:rsidRPr="00503C1A">
        <w:rPr>
          <w:rFonts w:ascii="Arial" w:hAnsi="Arial" w:cs="Arial"/>
          <w:i/>
          <w:spacing w:val="-9"/>
          <w:sz w:val="24"/>
          <w:szCs w:val="24"/>
        </w:rPr>
        <w:t xml:space="preserve"> </w:t>
      </w:r>
      <w:r w:rsidRPr="00503C1A">
        <w:rPr>
          <w:rFonts w:ascii="Arial" w:hAnsi="Arial" w:cs="Arial"/>
          <w:i/>
          <w:sz w:val="24"/>
          <w:szCs w:val="24"/>
        </w:rPr>
        <w:t>cele</w:t>
      </w:r>
      <w:r w:rsidRPr="00503C1A">
        <w:rPr>
          <w:rFonts w:ascii="Arial" w:hAnsi="Arial" w:cs="Arial"/>
          <w:i/>
          <w:spacing w:val="-10"/>
          <w:sz w:val="24"/>
          <w:szCs w:val="24"/>
        </w:rPr>
        <w:t xml:space="preserve"> </w:t>
      </w:r>
      <w:r w:rsidRPr="00503C1A">
        <w:rPr>
          <w:rFonts w:ascii="Arial" w:hAnsi="Arial" w:cs="Arial"/>
          <w:i/>
          <w:sz w:val="24"/>
          <w:szCs w:val="24"/>
        </w:rPr>
        <w:t>mai</w:t>
      </w:r>
      <w:r w:rsidRPr="00503C1A">
        <w:rPr>
          <w:rFonts w:ascii="Arial" w:hAnsi="Arial" w:cs="Arial"/>
          <w:i/>
          <w:spacing w:val="-8"/>
          <w:sz w:val="24"/>
          <w:szCs w:val="24"/>
        </w:rPr>
        <w:t xml:space="preserve"> </w:t>
      </w:r>
      <w:r w:rsidRPr="00503C1A">
        <w:rPr>
          <w:rFonts w:ascii="Arial" w:hAnsi="Arial" w:cs="Arial"/>
          <w:i/>
          <w:sz w:val="24"/>
          <w:szCs w:val="24"/>
        </w:rPr>
        <w:t>bune</w:t>
      </w:r>
      <w:r w:rsidRPr="00503C1A">
        <w:rPr>
          <w:rFonts w:ascii="Arial" w:hAnsi="Arial" w:cs="Arial"/>
          <w:i/>
          <w:spacing w:val="-10"/>
          <w:sz w:val="24"/>
          <w:szCs w:val="24"/>
        </w:rPr>
        <w:t xml:space="preserve"> </w:t>
      </w:r>
      <w:r w:rsidRPr="00503C1A">
        <w:rPr>
          <w:rFonts w:ascii="Arial" w:hAnsi="Arial" w:cs="Arial"/>
          <w:i/>
          <w:sz w:val="24"/>
          <w:szCs w:val="24"/>
        </w:rPr>
        <w:t>performanţe</w:t>
      </w:r>
      <w:r w:rsidRPr="00503C1A">
        <w:rPr>
          <w:rFonts w:ascii="Arial" w:hAnsi="Arial" w:cs="Arial"/>
          <w:i/>
          <w:spacing w:val="-10"/>
          <w:sz w:val="24"/>
          <w:szCs w:val="24"/>
        </w:rPr>
        <w:t xml:space="preserve"> </w:t>
      </w:r>
      <w:r w:rsidRPr="00503C1A">
        <w:rPr>
          <w:rFonts w:ascii="Arial" w:hAnsi="Arial" w:cs="Arial"/>
          <w:i/>
          <w:sz w:val="24"/>
          <w:szCs w:val="24"/>
        </w:rPr>
        <w:t>(Bucureşti-Ilfov</w:t>
      </w:r>
      <w:r w:rsidRPr="00503C1A">
        <w:rPr>
          <w:rFonts w:ascii="Arial" w:hAnsi="Arial" w:cs="Arial"/>
          <w:i/>
          <w:spacing w:val="-8"/>
          <w:sz w:val="24"/>
          <w:szCs w:val="24"/>
        </w:rPr>
        <w:t xml:space="preserve"> </w:t>
      </w:r>
      <w:r w:rsidRPr="00503C1A">
        <w:rPr>
          <w:rFonts w:ascii="Arial" w:hAnsi="Arial" w:cs="Arial"/>
          <w:i/>
          <w:sz w:val="24"/>
          <w:szCs w:val="24"/>
        </w:rPr>
        <w:t>–</w:t>
      </w:r>
      <w:r w:rsidRPr="00503C1A">
        <w:rPr>
          <w:rFonts w:ascii="Arial" w:hAnsi="Arial" w:cs="Arial"/>
          <w:i/>
          <w:spacing w:val="-10"/>
          <w:sz w:val="24"/>
          <w:szCs w:val="24"/>
        </w:rPr>
        <w:t xml:space="preserve"> </w:t>
      </w:r>
      <w:r w:rsidRPr="00503C1A">
        <w:rPr>
          <w:rFonts w:ascii="Arial" w:hAnsi="Arial" w:cs="Arial"/>
          <w:i/>
          <w:sz w:val="24"/>
          <w:szCs w:val="24"/>
        </w:rPr>
        <w:t>167,3</w:t>
      </w:r>
      <w:r w:rsidRPr="00503C1A">
        <w:rPr>
          <w:rFonts w:ascii="Arial" w:hAnsi="Arial" w:cs="Arial"/>
          <w:i/>
          <w:spacing w:val="-9"/>
          <w:sz w:val="24"/>
          <w:szCs w:val="24"/>
        </w:rPr>
        <w:t xml:space="preserve"> </w:t>
      </w:r>
      <w:r w:rsidRPr="00503C1A">
        <w:rPr>
          <w:rFonts w:ascii="Arial" w:hAnsi="Arial" w:cs="Arial"/>
          <w:i/>
          <w:sz w:val="24"/>
          <w:szCs w:val="24"/>
        </w:rPr>
        <w:t>Euro/locuitor).</w:t>
      </w:r>
      <w:r w:rsidRPr="00794557">
        <w:rPr>
          <w:rFonts w:ascii="Arial" w:hAnsi="Arial" w:cs="Arial"/>
          <w:sz w:val="24"/>
          <w:szCs w:val="24"/>
        </w:rPr>
        <w:t>Regiunea Vest înregistrează totuşi o dinamică semnificativă a CIBCD pe cap de locuitor,</w:t>
      </w:r>
      <w:r w:rsidRPr="00794557">
        <w:rPr>
          <w:rFonts w:ascii="Arial" w:hAnsi="Arial" w:cs="Arial"/>
          <w:spacing w:val="-10"/>
          <w:sz w:val="24"/>
          <w:szCs w:val="24"/>
        </w:rPr>
        <w:t xml:space="preserve"> </w:t>
      </w:r>
      <w:r w:rsidRPr="00794557">
        <w:rPr>
          <w:rFonts w:ascii="Arial" w:hAnsi="Arial" w:cs="Arial"/>
          <w:sz w:val="24"/>
          <w:szCs w:val="24"/>
        </w:rPr>
        <w:t>cu</w:t>
      </w:r>
      <w:r w:rsidRPr="00794557">
        <w:rPr>
          <w:rFonts w:ascii="Arial" w:hAnsi="Arial" w:cs="Arial"/>
          <w:spacing w:val="-11"/>
          <w:sz w:val="24"/>
          <w:szCs w:val="24"/>
        </w:rPr>
        <w:t xml:space="preserve"> </w:t>
      </w:r>
      <w:r w:rsidRPr="00794557">
        <w:rPr>
          <w:rFonts w:ascii="Arial" w:hAnsi="Arial" w:cs="Arial"/>
          <w:sz w:val="24"/>
          <w:szCs w:val="24"/>
        </w:rPr>
        <w:t>o</w:t>
      </w:r>
      <w:r w:rsidRPr="00794557">
        <w:rPr>
          <w:rFonts w:ascii="Arial" w:hAnsi="Arial" w:cs="Arial"/>
          <w:spacing w:val="-10"/>
          <w:sz w:val="24"/>
          <w:szCs w:val="24"/>
        </w:rPr>
        <w:t xml:space="preserve"> </w:t>
      </w:r>
      <w:r w:rsidRPr="00794557">
        <w:rPr>
          <w:rFonts w:ascii="Arial" w:hAnsi="Arial" w:cs="Arial"/>
          <w:sz w:val="24"/>
          <w:szCs w:val="24"/>
        </w:rPr>
        <w:t>creştere</w:t>
      </w:r>
      <w:r w:rsidRPr="00794557">
        <w:rPr>
          <w:rFonts w:ascii="Arial" w:hAnsi="Arial" w:cs="Arial"/>
          <w:spacing w:val="-10"/>
          <w:sz w:val="24"/>
          <w:szCs w:val="24"/>
        </w:rPr>
        <w:t xml:space="preserve"> </w:t>
      </w:r>
      <w:r w:rsidRPr="00794557">
        <w:rPr>
          <w:rFonts w:ascii="Arial" w:hAnsi="Arial" w:cs="Arial"/>
          <w:sz w:val="24"/>
          <w:szCs w:val="24"/>
        </w:rPr>
        <w:t>globală</w:t>
      </w:r>
      <w:r w:rsidRPr="00794557">
        <w:rPr>
          <w:rFonts w:ascii="Arial" w:hAnsi="Arial" w:cs="Arial"/>
          <w:spacing w:val="-11"/>
          <w:sz w:val="24"/>
          <w:szCs w:val="24"/>
        </w:rPr>
        <w:t xml:space="preserve"> </w:t>
      </w:r>
      <w:r w:rsidRPr="00794557">
        <w:rPr>
          <w:rFonts w:ascii="Arial" w:hAnsi="Arial" w:cs="Arial"/>
          <w:sz w:val="24"/>
          <w:szCs w:val="24"/>
        </w:rPr>
        <w:t>de</w:t>
      </w:r>
      <w:r w:rsidRPr="00794557">
        <w:rPr>
          <w:rFonts w:ascii="Arial" w:hAnsi="Arial" w:cs="Arial"/>
          <w:spacing w:val="-12"/>
          <w:sz w:val="24"/>
          <w:szCs w:val="24"/>
        </w:rPr>
        <w:t xml:space="preserve"> </w:t>
      </w:r>
      <w:r w:rsidRPr="00794557">
        <w:rPr>
          <w:rFonts w:ascii="Arial" w:hAnsi="Arial" w:cs="Arial"/>
          <w:sz w:val="24"/>
          <w:szCs w:val="24"/>
        </w:rPr>
        <w:t>106,7%</w:t>
      </w:r>
      <w:r w:rsidRPr="00794557">
        <w:rPr>
          <w:rFonts w:ascii="Arial" w:hAnsi="Arial" w:cs="Arial"/>
          <w:spacing w:val="-11"/>
          <w:sz w:val="24"/>
          <w:szCs w:val="24"/>
        </w:rPr>
        <w:t xml:space="preserve"> </w:t>
      </w:r>
      <w:r w:rsidRPr="00794557">
        <w:rPr>
          <w:rFonts w:ascii="Arial" w:hAnsi="Arial" w:cs="Arial"/>
          <w:sz w:val="24"/>
          <w:szCs w:val="24"/>
        </w:rPr>
        <w:t>pentru</w:t>
      </w:r>
      <w:r w:rsidRPr="00794557">
        <w:rPr>
          <w:rFonts w:ascii="Arial" w:hAnsi="Arial" w:cs="Arial"/>
          <w:spacing w:val="-10"/>
          <w:sz w:val="24"/>
          <w:szCs w:val="24"/>
        </w:rPr>
        <w:t xml:space="preserve"> </w:t>
      </w:r>
      <w:r w:rsidRPr="00794557">
        <w:rPr>
          <w:rFonts w:ascii="Arial" w:hAnsi="Arial" w:cs="Arial"/>
          <w:sz w:val="24"/>
          <w:szCs w:val="24"/>
        </w:rPr>
        <w:t>perioada</w:t>
      </w:r>
      <w:r w:rsidRPr="00794557">
        <w:rPr>
          <w:rFonts w:ascii="Arial" w:hAnsi="Arial" w:cs="Arial"/>
          <w:spacing w:val="-11"/>
          <w:sz w:val="24"/>
          <w:szCs w:val="24"/>
        </w:rPr>
        <w:t xml:space="preserve"> </w:t>
      </w:r>
      <w:r w:rsidRPr="00794557">
        <w:rPr>
          <w:rFonts w:ascii="Arial" w:hAnsi="Arial" w:cs="Arial"/>
          <w:sz w:val="24"/>
          <w:szCs w:val="24"/>
        </w:rPr>
        <w:t>2005-2011.</w:t>
      </w:r>
      <w:r w:rsidRPr="00794557">
        <w:rPr>
          <w:rFonts w:ascii="Arial" w:hAnsi="Arial" w:cs="Arial"/>
          <w:spacing w:val="-10"/>
          <w:sz w:val="24"/>
          <w:szCs w:val="24"/>
        </w:rPr>
        <w:t xml:space="preserve"> </w:t>
      </w:r>
      <w:r w:rsidRPr="00794557">
        <w:rPr>
          <w:rFonts w:ascii="Arial" w:hAnsi="Arial" w:cs="Arial"/>
          <w:sz w:val="24"/>
          <w:szCs w:val="24"/>
        </w:rPr>
        <w:t>În</w:t>
      </w:r>
      <w:r w:rsidRPr="00794557">
        <w:rPr>
          <w:rFonts w:ascii="Arial" w:hAnsi="Arial" w:cs="Arial"/>
          <w:spacing w:val="-10"/>
          <w:sz w:val="24"/>
          <w:szCs w:val="24"/>
        </w:rPr>
        <w:t xml:space="preserve"> </w:t>
      </w:r>
      <w:r w:rsidRPr="00794557">
        <w:rPr>
          <w:rFonts w:ascii="Arial" w:hAnsi="Arial" w:cs="Arial"/>
          <w:sz w:val="24"/>
          <w:szCs w:val="24"/>
        </w:rPr>
        <w:t>termeni</w:t>
      </w:r>
      <w:r w:rsidRPr="00794557">
        <w:rPr>
          <w:rFonts w:ascii="Arial" w:hAnsi="Arial" w:cs="Arial"/>
          <w:spacing w:val="-12"/>
          <w:sz w:val="24"/>
          <w:szCs w:val="24"/>
        </w:rPr>
        <w:t xml:space="preserve"> </w:t>
      </w:r>
      <w:r w:rsidRPr="00794557">
        <w:rPr>
          <w:rFonts w:ascii="Arial" w:hAnsi="Arial" w:cs="Arial"/>
          <w:sz w:val="24"/>
          <w:szCs w:val="24"/>
        </w:rPr>
        <w:t>de</w:t>
      </w:r>
      <w:r w:rsidRPr="00794557">
        <w:rPr>
          <w:rFonts w:ascii="Arial" w:hAnsi="Arial" w:cs="Arial"/>
          <w:spacing w:val="-9"/>
          <w:sz w:val="24"/>
          <w:szCs w:val="24"/>
        </w:rPr>
        <w:t xml:space="preserve"> </w:t>
      </w:r>
      <w:r w:rsidRPr="00794557">
        <w:rPr>
          <w:rFonts w:ascii="Arial" w:hAnsi="Arial" w:cs="Arial"/>
          <w:sz w:val="24"/>
          <w:szCs w:val="24"/>
        </w:rPr>
        <w:t xml:space="preserve">creştere, regiunea se situează pe locul 4 în România, prima regiune fiind Nord-Vest (creştere globală de 191,1%). </w:t>
      </w:r>
    </w:p>
    <w:p w:rsidR="00503C1A" w:rsidRDefault="00503C1A" w:rsidP="00FA2298">
      <w:pPr>
        <w:spacing w:after="0" w:line="240" w:lineRule="auto"/>
        <w:ind w:left="-90"/>
        <w:jc w:val="both"/>
        <w:rPr>
          <w:rFonts w:ascii="Arial" w:hAnsi="Arial" w:cs="Arial"/>
          <w:sz w:val="24"/>
          <w:szCs w:val="24"/>
        </w:rPr>
      </w:pPr>
      <w:r w:rsidRPr="00794557">
        <w:rPr>
          <w:rFonts w:ascii="Arial" w:hAnsi="Arial" w:cs="Arial"/>
          <w:sz w:val="24"/>
          <w:szCs w:val="24"/>
        </w:rPr>
        <w:lastRenderedPageBreak/>
        <w:t>În anul 2008, în Regiunea Vest echivalentul a 0,3% din PIB-ul regional reprezentau cheltuielile pentru cercetare-dezvoltare. În anul 2009, situaţia regiunii se deteriorează, cheltuielile pentru cercetare-dezvoltare ca % din PIB în regiune fiind de doar 0,18%, valoare ce</w:t>
      </w:r>
      <w:r w:rsidRPr="00794557">
        <w:rPr>
          <w:rFonts w:ascii="Arial" w:hAnsi="Arial" w:cs="Arial"/>
          <w:spacing w:val="-6"/>
          <w:sz w:val="24"/>
          <w:szCs w:val="24"/>
        </w:rPr>
        <w:t xml:space="preserve"> </w:t>
      </w:r>
      <w:r w:rsidRPr="00794557">
        <w:rPr>
          <w:rFonts w:ascii="Arial" w:hAnsi="Arial" w:cs="Arial"/>
          <w:sz w:val="24"/>
          <w:szCs w:val="24"/>
        </w:rPr>
        <w:t>plasează</w:t>
      </w:r>
      <w:r w:rsidRPr="00794557">
        <w:rPr>
          <w:rFonts w:ascii="Arial" w:hAnsi="Arial" w:cs="Arial"/>
          <w:spacing w:val="-5"/>
          <w:sz w:val="24"/>
          <w:szCs w:val="24"/>
        </w:rPr>
        <w:t xml:space="preserve"> </w:t>
      </w:r>
      <w:r w:rsidRPr="00794557">
        <w:rPr>
          <w:rFonts w:ascii="Arial" w:hAnsi="Arial" w:cs="Arial"/>
          <w:sz w:val="24"/>
          <w:szCs w:val="24"/>
        </w:rPr>
        <w:t>regiunea</w:t>
      </w:r>
      <w:r w:rsidRPr="00794557">
        <w:rPr>
          <w:rFonts w:ascii="Arial" w:hAnsi="Arial" w:cs="Arial"/>
          <w:spacing w:val="-5"/>
          <w:sz w:val="24"/>
          <w:szCs w:val="24"/>
        </w:rPr>
        <w:t xml:space="preserve"> </w:t>
      </w:r>
      <w:r w:rsidRPr="00794557">
        <w:rPr>
          <w:rFonts w:ascii="Arial" w:hAnsi="Arial" w:cs="Arial"/>
          <w:sz w:val="24"/>
          <w:szCs w:val="24"/>
        </w:rPr>
        <w:t>pe</w:t>
      </w:r>
      <w:r w:rsidRPr="00794557">
        <w:rPr>
          <w:rFonts w:ascii="Arial" w:hAnsi="Arial" w:cs="Arial"/>
          <w:spacing w:val="-5"/>
          <w:sz w:val="24"/>
          <w:szCs w:val="24"/>
        </w:rPr>
        <w:t xml:space="preserve"> </w:t>
      </w:r>
      <w:r w:rsidRPr="00794557">
        <w:rPr>
          <w:rFonts w:ascii="Arial" w:hAnsi="Arial" w:cs="Arial"/>
          <w:sz w:val="24"/>
          <w:szCs w:val="24"/>
        </w:rPr>
        <w:t>penultimul</w:t>
      </w:r>
      <w:r w:rsidRPr="00794557">
        <w:rPr>
          <w:rFonts w:ascii="Arial" w:hAnsi="Arial" w:cs="Arial"/>
          <w:spacing w:val="-5"/>
          <w:sz w:val="24"/>
          <w:szCs w:val="24"/>
        </w:rPr>
        <w:t xml:space="preserve"> </w:t>
      </w:r>
      <w:r w:rsidRPr="00794557">
        <w:rPr>
          <w:rFonts w:ascii="Arial" w:hAnsi="Arial" w:cs="Arial"/>
          <w:sz w:val="24"/>
          <w:szCs w:val="24"/>
        </w:rPr>
        <w:t>loc</w:t>
      </w:r>
      <w:r w:rsidRPr="00794557">
        <w:rPr>
          <w:rFonts w:ascii="Arial" w:hAnsi="Arial" w:cs="Arial"/>
          <w:spacing w:val="-5"/>
          <w:sz w:val="24"/>
          <w:szCs w:val="24"/>
        </w:rPr>
        <w:t xml:space="preserve"> </w:t>
      </w:r>
      <w:r w:rsidRPr="00794557">
        <w:rPr>
          <w:rFonts w:ascii="Arial" w:hAnsi="Arial" w:cs="Arial"/>
          <w:sz w:val="24"/>
          <w:szCs w:val="24"/>
        </w:rPr>
        <w:t>în</w:t>
      </w:r>
      <w:r w:rsidRPr="00794557">
        <w:rPr>
          <w:rFonts w:ascii="Arial" w:hAnsi="Arial" w:cs="Arial"/>
          <w:spacing w:val="-4"/>
          <w:sz w:val="24"/>
          <w:szCs w:val="24"/>
        </w:rPr>
        <w:t xml:space="preserve"> </w:t>
      </w:r>
      <w:r w:rsidRPr="00794557">
        <w:rPr>
          <w:rFonts w:ascii="Arial" w:hAnsi="Arial" w:cs="Arial"/>
          <w:sz w:val="24"/>
          <w:szCs w:val="24"/>
        </w:rPr>
        <w:t>România,</w:t>
      </w:r>
      <w:r w:rsidRPr="00794557">
        <w:rPr>
          <w:rFonts w:ascii="Arial" w:hAnsi="Arial" w:cs="Arial"/>
          <w:spacing w:val="-4"/>
          <w:sz w:val="24"/>
          <w:szCs w:val="24"/>
        </w:rPr>
        <w:t xml:space="preserve"> </w:t>
      </w:r>
      <w:r w:rsidRPr="00794557">
        <w:rPr>
          <w:rFonts w:ascii="Arial" w:hAnsi="Arial" w:cs="Arial"/>
          <w:sz w:val="24"/>
          <w:szCs w:val="24"/>
        </w:rPr>
        <w:t>cu</w:t>
      </w:r>
      <w:r w:rsidRPr="00794557">
        <w:rPr>
          <w:rFonts w:ascii="Arial" w:hAnsi="Arial" w:cs="Arial"/>
          <w:spacing w:val="-4"/>
          <w:sz w:val="24"/>
          <w:szCs w:val="24"/>
        </w:rPr>
        <w:t xml:space="preserve"> </w:t>
      </w:r>
      <w:r w:rsidRPr="00794557">
        <w:rPr>
          <w:rFonts w:ascii="Arial" w:hAnsi="Arial" w:cs="Arial"/>
          <w:sz w:val="24"/>
          <w:szCs w:val="24"/>
        </w:rPr>
        <w:t>doar</w:t>
      </w:r>
      <w:r w:rsidRPr="00794557">
        <w:rPr>
          <w:rFonts w:ascii="Arial" w:hAnsi="Arial" w:cs="Arial"/>
          <w:spacing w:val="-4"/>
          <w:sz w:val="24"/>
          <w:szCs w:val="24"/>
        </w:rPr>
        <w:t xml:space="preserve"> </w:t>
      </w:r>
      <w:r w:rsidRPr="00794557">
        <w:rPr>
          <w:rFonts w:ascii="Arial" w:hAnsi="Arial" w:cs="Arial"/>
          <w:sz w:val="24"/>
          <w:szCs w:val="24"/>
        </w:rPr>
        <w:t>38,3%</w:t>
      </w:r>
      <w:r w:rsidRPr="00794557">
        <w:rPr>
          <w:rFonts w:ascii="Arial" w:hAnsi="Arial" w:cs="Arial"/>
          <w:spacing w:val="-4"/>
          <w:sz w:val="24"/>
          <w:szCs w:val="24"/>
        </w:rPr>
        <w:t xml:space="preserve"> </w:t>
      </w:r>
      <w:r w:rsidRPr="00794557">
        <w:rPr>
          <w:rFonts w:ascii="Arial" w:hAnsi="Arial" w:cs="Arial"/>
          <w:sz w:val="24"/>
          <w:szCs w:val="24"/>
        </w:rPr>
        <w:t>din</w:t>
      </w:r>
      <w:r w:rsidRPr="00794557">
        <w:rPr>
          <w:rFonts w:ascii="Arial" w:hAnsi="Arial" w:cs="Arial"/>
          <w:spacing w:val="-4"/>
          <w:sz w:val="24"/>
          <w:szCs w:val="24"/>
        </w:rPr>
        <w:t xml:space="preserve"> </w:t>
      </w:r>
      <w:r w:rsidRPr="00794557">
        <w:rPr>
          <w:rFonts w:ascii="Arial" w:hAnsi="Arial" w:cs="Arial"/>
          <w:sz w:val="24"/>
          <w:szCs w:val="24"/>
        </w:rPr>
        <w:t>media</w:t>
      </w:r>
      <w:r w:rsidRPr="00794557">
        <w:rPr>
          <w:rFonts w:ascii="Arial" w:hAnsi="Arial" w:cs="Arial"/>
          <w:spacing w:val="-5"/>
          <w:sz w:val="24"/>
          <w:szCs w:val="24"/>
        </w:rPr>
        <w:t xml:space="preserve"> </w:t>
      </w:r>
      <w:r w:rsidRPr="00794557">
        <w:rPr>
          <w:rFonts w:ascii="Arial" w:hAnsi="Arial" w:cs="Arial"/>
          <w:sz w:val="24"/>
          <w:szCs w:val="24"/>
        </w:rPr>
        <w:t>naţională</w:t>
      </w:r>
      <w:r w:rsidRPr="00794557">
        <w:rPr>
          <w:rFonts w:ascii="Arial" w:hAnsi="Arial" w:cs="Arial"/>
          <w:spacing w:val="-5"/>
          <w:sz w:val="24"/>
          <w:szCs w:val="24"/>
        </w:rPr>
        <w:t xml:space="preserve"> </w:t>
      </w:r>
      <w:r w:rsidRPr="00794557">
        <w:rPr>
          <w:rFonts w:ascii="Arial" w:hAnsi="Arial" w:cs="Arial"/>
          <w:sz w:val="24"/>
          <w:szCs w:val="24"/>
        </w:rPr>
        <w:t>(mai puţin chiar decât în 2001) şi 16,5% din media regiunii</w:t>
      </w:r>
      <w:r w:rsidRPr="00794557">
        <w:rPr>
          <w:rFonts w:ascii="Arial" w:hAnsi="Arial" w:cs="Arial"/>
          <w:spacing w:val="-11"/>
          <w:sz w:val="24"/>
          <w:szCs w:val="24"/>
        </w:rPr>
        <w:t xml:space="preserve"> </w:t>
      </w:r>
      <w:r w:rsidRPr="00794557">
        <w:rPr>
          <w:rFonts w:ascii="Arial" w:hAnsi="Arial" w:cs="Arial"/>
          <w:sz w:val="24"/>
          <w:szCs w:val="24"/>
        </w:rPr>
        <w:t>Bucureşti-Ilfov.</w:t>
      </w:r>
      <w:r>
        <w:rPr>
          <w:rFonts w:ascii="Arial" w:hAnsi="Arial" w:cs="Arial"/>
          <w:sz w:val="24"/>
          <w:szCs w:val="24"/>
        </w:rPr>
        <w:t xml:space="preserve"> </w:t>
      </w:r>
      <w:r w:rsidRPr="00794557">
        <w:rPr>
          <w:rFonts w:ascii="Arial" w:hAnsi="Arial" w:cs="Arial"/>
          <w:sz w:val="24"/>
          <w:szCs w:val="24"/>
        </w:rPr>
        <w:t>În anul 2011, ponderea cheltuielilor din PIB din Regiunea Vest pentru cercetare- dezvoltare a cunoscut o uşoară creştere ajungând la 0,23% alocare PIB.</w:t>
      </w:r>
    </w:p>
    <w:p w:rsidR="00D979D8" w:rsidRDefault="00503C1A" w:rsidP="00FA2298">
      <w:pPr>
        <w:spacing w:after="0" w:line="240" w:lineRule="auto"/>
        <w:ind w:left="-90"/>
        <w:jc w:val="both"/>
        <w:rPr>
          <w:rFonts w:ascii="Arial" w:hAnsi="Arial" w:cs="Arial"/>
          <w:sz w:val="24"/>
          <w:szCs w:val="24"/>
        </w:rPr>
      </w:pPr>
      <w:r w:rsidRPr="00794557">
        <w:rPr>
          <w:rFonts w:ascii="Arial" w:hAnsi="Arial" w:cs="Arial"/>
          <w:sz w:val="24"/>
          <w:szCs w:val="24"/>
        </w:rPr>
        <w:t xml:space="preserve">Disparităţile inter-regionale în activităţile de cercetare-dezvoltare ca % din PIB sunt semnificative. </w:t>
      </w:r>
      <w:r w:rsidR="00BE574E">
        <w:rPr>
          <w:rFonts w:ascii="Arial" w:hAnsi="Arial" w:cs="Arial"/>
          <w:sz w:val="24"/>
          <w:szCs w:val="24"/>
        </w:rPr>
        <w:t xml:space="preserve">Județul </w:t>
      </w:r>
      <w:r w:rsidRPr="00794557">
        <w:rPr>
          <w:rFonts w:ascii="Arial" w:hAnsi="Arial" w:cs="Arial"/>
          <w:sz w:val="24"/>
          <w:szCs w:val="24"/>
        </w:rPr>
        <w:t>Timiş este pe primul loc, cu 0,36% din PIB şi înregistrază o scădere medie anuală de 4,2% pentru perioada 2000-2009, în timp ce în judeţul Caraş-Severin CIBCD ca % din</w:t>
      </w:r>
      <w:r w:rsidRPr="00794557">
        <w:rPr>
          <w:rFonts w:ascii="Arial" w:hAnsi="Arial" w:cs="Arial"/>
          <w:spacing w:val="-9"/>
          <w:sz w:val="24"/>
          <w:szCs w:val="24"/>
        </w:rPr>
        <w:t xml:space="preserve"> </w:t>
      </w:r>
      <w:r w:rsidRPr="00794557">
        <w:rPr>
          <w:rFonts w:ascii="Arial" w:hAnsi="Arial" w:cs="Arial"/>
          <w:sz w:val="24"/>
          <w:szCs w:val="24"/>
        </w:rPr>
        <w:t>PIB</w:t>
      </w:r>
      <w:r w:rsidRPr="00794557">
        <w:rPr>
          <w:rFonts w:ascii="Arial" w:hAnsi="Arial" w:cs="Arial"/>
          <w:spacing w:val="-8"/>
          <w:sz w:val="24"/>
          <w:szCs w:val="24"/>
        </w:rPr>
        <w:t xml:space="preserve"> </w:t>
      </w:r>
      <w:r w:rsidRPr="00794557">
        <w:rPr>
          <w:rFonts w:ascii="Arial" w:hAnsi="Arial" w:cs="Arial"/>
          <w:sz w:val="24"/>
          <w:szCs w:val="24"/>
        </w:rPr>
        <w:t>sunt</w:t>
      </w:r>
      <w:r w:rsidRPr="00794557">
        <w:rPr>
          <w:rFonts w:ascii="Arial" w:hAnsi="Arial" w:cs="Arial"/>
          <w:spacing w:val="-9"/>
          <w:sz w:val="24"/>
          <w:szCs w:val="24"/>
        </w:rPr>
        <w:t xml:space="preserve"> </w:t>
      </w:r>
      <w:r w:rsidRPr="00794557">
        <w:rPr>
          <w:rFonts w:ascii="Arial" w:hAnsi="Arial" w:cs="Arial"/>
          <w:sz w:val="24"/>
          <w:szCs w:val="24"/>
        </w:rPr>
        <w:t>de</w:t>
      </w:r>
      <w:r w:rsidRPr="00794557">
        <w:rPr>
          <w:rFonts w:ascii="Arial" w:hAnsi="Arial" w:cs="Arial"/>
          <w:spacing w:val="-10"/>
          <w:sz w:val="24"/>
          <w:szCs w:val="24"/>
        </w:rPr>
        <w:t xml:space="preserve"> </w:t>
      </w:r>
      <w:r w:rsidRPr="00794557">
        <w:rPr>
          <w:rFonts w:ascii="Arial" w:hAnsi="Arial" w:cs="Arial"/>
          <w:sz w:val="24"/>
          <w:szCs w:val="24"/>
        </w:rPr>
        <w:t>doar</w:t>
      </w:r>
      <w:r w:rsidRPr="00794557">
        <w:rPr>
          <w:rFonts w:ascii="Arial" w:hAnsi="Arial" w:cs="Arial"/>
          <w:spacing w:val="-9"/>
          <w:sz w:val="24"/>
          <w:szCs w:val="24"/>
        </w:rPr>
        <w:t xml:space="preserve"> </w:t>
      </w:r>
      <w:r w:rsidRPr="00794557">
        <w:rPr>
          <w:rFonts w:ascii="Arial" w:hAnsi="Arial" w:cs="Arial"/>
          <w:sz w:val="24"/>
          <w:szCs w:val="24"/>
        </w:rPr>
        <w:t>0,01%.</w:t>
      </w:r>
      <w:r w:rsidRPr="00794557">
        <w:rPr>
          <w:rFonts w:ascii="Arial" w:hAnsi="Arial" w:cs="Arial"/>
          <w:spacing w:val="-8"/>
          <w:sz w:val="24"/>
          <w:szCs w:val="24"/>
        </w:rPr>
        <w:t xml:space="preserve"> </w:t>
      </w:r>
      <w:r w:rsidRPr="00794557">
        <w:rPr>
          <w:rFonts w:ascii="Arial" w:hAnsi="Arial" w:cs="Arial"/>
          <w:sz w:val="24"/>
          <w:szCs w:val="24"/>
        </w:rPr>
        <w:t>În</w:t>
      </w:r>
      <w:r w:rsidRPr="00794557">
        <w:rPr>
          <w:rFonts w:ascii="Arial" w:hAnsi="Arial" w:cs="Arial"/>
          <w:spacing w:val="-9"/>
          <w:sz w:val="24"/>
          <w:szCs w:val="24"/>
        </w:rPr>
        <w:t xml:space="preserve"> </w:t>
      </w:r>
      <w:r w:rsidRPr="00794557">
        <w:rPr>
          <w:rFonts w:ascii="Arial" w:hAnsi="Arial" w:cs="Arial"/>
          <w:sz w:val="24"/>
          <w:szCs w:val="24"/>
        </w:rPr>
        <w:t>jud.</w:t>
      </w:r>
      <w:r w:rsidRPr="00794557">
        <w:rPr>
          <w:rFonts w:ascii="Arial" w:hAnsi="Arial" w:cs="Arial"/>
          <w:spacing w:val="-9"/>
          <w:sz w:val="24"/>
          <w:szCs w:val="24"/>
        </w:rPr>
        <w:t xml:space="preserve"> </w:t>
      </w:r>
      <w:r w:rsidRPr="00794557">
        <w:rPr>
          <w:rFonts w:ascii="Arial" w:hAnsi="Arial" w:cs="Arial"/>
          <w:sz w:val="24"/>
          <w:szCs w:val="24"/>
        </w:rPr>
        <w:t>Arad,</w:t>
      </w:r>
      <w:r w:rsidRPr="00794557">
        <w:rPr>
          <w:rFonts w:ascii="Arial" w:hAnsi="Arial" w:cs="Arial"/>
          <w:spacing w:val="-7"/>
          <w:sz w:val="24"/>
          <w:szCs w:val="24"/>
        </w:rPr>
        <w:t xml:space="preserve"> </w:t>
      </w:r>
      <w:r w:rsidRPr="00794557">
        <w:rPr>
          <w:rFonts w:ascii="Arial" w:hAnsi="Arial" w:cs="Arial"/>
          <w:sz w:val="24"/>
          <w:szCs w:val="24"/>
        </w:rPr>
        <w:t>CIBCD</w:t>
      </w:r>
      <w:r w:rsidRPr="00794557">
        <w:rPr>
          <w:rFonts w:ascii="Arial" w:hAnsi="Arial" w:cs="Arial"/>
          <w:spacing w:val="-10"/>
          <w:sz w:val="24"/>
          <w:szCs w:val="24"/>
        </w:rPr>
        <w:t xml:space="preserve"> </w:t>
      </w:r>
      <w:r w:rsidRPr="00794557">
        <w:rPr>
          <w:rFonts w:ascii="Arial" w:hAnsi="Arial" w:cs="Arial"/>
          <w:sz w:val="24"/>
          <w:szCs w:val="24"/>
        </w:rPr>
        <w:t>ca</w:t>
      </w:r>
      <w:r w:rsidRPr="00794557">
        <w:rPr>
          <w:rFonts w:ascii="Arial" w:hAnsi="Arial" w:cs="Arial"/>
          <w:spacing w:val="-8"/>
          <w:sz w:val="24"/>
          <w:szCs w:val="24"/>
        </w:rPr>
        <w:t xml:space="preserve"> </w:t>
      </w:r>
      <w:r w:rsidRPr="00794557">
        <w:rPr>
          <w:rFonts w:ascii="Arial" w:hAnsi="Arial" w:cs="Arial"/>
          <w:sz w:val="24"/>
          <w:szCs w:val="24"/>
        </w:rPr>
        <w:t>%</w:t>
      </w:r>
      <w:r w:rsidRPr="00794557">
        <w:rPr>
          <w:rFonts w:ascii="Arial" w:hAnsi="Arial" w:cs="Arial"/>
          <w:spacing w:val="-9"/>
          <w:sz w:val="24"/>
          <w:szCs w:val="24"/>
        </w:rPr>
        <w:t xml:space="preserve"> </w:t>
      </w:r>
      <w:r w:rsidRPr="00794557">
        <w:rPr>
          <w:rFonts w:ascii="Arial" w:hAnsi="Arial" w:cs="Arial"/>
          <w:sz w:val="24"/>
          <w:szCs w:val="24"/>
        </w:rPr>
        <w:t>din</w:t>
      </w:r>
      <w:r w:rsidRPr="00794557">
        <w:rPr>
          <w:rFonts w:ascii="Arial" w:hAnsi="Arial" w:cs="Arial"/>
          <w:spacing w:val="-7"/>
          <w:sz w:val="24"/>
          <w:szCs w:val="24"/>
        </w:rPr>
        <w:t xml:space="preserve"> </w:t>
      </w:r>
      <w:r w:rsidRPr="00794557">
        <w:rPr>
          <w:rFonts w:ascii="Arial" w:hAnsi="Arial" w:cs="Arial"/>
          <w:sz w:val="24"/>
          <w:szCs w:val="24"/>
        </w:rPr>
        <w:t>PIB</w:t>
      </w:r>
      <w:r w:rsidRPr="00794557">
        <w:rPr>
          <w:rFonts w:ascii="Arial" w:hAnsi="Arial" w:cs="Arial"/>
          <w:spacing w:val="-7"/>
          <w:sz w:val="24"/>
          <w:szCs w:val="24"/>
        </w:rPr>
        <w:t xml:space="preserve"> </w:t>
      </w:r>
      <w:r w:rsidRPr="00794557">
        <w:rPr>
          <w:rFonts w:ascii="Arial" w:hAnsi="Arial" w:cs="Arial"/>
          <w:sz w:val="24"/>
          <w:szCs w:val="24"/>
        </w:rPr>
        <w:t>sunt</w:t>
      </w:r>
      <w:r w:rsidRPr="00794557">
        <w:rPr>
          <w:rFonts w:ascii="Arial" w:hAnsi="Arial" w:cs="Arial"/>
          <w:spacing w:val="-9"/>
          <w:sz w:val="24"/>
          <w:szCs w:val="24"/>
        </w:rPr>
        <w:t xml:space="preserve"> </w:t>
      </w:r>
      <w:r w:rsidRPr="00794557">
        <w:rPr>
          <w:rFonts w:ascii="Arial" w:hAnsi="Arial" w:cs="Arial"/>
          <w:sz w:val="24"/>
          <w:szCs w:val="24"/>
        </w:rPr>
        <w:t>de</w:t>
      </w:r>
      <w:r w:rsidRPr="00794557">
        <w:rPr>
          <w:rFonts w:ascii="Arial" w:hAnsi="Arial" w:cs="Arial"/>
          <w:spacing w:val="-8"/>
          <w:sz w:val="24"/>
          <w:szCs w:val="24"/>
        </w:rPr>
        <w:t xml:space="preserve"> </w:t>
      </w:r>
      <w:r w:rsidRPr="00794557">
        <w:rPr>
          <w:rFonts w:ascii="Arial" w:hAnsi="Arial" w:cs="Arial"/>
          <w:sz w:val="24"/>
          <w:szCs w:val="24"/>
        </w:rPr>
        <w:t>0,10%,</w:t>
      </w:r>
      <w:r w:rsidRPr="00794557">
        <w:rPr>
          <w:rFonts w:ascii="Arial" w:hAnsi="Arial" w:cs="Arial"/>
          <w:spacing w:val="-9"/>
          <w:sz w:val="24"/>
          <w:szCs w:val="24"/>
        </w:rPr>
        <w:t xml:space="preserve"> </w:t>
      </w:r>
      <w:r w:rsidRPr="00794557">
        <w:rPr>
          <w:rFonts w:ascii="Arial" w:hAnsi="Arial" w:cs="Arial"/>
          <w:sz w:val="24"/>
          <w:szCs w:val="24"/>
        </w:rPr>
        <w:t>în</w:t>
      </w:r>
      <w:r w:rsidRPr="00794557">
        <w:rPr>
          <w:rFonts w:ascii="Arial" w:hAnsi="Arial" w:cs="Arial"/>
          <w:spacing w:val="-9"/>
          <w:sz w:val="24"/>
          <w:szCs w:val="24"/>
        </w:rPr>
        <w:t xml:space="preserve"> </w:t>
      </w:r>
      <w:r w:rsidRPr="00794557">
        <w:rPr>
          <w:rFonts w:ascii="Arial" w:hAnsi="Arial" w:cs="Arial"/>
          <w:sz w:val="24"/>
          <w:szCs w:val="24"/>
        </w:rPr>
        <w:t>timp</w:t>
      </w:r>
      <w:r w:rsidRPr="00794557">
        <w:rPr>
          <w:rFonts w:ascii="Arial" w:hAnsi="Arial" w:cs="Arial"/>
          <w:spacing w:val="-10"/>
          <w:sz w:val="24"/>
          <w:szCs w:val="24"/>
        </w:rPr>
        <w:t xml:space="preserve"> </w:t>
      </w:r>
      <w:r w:rsidRPr="00794557">
        <w:rPr>
          <w:rFonts w:ascii="Arial" w:hAnsi="Arial" w:cs="Arial"/>
          <w:sz w:val="24"/>
          <w:szCs w:val="24"/>
        </w:rPr>
        <w:t>ce</w:t>
      </w:r>
      <w:r w:rsidRPr="00794557">
        <w:rPr>
          <w:rFonts w:ascii="Arial" w:hAnsi="Arial" w:cs="Arial"/>
          <w:spacing w:val="-9"/>
          <w:sz w:val="24"/>
          <w:szCs w:val="24"/>
        </w:rPr>
        <w:t xml:space="preserve"> </w:t>
      </w:r>
      <w:r w:rsidRPr="00794557">
        <w:rPr>
          <w:rFonts w:ascii="Arial" w:hAnsi="Arial" w:cs="Arial"/>
          <w:sz w:val="24"/>
          <w:szCs w:val="24"/>
        </w:rPr>
        <w:t>în</w:t>
      </w:r>
      <w:r w:rsidRPr="00794557">
        <w:rPr>
          <w:rFonts w:ascii="Arial" w:hAnsi="Arial" w:cs="Arial"/>
          <w:spacing w:val="-7"/>
          <w:sz w:val="24"/>
          <w:szCs w:val="24"/>
        </w:rPr>
        <w:t xml:space="preserve"> </w:t>
      </w:r>
      <w:r w:rsidRPr="00794557">
        <w:rPr>
          <w:rFonts w:ascii="Arial" w:hAnsi="Arial" w:cs="Arial"/>
          <w:sz w:val="24"/>
          <w:szCs w:val="24"/>
        </w:rPr>
        <w:t>jud. Hunedoara acestea sunt mai ridicate:</w:t>
      </w:r>
      <w:r w:rsidRPr="00794557">
        <w:rPr>
          <w:rFonts w:ascii="Arial" w:hAnsi="Arial" w:cs="Arial"/>
          <w:spacing w:val="-15"/>
          <w:sz w:val="24"/>
          <w:szCs w:val="24"/>
        </w:rPr>
        <w:t xml:space="preserve"> </w:t>
      </w:r>
      <w:r w:rsidRPr="00794557">
        <w:rPr>
          <w:rFonts w:ascii="Arial" w:hAnsi="Arial" w:cs="Arial"/>
          <w:sz w:val="24"/>
          <w:szCs w:val="24"/>
        </w:rPr>
        <w:t>0,15%.</w:t>
      </w:r>
    </w:p>
    <w:p w:rsidR="00D979D8" w:rsidRDefault="00D979D8" w:rsidP="00FA2298">
      <w:pPr>
        <w:spacing w:after="0" w:line="240" w:lineRule="auto"/>
        <w:ind w:left="-90"/>
        <w:jc w:val="both"/>
        <w:rPr>
          <w:rFonts w:ascii="Arial" w:hAnsi="Arial" w:cs="Arial"/>
          <w:sz w:val="24"/>
          <w:szCs w:val="24"/>
        </w:rPr>
      </w:pPr>
      <w:r w:rsidRPr="00794557">
        <w:rPr>
          <w:rFonts w:ascii="Arial" w:hAnsi="Arial" w:cs="Arial"/>
          <w:sz w:val="24"/>
          <w:szCs w:val="24"/>
        </w:rPr>
        <w:t xml:space="preserve">În anul 2011, cheltuielile pentru cercetare-dezvoltare realizate de </w:t>
      </w:r>
      <w:r w:rsidRPr="00504969">
        <w:rPr>
          <w:rFonts w:ascii="Arial" w:hAnsi="Arial" w:cs="Arial"/>
          <w:i/>
          <w:sz w:val="24"/>
          <w:szCs w:val="24"/>
        </w:rPr>
        <w:t>sectorul întreprinderilor de afaceri</w:t>
      </w:r>
      <w:r w:rsidRPr="00794557">
        <w:rPr>
          <w:rFonts w:ascii="Arial" w:hAnsi="Arial" w:cs="Arial"/>
          <w:sz w:val="24"/>
          <w:szCs w:val="24"/>
        </w:rPr>
        <w:t xml:space="preserve"> ca % din PIB au reprezentat doar 16,2% din cheltuielile pentru cercetare-dezvoltare în Regiunea Vest, în timp ce, în regiunea București-Ilfov acestea alcătuiau 32,1% din total. În România acestea aveau o pondere de 36% din total cheltuieli cercetare-inovare.</w:t>
      </w:r>
      <w:r w:rsidR="00C47897">
        <w:rPr>
          <w:rFonts w:ascii="Arial" w:hAnsi="Arial" w:cs="Arial"/>
          <w:sz w:val="24"/>
          <w:szCs w:val="24"/>
        </w:rPr>
        <w:t>(</w:t>
      </w:r>
      <w:r w:rsidR="00C47897" w:rsidRPr="00C47897">
        <w:rPr>
          <w:rFonts w:ascii="Arial" w:eastAsia="TimesNewRomanPSMT" w:hAnsi="Arial" w:cs="Arial"/>
          <w:i/>
          <w:sz w:val="24"/>
          <w:szCs w:val="24"/>
        </w:rPr>
        <w:t xml:space="preserve"> </w:t>
      </w:r>
      <w:r w:rsidR="00C47897" w:rsidRPr="00A604C1">
        <w:rPr>
          <w:rFonts w:ascii="Arial" w:eastAsia="TimesNewRomanPSMT" w:hAnsi="Arial" w:cs="Arial"/>
          <w:i/>
          <w:sz w:val="24"/>
          <w:szCs w:val="24"/>
        </w:rPr>
        <w:t xml:space="preserve">informații preluate din </w:t>
      </w:r>
      <w:r w:rsidR="00C47897" w:rsidRPr="00A604C1">
        <w:rPr>
          <w:rFonts w:ascii="Arial" w:eastAsia="TimesNewRomanPSMT" w:hAnsi="Arial" w:cs="Arial"/>
          <w:i/>
          <w:iCs/>
          <w:sz w:val="24"/>
          <w:szCs w:val="24"/>
        </w:rPr>
        <w:t>PDR Regiunea Vest 2014-2020, pag. 8</w:t>
      </w:r>
      <w:r w:rsidR="00C47897">
        <w:rPr>
          <w:rFonts w:ascii="Arial" w:eastAsia="TimesNewRomanPSMT" w:hAnsi="Arial" w:cs="Arial"/>
          <w:i/>
          <w:iCs/>
          <w:sz w:val="24"/>
          <w:szCs w:val="24"/>
        </w:rPr>
        <w:t>5</w:t>
      </w:r>
      <w:r w:rsidR="00C47897" w:rsidRPr="00A604C1">
        <w:rPr>
          <w:rFonts w:ascii="Arial" w:eastAsia="TimesNewRomanPSMT" w:hAnsi="Arial" w:cs="Arial"/>
          <w:i/>
          <w:iCs/>
          <w:sz w:val="24"/>
          <w:szCs w:val="24"/>
        </w:rPr>
        <w:t>-8</w:t>
      </w:r>
      <w:r w:rsidR="00C47897">
        <w:rPr>
          <w:rFonts w:ascii="Arial" w:eastAsia="TimesNewRomanPSMT" w:hAnsi="Arial" w:cs="Arial"/>
          <w:i/>
          <w:iCs/>
          <w:sz w:val="24"/>
          <w:szCs w:val="24"/>
        </w:rPr>
        <w:t>7</w:t>
      </w:r>
      <w:r w:rsidR="00C47897">
        <w:rPr>
          <w:rFonts w:ascii="Arial" w:hAnsi="Arial" w:cs="Arial"/>
          <w:sz w:val="24"/>
          <w:szCs w:val="24"/>
        </w:rPr>
        <w:t>)</w:t>
      </w:r>
      <w:r w:rsidR="006A3266">
        <w:rPr>
          <w:rFonts w:ascii="Arial" w:hAnsi="Arial" w:cs="Arial"/>
          <w:sz w:val="24"/>
          <w:szCs w:val="24"/>
        </w:rPr>
        <w:t>.</w:t>
      </w:r>
    </w:p>
    <w:p w:rsidR="00D979D8" w:rsidRDefault="00D979D8" w:rsidP="00FA2298">
      <w:pPr>
        <w:spacing w:after="0" w:line="240" w:lineRule="auto"/>
        <w:ind w:left="-90"/>
        <w:jc w:val="both"/>
        <w:rPr>
          <w:rFonts w:ascii="Arial" w:hAnsi="Arial" w:cs="Arial"/>
          <w:sz w:val="24"/>
          <w:szCs w:val="24"/>
        </w:rPr>
      </w:pPr>
      <w:r w:rsidRPr="00794557">
        <w:rPr>
          <w:rFonts w:ascii="Arial" w:hAnsi="Arial" w:cs="Arial"/>
          <w:sz w:val="24"/>
          <w:szCs w:val="24"/>
        </w:rPr>
        <w:t xml:space="preserve">Cu toate că înregistrează o scădere a ponderii </w:t>
      </w:r>
      <w:r w:rsidRPr="008B2808">
        <w:rPr>
          <w:rFonts w:ascii="Arial" w:hAnsi="Arial" w:cs="Arial"/>
          <w:i/>
          <w:sz w:val="24"/>
          <w:szCs w:val="24"/>
        </w:rPr>
        <w:t>personalului din cercetare-dezvoltare</w:t>
      </w:r>
      <w:r w:rsidRPr="00794557">
        <w:rPr>
          <w:rFonts w:ascii="Arial" w:hAnsi="Arial" w:cs="Arial"/>
          <w:sz w:val="24"/>
          <w:szCs w:val="24"/>
        </w:rPr>
        <w:t xml:space="preserve"> în anul 2011 (0,39%), faţă de anul 2010 (0,50%), Regiunea Vest a înregistrat progrese semnificative în perioada 2000-2011. Ca şi evoluţie, regiunea a crescut de la 22,1%</w:t>
      </w:r>
      <w:r w:rsidRPr="00794557">
        <w:rPr>
          <w:rFonts w:ascii="Arial" w:hAnsi="Arial" w:cs="Arial"/>
          <w:position w:val="9"/>
          <w:sz w:val="24"/>
          <w:szCs w:val="24"/>
        </w:rPr>
        <w:t xml:space="preserve"> </w:t>
      </w:r>
      <w:r w:rsidRPr="00794557">
        <w:rPr>
          <w:rFonts w:ascii="Arial" w:hAnsi="Arial" w:cs="Arial"/>
          <w:sz w:val="24"/>
          <w:szCs w:val="24"/>
        </w:rPr>
        <w:t>la 48% din media UE în termeni de personal în cercetare-dezvoltare, în anul 2010, după care a înregistrat o scădere la 36,7% din media UE în anul 2011.</w:t>
      </w:r>
    </w:p>
    <w:p w:rsidR="00D979D8" w:rsidRDefault="00D979D8" w:rsidP="00FA2298">
      <w:pPr>
        <w:spacing w:after="0" w:line="240" w:lineRule="auto"/>
        <w:ind w:left="-90"/>
        <w:jc w:val="both"/>
        <w:rPr>
          <w:rFonts w:ascii="Arial" w:hAnsi="Arial" w:cs="Arial"/>
          <w:sz w:val="24"/>
          <w:szCs w:val="24"/>
        </w:rPr>
      </w:pPr>
      <w:r w:rsidRPr="00794557">
        <w:rPr>
          <w:rFonts w:ascii="Arial" w:hAnsi="Arial" w:cs="Arial"/>
          <w:sz w:val="24"/>
          <w:szCs w:val="24"/>
        </w:rPr>
        <w:t>Diferenţele dintre regiunile NUTS III cu privire la personalul din cercetare-dezvoltare ca % din totalul ocupării forţei de muncă sunt semnificativ mai scăzut comparativ cu cheltuielile pentru cercetare-dezvoltare. Arad are cea mai apropiată valoare de media regională</w:t>
      </w:r>
      <w:r w:rsidRPr="00794557">
        <w:rPr>
          <w:rFonts w:ascii="Arial" w:hAnsi="Arial" w:cs="Arial"/>
          <w:spacing w:val="-7"/>
          <w:sz w:val="24"/>
          <w:szCs w:val="24"/>
        </w:rPr>
        <w:t xml:space="preserve"> </w:t>
      </w:r>
      <w:r w:rsidRPr="00794557">
        <w:rPr>
          <w:rFonts w:ascii="Arial" w:hAnsi="Arial" w:cs="Arial"/>
          <w:sz w:val="24"/>
          <w:szCs w:val="24"/>
        </w:rPr>
        <w:t>(0,36),</w:t>
      </w:r>
      <w:r w:rsidRPr="00794557">
        <w:rPr>
          <w:rFonts w:ascii="Arial" w:hAnsi="Arial" w:cs="Arial"/>
          <w:spacing w:val="-7"/>
          <w:sz w:val="24"/>
          <w:szCs w:val="24"/>
        </w:rPr>
        <w:t xml:space="preserve"> </w:t>
      </w:r>
      <w:r w:rsidRPr="00794557">
        <w:rPr>
          <w:rFonts w:ascii="Arial" w:hAnsi="Arial" w:cs="Arial"/>
          <w:sz w:val="24"/>
          <w:szCs w:val="24"/>
        </w:rPr>
        <w:t>iar</w:t>
      </w:r>
      <w:r w:rsidRPr="00794557">
        <w:rPr>
          <w:rFonts w:ascii="Arial" w:hAnsi="Arial" w:cs="Arial"/>
          <w:spacing w:val="-7"/>
          <w:sz w:val="24"/>
          <w:szCs w:val="24"/>
        </w:rPr>
        <w:t xml:space="preserve"> </w:t>
      </w:r>
      <w:r w:rsidRPr="00794557">
        <w:rPr>
          <w:rFonts w:ascii="Arial" w:hAnsi="Arial" w:cs="Arial"/>
          <w:sz w:val="24"/>
          <w:szCs w:val="24"/>
        </w:rPr>
        <w:t>Timiş</w:t>
      </w:r>
      <w:r w:rsidRPr="00794557">
        <w:rPr>
          <w:rFonts w:ascii="Arial" w:hAnsi="Arial" w:cs="Arial"/>
          <w:spacing w:val="-9"/>
          <w:sz w:val="24"/>
          <w:szCs w:val="24"/>
        </w:rPr>
        <w:t xml:space="preserve"> </w:t>
      </w:r>
      <w:r w:rsidRPr="00794557">
        <w:rPr>
          <w:rFonts w:ascii="Arial" w:hAnsi="Arial" w:cs="Arial"/>
          <w:sz w:val="24"/>
          <w:szCs w:val="24"/>
        </w:rPr>
        <w:t>are</w:t>
      </w:r>
      <w:r w:rsidRPr="00794557">
        <w:rPr>
          <w:rFonts w:ascii="Arial" w:hAnsi="Arial" w:cs="Arial"/>
          <w:spacing w:val="-8"/>
          <w:sz w:val="24"/>
          <w:szCs w:val="24"/>
        </w:rPr>
        <w:t xml:space="preserve"> </w:t>
      </w:r>
      <w:r w:rsidRPr="00794557">
        <w:rPr>
          <w:rFonts w:ascii="Arial" w:hAnsi="Arial" w:cs="Arial"/>
          <w:sz w:val="24"/>
          <w:szCs w:val="24"/>
        </w:rPr>
        <w:t>o</w:t>
      </w:r>
      <w:r w:rsidRPr="00794557">
        <w:rPr>
          <w:rFonts w:ascii="Arial" w:hAnsi="Arial" w:cs="Arial"/>
          <w:spacing w:val="-7"/>
          <w:sz w:val="24"/>
          <w:szCs w:val="24"/>
        </w:rPr>
        <w:t xml:space="preserve"> </w:t>
      </w:r>
      <w:r w:rsidRPr="00794557">
        <w:rPr>
          <w:rFonts w:ascii="Arial" w:hAnsi="Arial" w:cs="Arial"/>
          <w:sz w:val="24"/>
          <w:szCs w:val="24"/>
        </w:rPr>
        <w:t>valoare</w:t>
      </w:r>
      <w:r w:rsidRPr="00794557">
        <w:rPr>
          <w:rFonts w:ascii="Arial" w:hAnsi="Arial" w:cs="Arial"/>
          <w:spacing w:val="-8"/>
          <w:sz w:val="24"/>
          <w:szCs w:val="24"/>
        </w:rPr>
        <w:t xml:space="preserve"> </w:t>
      </w:r>
      <w:r w:rsidRPr="00794557">
        <w:rPr>
          <w:rFonts w:ascii="Arial" w:hAnsi="Arial" w:cs="Arial"/>
          <w:sz w:val="24"/>
          <w:szCs w:val="24"/>
        </w:rPr>
        <w:t>peste</w:t>
      </w:r>
      <w:r w:rsidRPr="00794557">
        <w:rPr>
          <w:rFonts w:ascii="Arial" w:hAnsi="Arial" w:cs="Arial"/>
          <w:spacing w:val="-6"/>
          <w:sz w:val="24"/>
          <w:szCs w:val="24"/>
        </w:rPr>
        <w:t xml:space="preserve"> </w:t>
      </w:r>
      <w:r w:rsidRPr="00794557">
        <w:rPr>
          <w:rFonts w:ascii="Arial" w:hAnsi="Arial" w:cs="Arial"/>
          <w:sz w:val="24"/>
          <w:szCs w:val="24"/>
        </w:rPr>
        <w:t>media</w:t>
      </w:r>
      <w:r w:rsidRPr="00794557">
        <w:rPr>
          <w:rFonts w:ascii="Arial" w:hAnsi="Arial" w:cs="Arial"/>
          <w:spacing w:val="-7"/>
          <w:sz w:val="24"/>
          <w:szCs w:val="24"/>
        </w:rPr>
        <w:t xml:space="preserve"> </w:t>
      </w:r>
      <w:r w:rsidRPr="00794557">
        <w:rPr>
          <w:rFonts w:ascii="Arial" w:hAnsi="Arial" w:cs="Arial"/>
          <w:sz w:val="24"/>
          <w:szCs w:val="24"/>
        </w:rPr>
        <w:t>regională</w:t>
      </w:r>
      <w:r w:rsidRPr="00794557">
        <w:rPr>
          <w:rFonts w:ascii="Arial" w:hAnsi="Arial" w:cs="Arial"/>
          <w:spacing w:val="-7"/>
          <w:sz w:val="24"/>
          <w:szCs w:val="24"/>
        </w:rPr>
        <w:t xml:space="preserve"> </w:t>
      </w:r>
      <w:r w:rsidRPr="00794557">
        <w:rPr>
          <w:rFonts w:ascii="Arial" w:hAnsi="Arial" w:cs="Arial"/>
          <w:sz w:val="24"/>
          <w:szCs w:val="24"/>
        </w:rPr>
        <w:t>(0,55).</w:t>
      </w:r>
      <w:r w:rsidRPr="00794557">
        <w:rPr>
          <w:rFonts w:ascii="Arial" w:hAnsi="Arial" w:cs="Arial"/>
          <w:spacing w:val="-7"/>
          <w:sz w:val="24"/>
          <w:szCs w:val="24"/>
        </w:rPr>
        <w:t xml:space="preserve"> </w:t>
      </w:r>
      <w:r w:rsidRPr="00794557">
        <w:rPr>
          <w:rFonts w:ascii="Arial" w:hAnsi="Arial" w:cs="Arial"/>
          <w:sz w:val="24"/>
          <w:szCs w:val="24"/>
        </w:rPr>
        <w:t>Hunedoara,</w:t>
      </w:r>
      <w:r w:rsidRPr="00794557">
        <w:rPr>
          <w:rFonts w:ascii="Arial" w:hAnsi="Arial" w:cs="Arial"/>
          <w:spacing w:val="-7"/>
          <w:sz w:val="24"/>
          <w:szCs w:val="24"/>
        </w:rPr>
        <w:t xml:space="preserve"> </w:t>
      </w:r>
      <w:r w:rsidRPr="00794557">
        <w:rPr>
          <w:rFonts w:ascii="Arial" w:hAnsi="Arial" w:cs="Arial"/>
          <w:sz w:val="24"/>
          <w:szCs w:val="24"/>
        </w:rPr>
        <w:t>se</w:t>
      </w:r>
      <w:r w:rsidRPr="00794557">
        <w:rPr>
          <w:rFonts w:ascii="Arial" w:hAnsi="Arial" w:cs="Arial"/>
          <w:spacing w:val="-8"/>
          <w:sz w:val="24"/>
          <w:szCs w:val="24"/>
        </w:rPr>
        <w:t xml:space="preserve"> </w:t>
      </w:r>
      <w:r w:rsidRPr="00794557">
        <w:rPr>
          <w:rFonts w:ascii="Arial" w:hAnsi="Arial" w:cs="Arial"/>
          <w:sz w:val="24"/>
          <w:szCs w:val="24"/>
        </w:rPr>
        <w:t>situează aproape de media judeţului Arad, iar Caraş-Severin se situează semnificativ sub media regională (28,2% din</w:t>
      </w:r>
      <w:r w:rsidRPr="00794557">
        <w:rPr>
          <w:rFonts w:ascii="Arial" w:hAnsi="Arial" w:cs="Arial"/>
          <w:spacing w:val="-4"/>
          <w:sz w:val="24"/>
          <w:szCs w:val="24"/>
        </w:rPr>
        <w:t xml:space="preserve"> </w:t>
      </w:r>
      <w:r w:rsidRPr="00794557">
        <w:rPr>
          <w:rFonts w:ascii="Arial" w:hAnsi="Arial" w:cs="Arial"/>
          <w:sz w:val="24"/>
          <w:szCs w:val="24"/>
        </w:rPr>
        <w:t>medie).</w:t>
      </w:r>
    </w:p>
    <w:p w:rsidR="00D979D8" w:rsidRDefault="00D979D8" w:rsidP="00FA2298">
      <w:pPr>
        <w:spacing w:after="0" w:line="240" w:lineRule="auto"/>
        <w:ind w:left="-90"/>
        <w:jc w:val="both"/>
        <w:rPr>
          <w:rFonts w:ascii="Arial" w:hAnsi="Arial" w:cs="Arial"/>
          <w:sz w:val="24"/>
          <w:szCs w:val="24"/>
        </w:rPr>
      </w:pPr>
      <w:r w:rsidRPr="00794557">
        <w:rPr>
          <w:rFonts w:ascii="Arial" w:hAnsi="Arial" w:cs="Arial"/>
          <w:sz w:val="24"/>
          <w:szCs w:val="24"/>
        </w:rPr>
        <w:t>În ceea ce priveşte ocuparea forţei de muncă în tehnologie şi sectoarele puternic bazate pe cunoştinţe, Regiunea Vest se află pe locul 2 în România, cu 4,3% din totalul ocupării forţei de muncă, ceea ce reprezintă mai mult decât dublu faţă de media naţională de</w:t>
      </w:r>
      <w:r w:rsidRPr="00794557">
        <w:rPr>
          <w:rFonts w:ascii="Arial" w:hAnsi="Arial" w:cs="Arial"/>
          <w:spacing w:val="-7"/>
          <w:sz w:val="24"/>
          <w:szCs w:val="24"/>
        </w:rPr>
        <w:t xml:space="preserve"> </w:t>
      </w:r>
      <w:r w:rsidRPr="00794557">
        <w:rPr>
          <w:rFonts w:ascii="Arial" w:hAnsi="Arial" w:cs="Arial"/>
          <w:sz w:val="24"/>
          <w:szCs w:val="24"/>
        </w:rPr>
        <w:t>2%.</w:t>
      </w:r>
      <w:r w:rsidRPr="00794557">
        <w:rPr>
          <w:rFonts w:ascii="Arial" w:hAnsi="Arial" w:cs="Arial"/>
          <w:spacing w:val="-6"/>
          <w:sz w:val="24"/>
          <w:szCs w:val="24"/>
        </w:rPr>
        <w:t xml:space="preserve"> </w:t>
      </w:r>
      <w:r w:rsidRPr="00794557">
        <w:rPr>
          <w:rFonts w:ascii="Arial" w:hAnsi="Arial" w:cs="Arial"/>
          <w:sz w:val="24"/>
          <w:szCs w:val="24"/>
        </w:rPr>
        <w:t>Comparativ</w:t>
      </w:r>
      <w:r w:rsidRPr="00794557">
        <w:rPr>
          <w:rFonts w:ascii="Arial" w:hAnsi="Arial" w:cs="Arial"/>
          <w:spacing w:val="-7"/>
          <w:sz w:val="24"/>
          <w:szCs w:val="24"/>
        </w:rPr>
        <w:t xml:space="preserve"> </w:t>
      </w:r>
      <w:r w:rsidRPr="00794557">
        <w:rPr>
          <w:rFonts w:ascii="Arial" w:hAnsi="Arial" w:cs="Arial"/>
          <w:sz w:val="24"/>
          <w:szCs w:val="24"/>
        </w:rPr>
        <w:t>cu</w:t>
      </w:r>
      <w:r w:rsidRPr="00794557">
        <w:rPr>
          <w:rFonts w:ascii="Arial" w:hAnsi="Arial" w:cs="Arial"/>
          <w:spacing w:val="-7"/>
          <w:sz w:val="24"/>
          <w:szCs w:val="24"/>
        </w:rPr>
        <w:t xml:space="preserve"> </w:t>
      </w:r>
      <w:r w:rsidRPr="00794557">
        <w:rPr>
          <w:rFonts w:ascii="Arial" w:hAnsi="Arial" w:cs="Arial"/>
          <w:sz w:val="24"/>
          <w:szCs w:val="24"/>
        </w:rPr>
        <w:t>regiunea</w:t>
      </w:r>
      <w:r w:rsidRPr="00794557">
        <w:rPr>
          <w:rFonts w:ascii="Arial" w:hAnsi="Arial" w:cs="Arial"/>
          <w:spacing w:val="-7"/>
          <w:sz w:val="24"/>
          <w:szCs w:val="24"/>
        </w:rPr>
        <w:t xml:space="preserve"> </w:t>
      </w:r>
      <w:r w:rsidRPr="00794557">
        <w:rPr>
          <w:rFonts w:ascii="Arial" w:hAnsi="Arial" w:cs="Arial"/>
          <w:sz w:val="24"/>
          <w:szCs w:val="24"/>
        </w:rPr>
        <w:t>cu</w:t>
      </w:r>
      <w:r w:rsidRPr="00794557">
        <w:rPr>
          <w:rFonts w:ascii="Arial" w:hAnsi="Arial" w:cs="Arial"/>
          <w:spacing w:val="-6"/>
          <w:sz w:val="24"/>
          <w:szCs w:val="24"/>
        </w:rPr>
        <w:t xml:space="preserve"> </w:t>
      </w:r>
      <w:r w:rsidRPr="00794557">
        <w:rPr>
          <w:rFonts w:ascii="Arial" w:hAnsi="Arial" w:cs="Arial"/>
          <w:sz w:val="24"/>
          <w:szCs w:val="24"/>
        </w:rPr>
        <w:t>cele</w:t>
      </w:r>
      <w:r w:rsidRPr="00794557">
        <w:rPr>
          <w:rFonts w:ascii="Arial" w:hAnsi="Arial" w:cs="Arial"/>
          <w:spacing w:val="-6"/>
          <w:sz w:val="24"/>
          <w:szCs w:val="24"/>
        </w:rPr>
        <w:t xml:space="preserve"> </w:t>
      </w:r>
      <w:r w:rsidRPr="00794557">
        <w:rPr>
          <w:rFonts w:ascii="Arial" w:hAnsi="Arial" w:cs="Arial"/>
          <w:sz w:val="24"/>
          <w:szCs w:val="24"/>
        </w:rPr>
        <w:t>mai</w:t>
      </w:r>
      <w:r w:rsidRPr="00794557">
        <w:rPr>
          <w:rFonts w:ascii="Arial" w:hAnsi="Arial" w:cs="Arial"/>
          <w:spacing w:val="-5"/>
          <w:sz w:val="24"/>
          <w:szCs w:val="24"/>
        </w:rPr>
        <w:t xml:space="preserve"> </w:t>
      </w:r>
      <w:r w:rsidRPr="00794557">
        <w:rPr>
          <w:rFonts w:ascii="Arial" w:hAnsi="Arial" w:cs="Arial"/>
          <w:sz w:val="24"/>
          <w:szCs w:val="24"/>
        </w:rPr>
        <w:t>bune</w:t>
      </w:r>
      <w:r w:rsidRPr="00794557">
        <w:rPr>
          <w:rFonts w:ascii="Arial" w:hAnsi="Arial" w:cs="Arial"/>
          <w:spacing w:val="-6"/>
          <w:sz w:val="24"/>
          <w:szCs w:val="24"/>
        </w:rPr>
        <w:t xml:space="preserve"> </w:t>
      </w:r>
      <w:r w:rsidRPr="00794557">
        <w:rPr>
          <w:rFonts w:ascii="Arial" w:hAnsi="Arial" w:cs="Arial"/>
          <w:sz w:val="24"/>
          <w:szCs w:val="24"/>
        </w:rPr>
        <w:t>performanţe</w:t>
      </w:r>
      <w:r w:rsidRPr="00794557">
        <w:rPr>
          <w:rFonts w:ascii="Arial" w:hAnsi="Arial" w:cs="Arial"/>
          <w:spacing w:val="-8"/>
          <w:sz w:val="24"/>
          <w:szCs w:val="24"/>
        </w:rPr>
        <w:t xml:space="preserve"> </w:t>
      </w:r>
      <w:r w:rsidRPr="00794557">
        <w:rPr>
          <w:rFonts w:ascii="Arial" w:hAnsi="Arial" w:cs="Arial"/>
          <w:sz w:val="24"/>
          <w:szCs w:val="24"/>
        </w:rPr>
        <w:t>din</w:t>
      </w:r>
      <w:r w:rsidRPr="00794557">
        <w:rPr>
          <w:rFonts w:ascii="Arial" w:hAnsi="Arial" w:cs="Arial"/>
          <w:spacing w:val="-7"/>
          <w:sz w:val="24"/>
          <w:szCs w:val="24"/>
        </w:rPr>
        <w:t xml:space="preserve"> </w:t>
      </w:r>
      <w:r w:rsidRPr="00794557">
        <w:rPr>
          <w:rFonts w:ascii="Arial" w:hAnsi="Arial" w:cs="Arial"/>
          <w:sz w:val="24"/>
          <w:szCs w:val="24"/>
        </w:rPr>
        <w:t>România</w:t>
      </w:r>
      <w:r w:rsidRPr="00794557">
        <w:rPr>
          <w:rFonts w:ascii="Arial" w:hAnsi="Arial" w:cs="Arial"/>
          <w:spacing w:val="-6"/>
          <w:sz w:val="24"/>
          <w:szCs w:val="24"/>
        </w:rPr>
        <w:t xml:space="preserve"> </w:t>
      </w:r>
      <w:r w:rsidRPr="00794557">
        <w:rPr>
          <w:rFonts w:ascii="Arial" w:hAnsi="Arial" w:cs="Arial"/>
          <w:sz w:val="24"/>
          <w:szCs w:val="24"/>
        </w:rPr>
        <w:t>-</w:t>
      </w:r>
      <w:r w:rsidRPr="00794557">
        <w:rPr>
          <w:rFonts w:ascii="Arial" w:hAnsi="Arial" w:cs="Arial"/>
          <w:spacing w:val="-7"/>
          <w:sz w:val="24"/>
          <w:szCs w:val="24"/>
        </w:rPr>
        <w:t xml:space="preserve"> </w:t>
      </w:r>
      <w:r w:rsidRPr="00794557">
        <w:rPr>
          <w:rFonts w:ascii="Arial" w:hAnsi="Arial" w:cs="Arial"/>
          <w:sz w:val="24"/>
          <w:szCs w:val="24"/>
        </w:rPr>
        <w:t>Bucureşti-Ilfov (5,8%),</w:t>
      </w:r>
      <w:r w:rsidRPr="00794557">
        <w:rPr>
          <w:rFonts w:ascii="Arial" w:hAnsi="Arial" w:cs="Arial"/>
          <w:spacing w:val="-10"/>
          <w:sz w:val="24"/>
          <w:szCs w:val="24"/>
        </w:rPr>
        <w:t xml:space="preserve"> </w:t>
      </w:r>
      <w:r w:rsidRPr="00794557">
        <w:rPr>
          <w:rFonts w:ascii="Arial" w:hAnsi="Arial" w:cs="Arial"/>
          <w:sz w:val="24"/>
          <w:szCs w:val="24"/>
        </w:rPr>
        <w:t>Regiunea</w:t>
      </w:r>
      <w:r w:rsidRPr="00794557">
        <w:rPr>
          <w:rFonts w:ascii="Arial" w:hAnsi="Arial" w:cs="Arial"/>
          <w:spacing w:val="-10"/>
          <w:sz w:val="24"/>
          <w:szCs w:val="24"/>
        </w:rPr>
        <w:t xml:space="preserve"> </w:t>
      </w:r>
      <w:r w:rsidRPr="00794557">
        <w:rPr>
          <w:rFonts w:ascii="Arial" w:hAnsi="Arial" w:cs="Arial"/>
          <w:sz w:val="24"/>
          <w:szCs w:val="24"/>
        </w:rPr>
        <w:t>Vest</w:t>
      </w:r>
      <w:r w:rsidRPr="00794557">
        <w:rPr>
          <w:rFonts w:ascii="Arial" w:hAnsi="Arial" w:cs="Arial"/>
          <w:spacing w:val="-8"/>
          <w:sz w:val="24"/>
          <w:szCs w:val="24"/>
        </w:rPr>
        <w:t xml:space="preserve"> </w:t>
      </w:r>
      <w:r w:rsidRPr="00794557">
        <w:rPr>
          <w:rFonts w:ascii="Arial" w:hAnsi="Arial" w:cs="Arial"/>
          <w:sz w:val="24"/>
          <w:szCs w:val="24"/>
        </w:rPr>
        <w:t>deține</w:t>
      </w:r>
      <w:r w:rsidRPr="00794557">
        <w:rPr>
          <w:rFonts w:ascii="Arial" w:hAnsi="Arial" w:cs="Arial"/>
          <w:spacing w:val="-11"/>
          <w:sz w:val="24"/>
          <w:szCs w:val="24"/>
        </w:rPr>
        <w:t xml:space="preserve"> </w:t>
      </w:r>
      <w:r w:rsidRPr="00794557">
        <w:rPr>
          <w:rFonts w:ascii="Arial" w:hAnsi="Arial" w:cs="Arial"/>
          <w:sz w:val="24"/>
          <w:szCs w:val="24"/>
        </w:rPr>
        <w:t>74,1%</w:t>
      </w:r>
      <w:r w:rsidRPr="00794557">
        <w:rPr>
          <w:rFonts w:ascii="Arial" w:hAnsi="Arial" w:cs="Arial"/>
          <w:spacing w:val="-10"/>
          <w:sz w:val="24"/>
          <w:szCs w:val="24"/>
        </w:rPr>
        <w:t xml:space="preserve"> </w:t>
      </w:r>
      <w:r w:rsidRPr="00794557">
        <w:rPr>
          <w:rFonts w:ascii="Arial" w:hAnsi="Arial" w:cs="Arial"/>
          <w:sz w:val="24"/>
          <w:szCs w:val="24"/>
        </w:rPr>
        <w:t>din</w:t>
      </w:r>
      <w:r w:rsidRPr="00794557">
        <w:rPr>
          <w:rFonts w:ascii="Arial" w:hAnsi="Arial" w:cs="Arial"/>
          <w:spacing w:val="-10"/>
          <w:sz w:val="24"/>
          <w:szCs w:val="24"/>
        </w:rPr>
        <w:t xml:space="preserve"> </w:t>
      </w:r>
      <w:r w:rsidRPr="00794557">
        <w:rPr>
          <w:rFonts w:ascii="Arial" w:hAnsi="Arial" w:cs="Arial"/>
          <w:sz w:val="24"/>
          <w:szCs w:val="24"/>
        </w:rPr>
        <w:t>media</w:t>
      </w:r>
      <w:r w:rsidRPr="00794557">
        <w:rPr>
          <w:rFonts w:ascii="Arial" w:hAnsi="Arial" w:cs="Arial"/>
          <w:spacing w:val="-10"/>
          <w:sz w:val="24"/>
          <w:szCs w:val="24"/>
        </w:rPr>
        <w:t xml:space="preserve"> </w:t>
      </w:r>
      <w:r w:rsidRPr="00794557">
        <w:rPr>
          <w:rFonts w:ascii="Arial" w:hAnsi="Arial" w:cs="Arial"/>
          <w:sz w:val="24"/>
          <w:szCs w:val="24"/>
        </w:rPr>
        <w:t>acesteia.</w:t>
      </w:r>
      <w:r w:rsidRPr="00794557">
        <w:rPr>
          <w:rFonts w:ascii="Arial" w:hAnsi="Arial" w:cs="Arial"/>
          <w:spacing w:val="-10"/>
          <w:sz w:val="24"/>
          <w:szCs w:val="24"/>
        </w:rPr>
        <w:t xml:space="preserve"> </w:t>
      </w:r>
      <w:r w:rsidRPr="00794557">
        <w:rPr>
          <w:rFonts w:ascii="Arial" w:hAnsi="Arial" w:cs="Arial"/>
          <w:sz w:val="24"/>
          <w:szCs w:val="24"/>
        </w:rPr>
        <w:t>Regiunea</w:t>
      </w:r>
      <w:r w:rsidRPr="00794557">
        <w:rPr>
          <w:rFonts w:ascii="Arial" w:hAnsi="Arial" w:cs="Arial"/>
          <w:spacing w:val="-10"/>
          <w:sz w:val="24"/>
          <w:szCs w:val="24"/>
        </w:rPr>
        <w:t xml:space="preserve"> </w:t>
      </w:r>
      <w:r w:rsidRPr="00794557">
        <w:rPr>
          <w:rFonts w:ascii="Arial" w:hAnsi="Arial" w:cs="Arial"/>
          <w:sz w:val="24"/>
          <w:szCs w:val="24"/>
        </w:rPr>
        <w:t>cu</w:t>
      </w:r>
      <w:r w:rsidRPr="00794557">
        <w:rPr>
          <w:rFonts w:ascii="Arial" w:hAnsi="Arial" w:cs="Arial"/>
          <w:spacing w:val="-10"/>
          <w:sz w:val="24"/>
          <w:szCs w:val="24"/>
        </w:rPr>
        <w:t xml:space="preserve"> </w:t>
      </w:r>
      <w:r w:rsidRPr="00794557">
        <w:rPr>
          <w:rFonts w:ascii="Arial" w:hAnsi="Arial" w:cs="Arial"/>
          <w:sz w:val="24"/>
          <w:szCs w:val="24"/>
        </w:rPr>
        <w:t>cea</w:t>
      </w:r>
      <w:r w:rsidRPr="00794557">
        <w:rPr>
          <w:rFonts w:ascii="Arial" w:hAnsi="Arial" w:cs="Arial"/>
          <w:spacing w:val="-10"/>
          <w:sz w:val="24"/>
          <w:szCs w:val="24"/>
        </w:rPr>
        <w:t xml:space="preserve"> </w:t>
      </w:r>
      <w:r w:rsidRPr="00794557">
        <w:rPr>
          <w:rFonts w:ascii="Arial" w:hAnsi="Arial" w:cs="Arial"/>
          <w:sz w:val="24"/>
          <w:szCs w:val="24"/>
        </w:rPr>
        <w:t>mai</w:t>
      </w:r>
      <w:r w:rsidRPr="00794557">
        <w:rPr>
          <w:rFonts w:ascii="Arial" w:hAnsi="Arial" w:cs="Arial"/>
          <w:spacing w:val="-9"/>
          <w:sz w:val="24"/>
          <w:szCs w:val="24"/>
        </w:rPr>
        <w:t xml:space="preserve"> </w:t>
      </w:r>
      <w:r w:rsidRPr="00794557">
        <w:rPr>
          <w:rFonts w:ascii="Arial" w:hAnsi="Arial" w:cs="Arial"/>
          <w:sz w:val="24"/>
          <w:szCs w:val="24"/>
        </w:rPr>
        <w:t>scăzută</w:t>
      </w:r>
      <w:r w:rsidRPr="00794557">
        <w:rPr>
          <w:rFonts w:ascii="Arial" w:hAnsi="Arial" w:cs="Arial"/>
          <w:spacing w:val="-10"/>
          <w:sz w:val="24"/>
          <w:szCs w:val="24"/>
        </w:rPr>
        <w:t xml:space="preserve"> </w:t>
      </w:r>
      <w:r w:rsidRPr="00794557">
        <w:rPr>
          <w:rFonts w:ascii="Arial" w:hAnsi="Arial" w:cs="Arial"/>
          <w:sz w:val="24"/>
          <w:szCs w:val="24"/>
        </w:rPr>
        <w:t>valoare în</w:t>
      </w:r>
      <w:r w:rsidRPr="00794557">
        <w:rPr>
          <w:rFonts w:ascii="Arial" w:hAnsi="Arial" w:cs="Arial"/>
          <w:spacing w:val="-9"/>
          <w:sz w:val="24"/>
          <w:szCs w:val="24"/>
        </w:rPr>
        <w:t xml:space="preserve"> </w:t>
      </w:r>
      <w:r w:rsidRPr="00794557">
        <w:rPr>
          <w:rFonts w:ascii="Arial" w:hAnsi="Arial" w:cs="Arial"/>
          <w:sz w:val="24"/>
          <w:szCs w:val="24"/>
        </w:rPr>
        <w:t>UE</w:t>
      </w:r>
      <w:r w:rsidRPr="00794557">
        <w:rPr>
          <w:rFonts w:ascii="Arial" w:hAnsi="Arial" w:cs="Arial"/>
          <w:spacing w:val="-9"/>
          <w:sz w:val="24"/>
          <w:szCs w:val="24"/>
        </w:rPr>
        <w:t xml:space="preserve"> </w:t>
      </w:r>
      <w:r w:rsidRPr="00794557">
        <w:rPr>
          <w:rFonts w:ascii="Arial" w:hAnsi="Arial" w:cs="Arial"/>
          <w:sz w:val="24"/>
          <w:szCs w:val="24"/>
        </w:rPr>
        <w:t>pentru</w:t>
      </w:r>
      <w:r w:rsidRPr="00794557">
        <w:rPr>
          <w:rFonts w:ascii="Arial" w:hAnsi="Arial" w:cs="Arial"/>
          <w:spacing w:val="-9"/>
          <w:sz w:val="24"/>
          <w:szCs w:val="24"/>
        </w:rPr>
        <w:t xml:space="preserve"> </w:t>
      </w:r>
      <w:r w:rsidRPr="00794557">
        <w:rPr>
          <w:rFonts w:ascii="Arial" w:hAnsi="Arial" w:cs="Arial"/>
          <w:sz w:val="24"/>
          <w:szCs w:val="24"/>
        </w:rPr>
        <w:t>acest</w:t>
      </w:r>
      <w:r w:rsidRPr="00794557">
        <w:rPr>
          <w:rFonts w:ascii="Arial" w:hAnsi="Arial" w:cs="Arial"/>
          <w:spacing w:val="-7"/>
          <w:sz w:val="24"/>
          <w:szCs w:val="24"/>
        </w:rPr>
        <w:t xml:space="preserve"> </w:t>
      </w:r>
      <w:r w:rsidRPr="00794557">
        <w:rPr>
          <w:rFonts w:ascii="Arial" w:hAnsi="Arial" w:cs="Arial"/>
          <w:sz w:val="24"/>
          <w:szCs w:val="24"/>
        </w:rPr>
        <w:t>indicator</w:t>
      </w:r>
      <w:r w:rsidRPr="00794557">
        <w:rPr>
          <w:rFonts w:ascii="Arial" w:hAnsi="Arial" w:cs="Arial"/>
          <w:spacing w:val="-9"/>
          <w:sz w:val="24"/>
          <w:szCs w:val="24"/>
        </w:rPr>
        <w:t xml:space="preserve"> </w:t>
      </w:r>
      <w:r w:rsidRPr="00794557">
        <w:rPr>
          <w:rFonts w:ascii="Arial" w:hAnsi="Arial" w:cs="Arial"/>
          <w:sz w:val="24"/>
          <w:szCs w:val="24"/>
        </w:rPr>
        <w:t>este</w:t>
      </w:r>
      <w:r w:rsidRPr="00794557">
        <w:rPr>
          <w:rFonts w:ascii="Arial" w:hAnsi="Arial" w:cs="Arial"/>
          <w:spacing w:val="-8"/>
          <w:sz w:val="24"/>
          <w:szCs w:val="24"/>
        </w:rPr>
        <w:t xml:space="preserve"> </w:t>
      </w:r>
      <w:r w:rsidRPr="00794557">
        <w:rPr>
          <w:rFonts w:ascii="Arial" w:hAnsi="Arial" w:cs="Arial"/>
          <w:sz w:val="24"/>
          <w:szCs w:val="24"/>
        </w:rPr>
        <w:t>Sud-Vest</w:t>
      </w:r>
      <w:r w:rsidRPr="00794557">
        <w:rPr>
          <w:rFonts w:ascii="Arial" w:hAnsi="Arial" w:cs="Arial"/>
          <w:spacing w:val="-7"/>
          <w:sz w:val="24"/>
          <w:szCs w:val="24"/>
        </w:rPr>
        <w:t xml:space="preserve"> </w:t>
      </w:r>
      <w:r w:rsidRPr="00794557">
        <w:rPr>
          <w:rFonts w:ascii="Arial" w:hAnsi="Arial" w:cs="Arial"/>
          <w:sz w:val="24"/>
          <w:szCs w:val="24"/>
        </w:rPr>
        <w:t>Oltenia</w:t>
      </w:r>
      <w:r w:rsidRPr="00794557">
        <w:rPr>
          <w:rFonts w:ascii="Arial" w:hAnsi="Arial" w:cs="Arial"/>
          <w:spacing w:val="-10"/>
          <w:sz w:val="24"/>
          <w:szCs w:val="24"/>
        </w:rPr>
        <w:t xml:space="preserve"> </w:t>
      </w:r>
      <w:r w:rsidRPr="00794557">
        <w:rPr>
          <w:rFonts w:ascii="Arial" w:hAnsi="Arial" w:cs="Arial"/>
          <w:sz w:val="24"/>
          <w:szCs w:val="24"/>
        </w:rPr>
        <w:t>cu</w:t>
      </w:r>
      <w:r w:rsidRPr="00794557">
        <w:rPr>
          <w:rFonts w:ascii="Arial" w:hAnsi="Arial" w:cs="Arial"/>
          <w:spacing w:val="-9"/>
          <w:sz w:val="24"/>
          <w:szCs w:val="24"/>
        </w:rPr>
        <w:t xml:space="preserve"> </w:t>
      </w:r>
      <w:r w:rsidRPr="00794557">
        <w:rPr>
          <w:rFonts w:ascii="Arial" w:hAnsi="Arial" w:cs="Arial"/>
          <w:sz w:val="24"/>
          <w:szCs w:val="24"/>
        </w:rPr>
        <w:t>doar</w:t>
      </w:r>
      <w:r w:rsidRPr="00794557">
        <w:rPr>
          <w:rFonts w:ascii="Arial" w:hAnsi="Arial" w:cs="Arial"/>
          <w:spacing w:val="-9"/>
          <w:sz w:val="24"/>
          <w:szCs w:val="24"/>
        </w:rPr>
        <w:t xml:space="preserve"> </w:t>
      </w:r>
      <w:r w:rsidRPr="00794557">
        <w:rPr>
          <w:rFonts w:ascii="Arial" w:hAnsi="Arial" w:cs="Arial"/>
          <w:sz w:val="24"/>
          <w:szCs w:val="24"/>
        </w:rPr>
        <w:t>0,7%.</w:t>
      </w:r>
      <w:r w:rsidRPr="00794557">
        <w:rPr>
          <w:rFonts w:ascii="Arial" w:hAnsi="Arial" w:cs="Arial"/>
          <w:spacing w:val="-8"/>
          <w:sz w:val="24"/>
          <w:szCs w:val="24"/>
        </w:rPr>
        <w:t xml:space="preserve"> </w:t>
      </w:r>
      <w:r w:rsidRPr="00794557">
        <w:rPr>
          <w:rFonts w:ascii="Arial" w:hAnsi="Arial" w:cs="Arial"/>
          <w:sz w:val="24"/>
          <w:szCs w:val="24"/>
        </w:rPr>
        <w:t>Regiunea</w:t>
      </w:r>
      <w:r w:rsidRPr="00794557">
        <w:rPr>
          <w:rFonts w:ascii="Arial" w:hAnsi="Arial" w:cs="Arial"/>
          <w:spacing w:val="-9"/>
          <w:sz w:val="24"/>
          <w:szCs w:val="24"/>
        </w:rPr>
        <w:t xml:space="preserve"> </w:t>
      </w:r>
      <w:r w:rsidRPr="00794557">
        <w:rPr>
          <w:rFonts w:ascii="Arial" w:hAnsi="Arial" w:cs="Arial"/>
          <w:sz w:val="24"/>
          <w:szCs w:val="24"/>
        </w:rPr>
        <w:t>Vest</w:t>
      </w:r>
      <w:r w:rsidRPr="00794557">
        <w:rPr>
          <w:rFonts w:ascii="Arial" w:hAnsi="Arial" w:cs="Arial"/>
          <w:spacing w:val="-7"/>
          <w:sz w:val="24"/>
          <w:szCs w:val="24"/>
        </w:rPr>
        <w:t xml:space="preserve"> </w:t>
      </w:r>
      <w:r w:rsidRPr="00794557">
        <w:rPr>
          <w:rFonts w:ascii="Arial" w:hAnsi="Arial" w:cs="Arial"/>
          <w:sz w:val="24"/>
          <w:szCs w:val="24"/>
        </w:rPr>
        <w:t>deține</w:t>
      </w:r>
      <w:r w:rsidRPr="00794557">
        <w:rPr>
          <w:rFonts w:ascii="Arial" w:hAnsi="Arial" w:cs="Arial"/>
          <w:spacing w:val="-10"/>
          <w:sz w:val="24"/>
          <w:szCs w:val="24"/>
        </w:rPr>
        <w:t xml:space="preserve"> </w:t>
      </w:r>
      <w:r w:rsidRPr="00794557">
        <w:rPr>
          <w:rFonts w:ascii="Arial" w:hAnsi="Arial" w:cs="Arial"/>
          <w:sz w:val="24"/>
          <w:szCs w:val="24"/>
        </w:rPr>
        <w:t>110% din media UE, având performanţe mai bune comparativ nu doar cu noile state membre, dar şi cu unele regiuni din Franţa, Spania, Italia, precum şi cu alte regiuni Vest</w:t>
      </w:r>
      <w:r w:rsidRPr="00794557">
        <w:rPr>
          <w:rFonts w:ascii="Arial" w:hAnsi="Arial" w:cs="Arial"/>
          <w:spacing w:val="-13"/>
          <w:sz w:val="24"/>
          <w:szCs w:val="24"/>
        </w:rPr>
        <w:t xml:space="preserve"> </w:t>
      </w:r>
      <w:r w:rsidRPr="00794557">
        <w:rPr>
          <w:rFonts w:ascii="Arial" w:hAnsi="Arial" w:cs="Arial"/>
          <w:sz w:val="24"/>
          <w:szCs w:val="24"/>
        </w:rPr>
        <w:t>Europene.</w:t>
      </w:r>
    </w:p>
    <w:p w:rsidR="00D979D8" w:rsidRDefault="00D979D8" w:rsidP="00FA2298">
      <w:pPr>
        <w:spacing w:after="0" w:line="240" w:lineRule="auto"/>
        <w:ind w:left="-90"/>
        <w:jc w:val="both"/>
        <w:rPr>
          <w:rFonts w:ascii="Arial" w:hAnsi="Arial" w:cs="Arial"/>
          <w:sz w:val="24"/>
          <w:szCs w:val="24"/>
        </w:rPr>
      </w:pPr>
      <w:r w:rsidRPr="00794557">
        <w:rPr>
          <w:rFonts w:ascii="Arial" w:hAnsi="Arial" w:cs="Arial"/>
          <w:sz w:val="24"/>
          <w:szCs w:val="24"/>
        </w:rPr>
        <w:t>Pornind de la o bază relativ joasă, (1,9% în 2000), Regiunea Vest a fost caracterizată de o creştere dinamică în termeni de ocupare a forţei de muncă în tehnologie şi sectoarele puternic  bazate  pe  cunoştinţe.  În  2000-2011  ocupa</w:t>
      </w:r>
      <w:r>
        <w:rPr>
          <w:rFonts w:ascii="Arial" w:hAnsi="Arial" w:cs="Arial"/>
          <w:sz w:val="24"/>
          <w:szCs w:val="24"/>
        </w:rPr>
        <w:t xml:space="preserve">rea  forţei  de  muncă  în </w:t>
      </w:r>
      <w:r w:rsidRPr="00794557">
        <w:rPr>
          <w:rFonts w:ascii="Arial" w:hAnsi="Arial" w:cs="Arial"/>
          <w:sz w:val="24"/>
          <w:szCs w:val="24"/>
        </w:rPr>
        <w:t>sectorul</w:t>
      </w:r>
      <w:r>
        <w:rPr>
          <w:rFonts w:ascii="Arial" w:hAnsi="Arial" w:cs="Arial"/>
          <w:sz w:val="24"/>
          <w:szCs w:val="24"/>
        </w:rPr>
        <w:t xml:space="preserve"> </w:t>
      </w:r>
      <w:r w:rsidRPr="00794557">
        <w:rPr>
          <w:rFonts w:ascii="Arial" w:hAnsi="Arial" w:cs="Arial"/>
          <w:sz w:val="24"/>
          <w:szCs w:val="24"/>
        </w:rPr>
        <w:t>tehnologiei</w:t>
      </w:r>
      <w:r w:rsidRPr="00794557">
        <w:rPr>
          <w:rFonts w:ascii="Arial" w:hAnsi="Arial" w:cs="Arial"/>
          <w:spacing w:val="-15"/>
          <w:sz w:val="24"/>
          <w:szCs w:val="24"/>
        </w:rPr>
        <w:t xml:space="preserve"> </w:t>
      </w:r>
      <w:r w:rsidRPr="00794557">
        <w:rPr>
          <w:rFonts w:ascii="Arial" w:hAnsi="Arial" w:cs="Arial"/>
          <w:sz w:val="24"/>
          <w:szCs w:val="24"/>
        </w:rPr>
        <w:t>înalte</w:t>
      </w:r>
      <w:r w:rsidRPr="00794557">
        <w:rPr>
          <w:rFonts w:ascii="Arial" w:hAnsi="Arial" w:cs="Arial"/>
          <w:spacing w:val="-15"/>
          <w:sz w:val="24"/>
          <w:szCs w:val="24"/>
        </w:rPr>
        <w:t xml:space="preserve"> </w:t>
      </w:r>
      <w:r w:rsidRPr="00794557">
        <w:rPr>
          <w:rFonts w:ascii="Arial" w:hAnsi="Arial" w:cs="Arial"/>
          <w:sz w:val="24"/>
          <w:szCs w:val="24"/>
        </w:rPr>
        <w:t>a</w:t>
      </w:r>
      <w:r w:rsidRPr="00794557">
        <w:rPr>
          <w:rFonts w:ascii="Arial" w:hAnsi="Arial" w:cs="Arial"/>
          <w:spacing w:val="-14"/>
          <w:sz w:val="24"/>
          <w:szCs w:val="24"/>
        </w:rPr>
        <w:t xml:space="preserve"> </w:t>
      </w:r>
      <w:r w:rsidRPr="00794557">
        <w:rPr>
          <w:rFonts w:ascii="Arial" w:hAnsi="Arial" w:cs="Arial"/>
          <w:sz w:val="24"/>
          <w:szCs w:val="24"/>
        </w:rPr>
        <w:t>crescut</w:t>
      </w:r>
      <w:r w:rsidRPr="00794557">
        <w:rPr>
          <w:rFonts w:ascii="Arial" w:hAnsi="Arial" w:cs="Arial"/>
          <w:spacing w:val="-12"/>
          <w:sz w:val="24"/>
          <w:szCs w:val="24"/>
        </w:rPr>
        <w:t xml:space="preserve"> </w:t>
      </w:r>
      <w:r w:rsidRPr="00794557">
        <w:rPr>
          <w:rFonts w:ascii="Arial" w:hAnsi="Arial" w:cs="Arial"/>
          <w:sz w:val="24"/>
          <w:szCs w:val="24"/>
        </w:rPr>
        <w:t>mai</w:t>
      </w:r>
      <w:r w:rsidRPr="00794557">
        <w:rPr>
          <w:rFonts w:ascii="Arial" w:hAnsi="Arial" w:cs="Arial"/>
          <w:spacing w:val="-15"/>
          <w:sz w:val="24"/>
          <w:szCs w:val="24"/>
        </w:rPr>
        <w:t xml:space="preserve"> </w:t>
      </w:r>
      <w:r w:rsidRPr="00794557">
        <w:rPr>
          <w:rFonts w:ascii="Arial" w:hAnsi="Arial" w:cs="Arial"/>
          <w:sz w:val="24"/>
          <w:szCs w:val="24"/>
        </w:rPr>
        <w:t>mult</w:t>
      </w:r>
      <w:r w:rsidRPr="00794557">
        <w:rPr>
          <w:rFonts w:ascii="Arial" w:hAnsi="Arial" w:cs="Arial"/>
          <w:spacing w:val="-14"/>
          <w:sz w:val="24"/>
          <w:szCs w:val="24"/>
        </w:rPr>
        <w:t xml:space="preserve"> </w:t>
      </w:r>
      <w:r w:rsidRPr="00794557">
        <w:rPr>
          <w:rFonts w:ascii="Arial" w:hAnsi="Arial" w:cs="Arial"/>
          <w:sz w:val="24"/>
          <w:szCs w:val="24"/>
        </w:rPr>
        <w:t>decât</w:t>
      </w:r>
      <w:r w:rsidRPr="00794557">
        <w:rPr>
          <w:rFonts w:ascii="Arial" w:hAnsi="Arial" w:cs="Arial"/>
          <w:spacing w:val="-14"/>
          <w:sz w:val="24"/>
          <w:szCs w:val="24"/>
        </w:rPr>
        <w:t xml:space="preserve"> </w:t>
      </w:r>
      <w:r w:rsidRPr="00794557">
        <w:rPr>
          <w:rFonts w:ascii="Arial" w:hAnsi="Arial" w:cs="Arial"/>
          <w:sz w:val="24"/>
          <w:szCs w:val="24"/>
        </w:rPr>
        <w:t>dublu,</w:t>
      </w:r>
      <w:r w:rsidRPr="00794557">
        <w:rPr>
          <w:rFonts w:ascii="Arial" w:hAnsi="Arial" w:cs="Arial"/>
          <w:spacing w:val="-14"/>
          <w:sz w:val="24"/>
          <w:szCs w:val="24"/>
        </w:rPr>
        <w:t xml:space="preserve"> </w:t>
      </w:r>
      <w:r w:rsidRPr="00794557">
        <w:rPr>
          <w:rFonts w:ascii="Arial" w:hAnsi="Arial" w:cs="Arial"/>
          <w:sz w:val="24"/>
          <w:szCs w:val="24"/>
        </w:rPr>
        <w:t>cu</w:t>
      </w:r>
      <w:r w:rsidRPr="00794557">
        <w:rPr>
          <w:rFonts w:ascii="Arial" w:hAnsi="Arial" w:cs="Arial"/>
          <w:spacing w:val="-14"/>
          <w:sz w:val="24"/>
          <w:szCs w:val="24"/>
        </w:rPr>
        <w:t xml:space="preserve"> </w:t>
      </w:r>
      <w:r w:rsidRPr="00794557">
        <w:rPr>
          <w:rFonts w:ascii="Arial" w:hAnsi="Arial" w:cs="Arial"/>
          <w:sz w:val="24"/>
          <w:szCs w:val="24"/>
        </w:rPr>
        <w:t>rată</w:t>
      </w:r>
      <w:r w:rsidRPr="00794557">
        <w:rPr>
          <w:rFonts w:ascii="Arial" w:hAnsi="Arial" w:cs="Arial"/>
          <w:spacing w:val="-14"/>
          <w:sz w:val="24"/>
          <w:szCs w:val="24"/>
        </w:rPr>
        <w:t xml:space="preserve"> </w:t>
      </w:r>
      <w:r w:rsidRPr="00794557">
        <w:rPr>
          <w:rFonts w:ascii="Arial" w:hAnsi="Arial" w:cs="Arial"/>
          <w:sz w:val="24"/>
          <w:szCs w:val="24"/>
        </w:rPr>
        <w:t>de</w:t>
      </w:r>
      <w:r w:rsidRPr="00794557">
        <w:rPr>
          <w:rFonts w:ascii="Arial" w:hAnsi="Arial" w:cs="Arial"/>
          <w:spacing w:val="-15"/>
          <w:sz w:val="24"/>
          <w:szCs w:val="24"/>
        </w:rPr>
        <w:t xml:space="preserve"> </w:t>
      </w:r>
      <w:r w:rsidRPr="00794557">
        <w:rPr>
          <w:rFonts w:ascii="Arial" w:hAnsi="Arial" w:cs="Arial"/>
          <w:sz w:val="24"/>
          <w:szCs w:val="24"/>
        </w:rPr>
        <w:t>creştere</w:t>
      </w:r>
      <w:r w:rsidRPr="00794557">
        <w:rPr>
          <w:rFonts w:ascii="Arial" w:hAnsi="Arial" w:cs="Arial"/>
          <w:spacing w:val="-15"/>
          <w:sz w:val="24"/>
          <w:szCs w:val="24"/>
        </w:rPr>
        <w:t xml:space="preserve"> </w:t>
      </w:r>
      <w:r w:rsidRPr="00794557">
        <w:rPr>
          <w:rFonts w:ascii="Arial" w:hAnsi="Arial" w:cs="Arial"/>
          <w:sz w:val="24"/>
          <w:szCs w:val="24"/>
        </w:rPr>
        <w:t>medie</w:t>
      </w:r>
      <w:r w:rsidRPr="00794557">
        <w:rPr>
          <w:rFonts w:ascii="Arial" w:hAnsi="Arial" w:cs="Arial"/>
          <w:spacing w:val="-15"/>
          <w:sz w:val="24"/>
          <w:szCs w:val="24"/>
        </w:rPr>
        <w:t xml:space="preserve"> </w:t>
      </w:r>
      <w:r w:rsidRPr="00794557">
        <w:rPr>
          <w:rFonts w:ascii="Arial" w:hAnsi="Arial" w:cs="Arial"/>
          <w:sz w:val="24"/>
          <w:szCs w:val="24"/>
        </w:rPr>
        <w:t>anuală</w:t>
      </w:r>
      <w:r w:rsidRPr="00794557">
        <w:rPr>
          <w:rFonts w:ascii="Arial" w:hAnsi="Arial" w:cs="Arial"/>
          <w:spacing w:val="-14"/>
          <w:sz w:val="24"/>
          <w:szCs w:val="24"/>
        </w:rPr>
        <w:t xml:space="preserve"> </w:t>
      </w:r>
      <w:r w:rsidRPr="00794557">
        <w:rPr>
          <w:rFonts w:ascii="Arial" w:hAnsi="Arial" w:cs="Arial"/>
          <w:sz w:val="24"/>
          <w:szCs w:val="24"/>
        </w:rPr>
        <w:t>de</w:t>
      </w:r>
      <w:r w:rsidRPr="00794557">
        <w:rPr>
          <w:rFonts w:ascii="Arial" w:hAnsi="Arial" w:cs="Arial"/>
          <w:spacing w:val="-13"/>
          <w:sz w:val="24"/>
          <w:szCs w:val="24"/>
        </w:rPr>
        <w:t xml:space="preserve"> </w:t>
      </w:r>
      <w:r w:rsidRPr="00794557">
        <w:rPr>
          <w:rFonts w:ascii="Arial" w:hAnsi="Arial" w:cs="Arial"/>
          <w:sz w:val="24"/>
          <w:szCs w:val="24"/>
        </w:rPr>
        <w:t>10,5%, în timp ce media UE a scăzut uşor (de la 6 la</w:t>
      </w:r>
      <w:r w:rsidRPr="00794557">
        <w:rPr>
          <w:rFonts w:ascii="Arial" w:hAnsi="Arial" w:cs="Arial"/>
          <w:spacing w:val="-8"/>
          <w:sz w:val="24"/>
          <w:szCs w:val="24"/>
        </w:rPr>
        <w:t xml:space="preserve"> </w:t>
      </w:r>
      <w:r w:rsidRPr="00794557">
        <w:rPr>
          <w:rFonts w:ascii="Arial" w:hAnsi="Arial" w:cs="Arial"/>
          <w:sz w:val="24"/>
          <w:szCs w:val="24"/>
        </w:rPr>
        <w:t>3,9%).</w:t>
      </w:r>
    </w:p>
    <w:p w:rsidR="00D979D8" w:rsidRDefault="00D979D8" w:rsidP="00FA2298">
      <w:pPr>
        <w:spacing w:after="0" w:line="240" w:lineRule="auto"/>
        <w:ind w:left="-90"/>
        <w:jc w:val="both"/>
        <w:rPr>
          <w:rFonts w:ascii="Arial" w:hAnsi="Arial" w:cs="Arial"/>
          <w:sz w:val="24"/>
          <w:szCs w:val="24"/>
        </w:rPr>
      </w:pPr>
      <w:r w:rsidRPr="00794557">
        <w:rPr>
          <w:rFonts w:ascii="Arial" w:hAnsi="Arial" w:cs="Arial"/>
          <w:sz w:val="24"/>
          <w:szCs w:val="24"/>
        </w:rPr>
        <w:t>În ceea ce priveşte ocuparea forţei de muncă în sectoarele tehnologiei înalte şi puternic bazate pe cunoştinţe, Regiunea Vest este ce mai dinamică dintre regiunile NUTS II din România. Regiunea are o tendinţă de creştere similară regiunii Bucureşti-Ilfov, dar mai puternică.</w:t>
      </w:r>
    </w:p>
    <w:p w:rsidR="00D979D8" w:rsidRDefault="00D979D8" w:rsidP="00FA2298">
      <w:pPr>
        <w:spacing w:after="0" w:line="240" w:lineRule="auto"/>
        <w:ind w:left="-90"/>
        <w:jc w:val="both"/>
        <w:rPr>
          <w:rFonts w:ascii="Arial" w:hAnsi="Arial" w:cs="Arial"/>
          <w:sz w:val="24"/>
          <w:szCs w:val="24"/>
        </w:rPr>
      </w:pPr>
      <w:r w:rsidRPr="00794557">
        <w:rPr>
          <w:rFonts w:ascii="Arial" w:hAnsi="Arial" w:cs="Arial"/>
          <w:sz w:val="24"/>
          <w:szCs w:val="24"/>
        </w:rPr>
        <w:t>Cererile de brevetare sunt o măsură a rezultatului activităţii de cercetare-dezvoltare- inovare. Scopul unui brevet este de a proteja rezultatul activităţii de cercetare-dezvoltare, dar sunt la fel de semnificative ca şi sursă a informaţiei tehnologice, care poate ajuta la evitarea</w:t>
      </w:r>
      <w:r w:rsidRPr="00794557">
        <w:rPr>
          <w:rFonts w:ascii="Arial" w:hAnsi="Arial" w:cs="Arial"/>
          <w:spacing w:val="-8"/>
          <w:sz w:val="24"/>
          <w:szCs w:val="24"/>
        </w:rPr>
        <w:t xml:space="preserve"> </w:t>
      </w:r>
      <w:r w:rsidRPr="00794557">
        <w:rPr>
          <w:rFonts w:ascii="Arial" w:hAnsi="Arial" w:cs="Arial"/>
          <w:sz w:val="24"/>
          <w:szCs w:val="24"/>
        </w:rPr>
        <w:t>unei</w:t>
      </w:r>
      <w:r w:rsidRPr="00794557">
        <w:rPr>
          <w:rFonts w:ascii="Arial" w:hAnsi="Arial" w:cs="Arial"/>
          <w:spacing w:val="-8"/>
          <w:sz w:val="24"/>
          <w:szCs w:val="24"/>
        </w:rPr>
        <w:t xml:space="preserve"> </w:t>
      </w:r>
      <w:r w:rsidRPr="00794557">
        <w:rPr>
          <w:rFonts w:ascii="Arial" w:hAnsi="Arial" w:cs="Arial"/>
          <w:sz w:val="24"/>
          <w:szCs w:val="24"/>
        </w:rPr>
        <w:t>reinvestiri</w:t>
      </w:r>
      <w:r w:rsidRPr="00794557">
        <w:rPr>
          <w:rFonts w:ascii="Arial" w:hAnsi="Arial" w:cs="Arial"/>
          <w:spacing w:val="-8"/>
          <w:sz w:val="24"/>
          <w:szCs w:val="24"/>
        </w:rPr>
        <w:t xml:space="preserve"> </w:t>
      </w:r>
      <w:r w:rsidRPr="00794557">
        <w:rPr>
          <w:rFonts w:ascii="Arial" w:hAnsi="Arial" w:cs="Arial"/>
          <w:sz w:val="24"/>
          <w:szCs w:val="24"/>
        </w:rPr>
        <w:t>şi</w:t>
      </w:r>
      <w:r w:rsidRPr="00794557">
        <w:rPr>
          <w:rFonts w:ascii="Arial" w:hAnsi="Arial" w:cs="Arial"/>
          <w:spacing w:val="-8"/>
          <w:sz w:val="24"/>
          <w:szCs w:val="24"/>
        </w:rPr>
        <w:t xml:space="preserve"> </w:t>
      </w:r>
      <w:r w:rsidRPr="00794557">
        <w:rPr>
          <w:rFonts w:ascii="Arial" w:hAnsi="Arial" w:cs="Arial"/>
          <w:sz w:val="24"/>
          <w:szCs w:val="24"/>
        </w:rPr>
        <w:t>reinventări</w:t>
      </w:r>
      <w:r w:rsidRPr="00794557">
        <w:rPr>
          <w:rFonts w:ascii="Arial" w:hAnsi="Arial" w:cs="Arial"/>
          <w:spacing w:val="-8"/>
          <w:sz w:val="24"/>
          <w:szCs w:val="24"/>
        </w:rPr>
        <w:t xml:space="preserve"> </w:t>
      </w:r>
      <w:r w:rsidRPr="00794557">
        <w:rPr>
          <w:rFonts w:ascii="Arial" w:hAnsi="Arial" w:cs="Arial"/>
          <w:sz w:val="24"/>
          <w:szCs w:val="24"/>
        </w:rPr>
        <w:t>de</w:t>
      </w:r>
      <w:r w:rsidRPr="00794557">
        <w:rPr>
          <w:rFonts w:ascii="Arial" w:hAnsi="Arial" w:cs="Arial"/>
          <w:spacing w:val="-8"/>
          <w:sz w:val="24"/>
          <w:szCs w:val="24"/>
        </w:rPr>
        <w:t xml:space="preserve"> </w:t>
      </w:r>
      <w:r w:rsidRPr="00794557">
        <w:rPr>
          <w:rFonts w:ascii="Arial" w:hAnsi="Arial" w:cs="Arial"/>
          <w:sz w:val="24"/>
          <w:szCs w:val="24"/>
        </w:rPr>
        <w:t>idei</w:t>
      </w:r>
      <w:r w:rsidRPr="00794557">
        <w:rPr>
          <w:rFonts w:ascii="Arial" w:hAnsi="Arial" w:cs="Arial"/>
          <w:spacing w:val="-8"/>
          <w:sz w:val="24"/>
          <w:szCs w:val="24"/>
        </w:rPr>
        <w:t xml:space="preserve"> </w:t>
      </w:r>
      <w:r w:rsidRPr="00794557">
        <w:rPr>
          <w:rFonts w:ascii="Arial" w:hAnsi="Arial" w:cs="Arial"/>
          <w:sz w:val="24"/>
          <w:szCs w:val="24"/>
        </w:rPr>
        <w:t>care</w:t>
      </w:r>
      <w:r w:rsidRPr="00794557">
        <w:rPr>
          <w:rFonts w:ascii="Arial" w:hAnsi="Arial" w:cs="Arial"/>
          <w:spacing w:val="-8"/>
          <w:sz w:val="24"/>
          <w:szCs w:val="24"/>
        </w:rPr>
        <w:t xml:space="preserve"> </w:t>
      </w:r>
      <w:r w:rsidRPr="00794557">
        <w:rPr>
          <w:rFonts w:ascii="Arial" w:hAnsi="Arial" w:cs="Arial"/>
          <w:sz w:val="24"/>
          <w:szCs w:val="24"/>
        </w:rPr>
        <w:t>nu</w:t>
      </w:r>
      <w:r w:rsidRPr="00794557">
        <w:rPr>
          <w:rFonts w:ascii="Arial" w:hAnsi="Arial" w:cs="Arial"/>
          <w:spacing w:val="-8"/>
          <w:sz w:val="24"/>
          <w:szCs w:val="24"/>
        </w:rPr>
        <w:t xml:space="preserve"> </w:t>
      </w:r>
      <w:r w:rsidRPr="00794557">
        <w:rPr>
          <w:rFonts w:ascii="Arial" w:hAnsi="Arial" w:cs="Arial"/>
          <w:sz w:val="24"/>
          <w:szCs w:val="24"/>
        </w:rPr>
        <w:t>sunt</w:t>
      </w:r>
      <w:r w:rsidRPr="00794557">
        <w:rPr>
          <w:rFonts w:ascii="Arial" w:hAnsi="Arial" w:cs="Arial"/>
          <w:spacing w:val="-9"/>
          <w:sz w:val="24"/>
          <w:szCs w:val="24"/>
        </w:rPr>
        <w:t xml:space="preserve"> </w:t>
      </w:r>
      <w:r w:rsidRPr="00794557">
        <w:rPr>
          <w:rFonts w:ascii="Arial" w:hAnsi="Arial" w:cs="Arial"/>
          <w:sz w:val="24"/>
          <w:szCs w:val="24"/>
        </w:rPr>
        <w:t>necesare.</w:t>
      </w:r>
      <w:r w:rsidRPr="00794557">
        <w:rPr>
          <w:rFonts w:ascii="Arial" w:hAnsi="Arial" w:cs="Arial"/>
          <w:spacing w:val="-8"/>
          <w:sz w:val="24"/>
          <w:szCs w:val="24"/>
        </w:rPr>
        <w:t xml:space="preserve"> </w:t>
      </w:r>
      <w:r w:rsidRPr="00794557">
        <w:rPr>
          <w:rFonts w:ascii="Arial" w:hAnsi="Arial" w:cs="Arial"/>
          <w:sz w:val="24"/>
          <w:szCs w:val="24"/>
        </w:rPr>
        <w:t>O</w:t>
      </w:r>
      <w:r w:rsidRPr="00794557">
        <w:rPr>
          <w:rFonts w:ascii="Arial" w:hAnsi="Arial" w:cs="Arial"/>
          <w:spacing w:val="-8"/>
          <w:sz w:val="24"/>
          <w:szCs w:val="24"/>
        </w:rPr>
        <w:t xml:space="preserve"> </w:t>
      </w:r>
      <w:r w:rsidRPr="00794557">
        <w:rPr>
          <w:rFonts w:ascii="Arial" w:hAnsi="Arial" w:cs="Arial"/>
          <w:sz w:val="24"/>
          <w:szCs w:val="24"/>
        </w:rPr>
        <w:t>idee</w:t>
      </w:r>
      <w:r w:rsidRPr="00794557">
        <w:rPr>
          <w:rFonts w:ascii="Arial" w:hAnsi="Arial" w:cs="Arial"/>
          <w:spacing w:val="-8"/>
          <w:sz w:val="24"/>
          <w:szCs w:val="24"/>
        </w:rPr>
        <w:t xml:space="preserve"> </w:t>
      </w:r>
      <w:r w:rsidRPr="00794557">
        <w:rPr>
          <w:rFonts w:ascii="Arial" w:hAnsi="Arial" w:cs="Arial"/>
          <w:sz w:val="24"/>
          <w:szCs w:val="24"/>
        </w:rPr>
        <w:t>brevetată</w:t>
      </w:r>
      <w:r w:rsidRPr="00794557">
        <w:rPr>
          <w:rFonts w:ascii="Arial" w:hAnsi="Arial" w:cs="Arial"/>
          <w:spacing w:val="-8"/>
          <w:sz w:val="24"/>
          <w:szCs w:val="24"/>
        </w:rPr>
        <w:t xml:space="preserve"> </w:t>
      </w:r>
      <w:r w:rsidRPr="00794557">
        <w:rPr>
          <w:rFonts w:ascii="Arial" w:hAnsi="Arial" w:cs="Arial"/>
          <w:sz w:val="24"/>
          <w:szCs w:val="24"/>
        </w:rPr>
        <w:t>nu</w:t>
      </w:r>
      <w:r w:rsidRPr="00794557">
        <w:rPr>
          <w:rFonts w:ascii="Arial" w:hAnsi="Arial" w:cs="Arial"/>
          <w:spacing w:val="-8"/>
          <w:sz w:val="24"/>
          <w:szCs w:val="24"/>
        </w:rPr>
        <w:t xml:space="preserve"> </w:t>
      </w:r>
      <w:r w:rsidRPr="00794557">
        <w:rPr>
          <w:rFonts w:ascii="Arial" w:hAnsi="Arial" w:cs="Arial"/>
          <w:sz w:val="24"/>
          <w:szCs w:val="24"/>
        </w:rPr>
        <w:t xml:space="preserve">este însă în mod necesar o idee comercializată, deci indicatorul </w:t>
      </w:r>
      <w:r w:rsidRPr="00794557">
        <w:rPr>
          <w:rFonts w:ascii="Arial" w:hAnsi="Arial" w:cs="Arial"/>
          <w:sz w:val="24"/>
          <w:szCs w:val="24"/>
        </w:rPr>
        <w:lastRenderedPageBreak/>
        <w:t>poate fi văzut ca un indice al nivelului de CDI, nu ca un scor al introducerii pe piaţă al produselor</w:t>
      </w:r>
      <w:r w:rsidRPr="00794557">
        <w:rPr>
          <w:rFonts w:ascii="Arial" w:hAnsi="Arial" w:cs="Arial"/>
          <w:spacing w:val="-22"/>
          <w:sz w:val="24"/>
          <w:szCs w:val="24"/>
        </w:rPr>
        <w:t xml:space="preserve"> </w:t>
      </w:r>
      <w:r w:rsidRPr="00794557">
        <w:rPr>
          <w:rFonts w:ascii="Arial" w:hAnsi="Arial" w:cs="Arial"/>
          <w:sz w:val="24"/>
          <w:szCs w:val="24"/>
        </w:rPr>
        <w:t>CDI.</w:t>
      </w:r>
    </w:p>
    <w:p w:rsidR="00D979D8" w:rsidRDefault="00D979D8" w:rsidP="00FA2298">
      <w:pPr>
        <w:spacing w:after="0" w:line="240" w:lineRule="auto"/>
        <w:ind w:left="-90"/>
        <w:jc w:val="both"/>
        <w:rPr>
          <w:rFonts w:ascii="Arial" w:hAnsi="Arial" w:cs="Arial"/>
          <w:sz w:val="24"/>
          <w:szCs w:val="24"/>
        </w:rPr>
      </w:pPr>
      <w:r w:rsidRPr="00794557">
        <w:rPr>
          <w:rFonts w:ascii="Arial" w:hAnsi="Arial" w:cs="Arial"/>
          <w:sz w:val="24"/>
          <w:szCs w:val="24"/>
        </w:rPr>
        <w:t xml:space="preserve">În anul 2011 Regiunea Vest avea </w:t>
      </w:r>
      <w:r w:rsidRPr="00794557">
        <w:rPr>
          <w:rFonts w:ascii="Arial" w:hAnsi="Arial" w:cs="Arial"/>
          <w:b/>
          <w:sz w:val="24"/>
          <w:szCs w:val="24"/>
        </w:rPr>
        <w:t>5,1 cereri de brevetare la BEB</w:t>
      </w:r>
      <w:r w:rsidRPr="00794557">
        <w:rPr>
          <w:rFonts w:ascii="Arial" w:hAnsi="Arial" w:cs="Arial"/>
          <w:sz w:val="24"/>
          <w:szCs w:val="24"/>
        </w:rPr>
        <w:t>, regiunea fiind ce-a de-a doua din România, după regiunea București-Ilfov care a înr</w:t>
      </w:r>
      <w:r>
        <w:rPr>
          <w:rFonts w:ascii="Arial" w:hAnsi="Arial" w:cs="Arial"/>
          <w:sz w:val="24"/>
          <w:szCs w:val="24"/>
        </w:rPr>
        <w:t>egistrat 11,2 cereri de brevete.</w:t>
      </w:r>
    </w:p>
    <w:p w:rsidR="00D979D8" w:rsidRDefault="00D979D8" w:rsidP="00FA2298">
      <w:pPr>
        <w:spacing w:after="0" w:line="240" w:lineRule="auto"/>
        <w:ind w:left="-90"/>
        <w:jc w:val="both"/>
        <w:rPr>
          <w:rFonts w:ascii="Arial" w:hAnsi="Arial" w:cs="Arial"/>
          <w:sz w:val="24"/>
          <w:szCs w:val="24"/>
        </w:rPr>
      </w:pPr>
      <w:r w:rsidRPr="00794557">
        <w:rPr>
          <w:rFonts w:ascii="Arial" w:hAnsi="Arial" w:cs="Arial"/>
          <w:sz w:val="24"/>
          <w:szCs w:val="24"/>
        </w:rPr>
        <w:t>Informaţiile din Tabloul de Bord al Uniunii Inovării Regionale (2012) arată o performanţă</w:t>
      </w:r>
      <w:r w:rsidRPr="00794557">
        <w:rPr>
          <w:rFonts w:ascii="Arial" w:hAnsi="Arial" w:cs="Arial"/>
          <w:spacing w:val="-7"/>
          <w:sz w:val="24"/>
          <w:szCs w:val="24"/>
        </w:rPr>
        <w:t xml:space="preserve"> </w:t>
      </w:r>
      <w:r w:rsidRPr="00794557">
        <w:rPr>
          <w:rFonts w:ascii="Arial" w:hAnsi="Arial" w:cs="Arial"/>
          <w:sz w:val="24"/>
          <w:szCs w:val="24"/>
        </w:rPr>
        <w:t>mixtă</w:t>
      </w:r>
      <w:r w:rsidRPr="00794557">
        <w:rPr>
          <w:rFonts w:ascii="Arial" w:hAnsi="Arial" w:cs="Arial"/>
          <w:spacing w:val="-6"/>
          <w:sz w:val="24"/>
          <w:szCs w:val="24"/>
        </w:rPr>
        <w:t xml:space="preserve"> </w:t>
      </w:r>
      <w:r w:rsidRPr="00794557">
        <w:rPr>
          <w:rFonts w:ascii="Arial" w:hAnsi="Arial" w:cs="Arial"/>
          <w:sz w:val="24"/>
          <w:szCs w:val="24"/>
        </w:rPr>
        <w:t>pentru</w:t>
      </w:r>
      <w:r w:rsidRPr="00794557">
        <w:rPr>
          <w:rFonts w:ascii="Arial" w:hAnsi="Arial" w:cs="Arial"/>
          <w:spacing w:val="-7"/>
          <w:sz w:val="24"/>
          <w:szCs w:val="24"/>
        </w:rPr>
        <w:t xml:space="preserve"> </w:t>
      </w:r>
      <w:r w:rsidRPr="00794557">
        <w:rPr>
          <w:rFonts w:ascii="Arial" w:hAnsi="Arial" w:cs="Arial"/>
          <w:sz w:val="24"/>
          <w:szCs w:val="24"/>
        </w:rPr>
        <w:t>Regiunea</w:t>
      </w:r>
      <w:r w:rsidRPr="00794557">
        <w:rPr>
          <w:rFonts w:ascii="Arial" w:hAnsi="Arial" w:cs="Arial"/>
          <w:spacing w:val="-7"/>
          <w:sz w:val="24"/>
          <w:szCs w:val="24"/>
        </w:rPr>
        <w:t xml:space="preserve"> </w:t>
      </w:r>
      <w:r w:rsidRPr="00794557">
        <w:rPr>
          <w:rFonts w:ascii="Arial" w:hAnsi="Arial" w:cs="Arial"/>
          <w:sz w:val="24"/>
          <w:szCs w:val="24"/>
        </w:rPr>
        <w:t>Vest</w:t>
      </w:r>
      <w:r w:rsidRPr="00794557">
        <w:rPr>
          <w:rFonts w:ascii="Arial" w:hAnsi="Arial" w:cs="Arial"/>
          <w:spacing w:val="-7"/>
          <w:sz w:val="24"/>
          <w:szCs w:val="24"/>
        </w:rPr>
        <w:t xml:space="preserve"> </w:t>
      </w:r>
      <w:r w:rsidRPr="00794557">
        <w:rPr>
          <w:rFonts w:ascii="Arial" w:hAnsi="Arial" w:cs="Arial"/>
          <w:sz w:val="24"/>
          <w:szCs w:val="24"/>
        </w:rPr>
        <w:t>în</w:t>
      </w:r>
      <w:r w:rsidRPr="00794557">
        <w:rPr>
          <w:rFonts w:ascii="Arial" w:hAnsi="Arial" w:cs="Arial"/>
          <w:spacing w:val="-7"/>
          <w:sz w:val="24"/>
          <w:szCs w:val="24"/>
        </w:rPr>
        <w:t xml:space="preserve"> </w:t>
      </w:r>
      <w:r w:rsidRPr="00794557">
        <w:rPr>
          <w:rFonts w:ascii="Arial" w:hAnsi="Arial" w:cs="Arial"/>
          <w:sz w:val="24"/>
          <w:szCs w:val="24"/>
        </w:rPr>
        <w:t>ceea</w:t>
      </w:r>
      <w:r w:rsidRPr="00794557">
        <w:rPr>
          <w:rFonts w:ascii="Arial" w:hAnsi="Arial" w:cs="Arial"/>
          <w:spacing w:val="-7"/>
          <w:sz w:val="24"/>
          <w:szCs w:val="24"/>
        </w:rPr>
        <w:t xml:space="preserve"> </w:t>
      </w:r>
      <w:r w:rsidRPr="00794557">
        <w:rPr>
          <w:rFonts w:ascii="Arial" w:hAnsi="Arial" w:cs="Arial"/>
          <w:sz w:val="24"/>
          <w:szCs w:val="24"/>
        </w:rPr>
        <w:t>ce</w:t>
      </w:r>
      <w:r w:rsidRPr="00794557">
        <w:rPr>
          <w:rFonts w:ascii="Arial" w:hAnsi="Arial" w:cs="Arial"/>
          <w:spacing w:val="-8"/>
          <w:sz w:val="24"/>
          <w:szCs w:val="24"/>
        </w:rPr>
        <w:t xml:space="preserve"> </w:t>
      </w:r>
      <w:r w:rsidRPr="00794557">
        <w:rPr>
          <w:rFonts w:ascii="Arial" w:hAnsi="Arial" w:cs="Arial"/>
          <w:sz w:val="24"/>
          <w:szCs w:val="24"/>
        </w:rPr>
        <w:t>privește</w:t>
      </w:r>
      <w:r w:rsidRPr="00794557">
        <w:rPr>
          <w:rFonts w:ascii="Arial" w:hAnsi="Arial" w:cs="Arial"/>
          <w:spacing w:val="-8"/>
          <w:sz w:val="24"/>
          <w:szCs w:val="24"/>
        </w:rPr>
        <w:t xml:space="preserve"> </w:t>
      </w:r>
      <w:r w:rsidRPr="00794557">
        <w:rPr>
          <w:rFonts w:ascii="Arial" w:hAnsi="Arial" w:cs="Arial"/>
          <w:sz w:val="24"/>
          <w:szCs w:val="24"/>
        </w:rPr>
        <w:t>brevetele</w:t>
      </w:r>
      <w:r w:rsidRPr="00794557">
        <w:rPr>
          <w:rFonts w:ascii="Arial" w:hAnsi="Arial" w:cs="Arial"/>
          <w:spacing w:val="-8"/>
          <w:sz w:val="24"/>
          <w:szCs w:val="24"/>
        </w:rPr>
        <w:t xml:space="preserve"> </w:t>
      </w:r>
      <w:r w:rsidRPr="00794557">
        <w:rPr>
          <w:rFonts w:ascii="Arial" w:hAnsi="Arial" w:cs="Arial"/>
          <w:sz w:val="24"/>
          <w:szCs w:val="24"/>
        </w:rPr>
        <w:t>OEB</w:t>
      </w:r>
      <w:r w:rsidRPr="00794557">
        <w:rPr>
          <w:rFonts w:ascii="Arial" w:hAnsi="Arial" w:cs="Arial"/>
          <w:spacing w:val="-8"/>
          <w:sz w:val="24"/>
          <w:szCs w:val="24"/>
        </w:rPr>
        <w:t xml:space="preserve"> </w:t>
      </w:r>
      <w:r w:rsidRPr="00794557">
        <w:rPr>
          <w:rFonts w:ascii="Arial" w:hAnsi="Arial" w:cs="Arial"/>
          <w:sz w:val="24"/>
          <w:szCs w:val="24"/>
        </w:rPr>
        <w:t>în</w:t>
      </w:r>
      <w:r w:rsidRPr="00794557">
        <w:rPr>
          <w:rFonts w:ascii="Arial" w:hAnsi="Arial" w:cs="Arial"/>
          <w:spacing w:val="-7"/>
          <w:sz w:val="24"/>
          <w:szCs w:val="24"/>
        </w:rPr>
        <w:t xml:space="preserve"> </w:t>
      </w:r>
      <w:r w:rsidRPr="00794557">
        <w:rPr>
          <w:rFonts w:ascii="Arial" w:hAnsi="Arial" w:cs="Arial"/>
          <w:sz w:val="24"/>
          <w:szCs w:val="24"/>
        </w:rPr>
        <w:t>comparaţie</w:t>
      </w:r>
      <w:r w:rsidRPr="00794557">
        <w:rPr>
          <w:rFonts w:ascii="Arial" w:hAnsi="Arial" w:cs="Arial"/>
          <w:spacing w:val="-8"/>
          <w:sz w:val="24"/>
          <w:szCs w:val="24"/>
        </w:rPr>
        <w:t xml:space="preserve"> </w:t>
      </w:r>
      <w:r w:rsidRPr="00794557">
        <w:rPr>
          <w:rFonts w:ascii="Arial" w:hAnsi="Arial" w:cs="Arial"/>
          <w:sz w:val="24"/>
          <w:szCs w:val="24"/>
        </w:rPr>
        <w:t>cu celelalte regiuni din România. Regiunea Vest pare să ajungă din urmă Bucureștiul conform celor mai recente date</w:t>
      </w:r>
      <w:r>
        <w:rPr>
          <w:rFonts w:ascii="Arial" w:hAnsi="Arial" w:cs="Arial"/>
        </w:rPr>
        <w:t>.</w:t>
      </w:r>
      <w:r w:rsidRPr="00794557">
        <w:rPr>
          <w:rFonts w:ascii="Arial" w:hAnsi="Arial" w:cs="Arial"/>
          <w:sz w:val="24"/>
          <w:szCs w:val="24"/>
        </w:rPr>
        <w:t xml:space="preserve"> </w:t>
      </w:r>
    </w:p>
    <w:p w:rsidR="005B3B58" w:rsidRPr="0081136A" w:rsidRDefault="00D979D8" w:rsidP="00FA2298">
      <w:pPr>
        <w:spacing w:after="0" w:line="240" w:lineRule="auto"/>
        <w:ind w:left="-90"/>
        <w:jc w:val="both"/>
        <w:rPr>
          <w:rFonts w:ascii="Arial" w:hAnsi="Arial" w:cs="Arial"/>
          <w:sz w:val="24"/>
          <w:szCs w:val="24"/>
        </w:rPr>
      </w:pPr>
      <w:r w:rsidRPr="00794557">
        <w:rPr>
          <w:rFonts w:ascii="Arial" w:hAnsi="Arial" w:cs="Arial"/>
          <w:sz w:val="24"/>
          <w:szCs w:val="24"/>
        </w:rPr>
        <w:t>În anul 2011 în România au fost înregistrate 1463 cereri de brevetare, conform datelor raportate către OSIM. Din cererile înregistrate, 1424 (97,3%) au fost ale solicitanţilor</w:t>
      </w:r>
      <w:r w:rsidRPr="00794557">
        <w:rPr>
          <w:rFonts w:ascii="Arial" w:hAnsi="Arial" w:cs="Arial"/>
          <w:spacing w:val="-9"/>
          <w:sz w:val="24"/>
          <w:szCs w:val="24"/>
        </w:rPr>
        <w:t xml:space="preserve"> </w:t>
      </w:r>
      <w:r w:rsidRPr="00794557">
        <w:rPr>
          <w:rFonts w:ascii="Arial" w:hAnsi="Arial" w:cs="Arial"/>
          <w:sz w:val="24"/>
          <w:szCs w:val="24"/>
        </w:rPr>
        <w:t>români.</w:t>
      </w:r>
      <w:r w:rsidRPr="00794557">
        <w:rPr>
          <w:rFonts w:ascii="Arial" w:hAnsi="Arial" w:cs="Arial"/>
          <w:spacing w:val="-9"/>
          <w:sz w:val="24"/>
          <w:szCs w:val="24"/>
        </w:rPr>
        <w:t xml:space="preserve"> </w:t>
      </w:r>
      <w:r w:rsidRPr="00794557">
        <w:rPr>
          <w:rFonts w:ascii="Arial" w:hAnsi="Arial" w:cs="Arial"/>
          <w:sz w:val="24"/>
          <w:szCs w:val="24"/>
        </w:rPr>
        <w:t>Comparativ</w:t>
      </w:r>
      <w:r w:rsidRPr="00794557">
        <w:rPr>
          <w:rFonts w:ascii="Arial" w:hAnsi="Arial" w:cs="Arial"/>
          <w:spacing w:val="-10"/>
          <w:sz w:val="24"/>
          <w:szCs w:val="24"/>
        </w:rPr>
        <w:t xml:space="preserve"> </w:t>
      </w:r>
      <w:r w:rsidRPr="00794557">
        <w:rPr>
          <w:rFonts w:ascii="Arial" w:hAnsi="Arial" w:cs="Arial"/>
          <w:sz w:val="24"/>
          <w:szCs w:val="24"/>
        </w:rPr>
        <w:t>cu</w:t>
      </w:r>
      <w:r w:rsidRPr="00794557">
        <w:rPr>
          <w:rFonts w:ascii="Arial" w:hAnsi="Arial" w:cs="Arial"/>
          <w:spacing w:val="-9"/>
          <w:sz w:val="24"/>
          <w:szCs w:val="24"/>
        </w:rPr>
        <w:t xml:space="preserve"> </w:t>
      </w:r>
      <w:r w:rsidRPr="00794557">
        <w:rPr>
          <w:rFonts w:ascii="Arial" w:hAnsi="Arial" w:cs="Arial"/>
          <w:sz w:val="24"/>
          <w:szCs w:val="24"/>
        </w:rPr>
        <w:t>anul</w:t>
      </w:r>
      <w:r w:rsidRPr="00794557">
        <w:rPr>
          <w:rFonts w:ascii="Arial" w:hAnsi="Arial" w:cs="Arial"/>
          <w:spacing w:val="-10"/>
          <w:sz w:val="24"/>
          <w:szCs w:val="24"/>
        </w:rPr>
        <w:t xml:space="preserve"> </w:t>
      </w:r>
      <w:r w:rsidRPr="00794557">
        <w:rPr>
          <w:rFonts w:ascii="Arial" w:hAnsi="Arial" w:cs="Arial"/>
          <w:sz w:val="24"/>
          <w:szCs w:val="24"/>
        </w:rPr>
        <w:t>2007,</w:t>
      </w:r>
      <w:r w:rsidRPr="00794557">
        <w:rPr>
          <w:rFonts w:ascii="Arial" w:hAnsi="Arial" w:cs="Arial"/>
          <w:spacing w:val="-9"/>
          <w:sz w:val="24"/>
          <w:szCs w:val="24"/>
        </w:rPr>
        <w:t xml:space="preserve"> </w:t>
      </w:r>
      <w:r w:rsidRPr="00794557">
        <w:rPr>
          <w:rFonts w:ascii="Arial" w:hAnsi="Arial" w:cs="Arial"/>
          <w:sz w:val="24"/>
          <w:szCs w:val="24"/>
        </w:rPr>
        <w:t>se</w:t>
      </w:r>
      <w:r w:rsidRPr="00794557">
        <w:rPr>
          <w:rFonts w:ascii="Arial" w:hAnsi="Arial" w:cs="Arial"/>
          <w:spacing w:val="-8"/>
          <w:sz w:val="24"/>
          <w:szCs w:val="24"/>
        </w:rPr>
        <w:t xml:space="preserve"> </w:t>
      </w:r>
      <w:r w:rsidRPr="00794557">
        <w:rPr>
          <w:rFonts w:ascii="Arial" w:hAnsi="Arial" w:cs="Arial"/>
          <w:sz w:val="24"/>
          <w:szCs w:val="24"/>
        </w:rPr>
        <w:t>constată</w:t>
      </w:r>
      <w:r w:rsidRPr="00794557">
        <w:rPr>
          <w:rFonts w:ascii="Arial" w:hAnsi="Arial" w:cs="Arial"/>
          <w:spacing w:val="-9"/>
          <w:sz w:val="24"/>
          <w:szCs w:val="24"/>
        </w:rPr>
        <w:t xml:space="preserve"> </w:t>
      </w:r>
      <w:r w:rsidRPr="00794557">
        <w:rPr>
          <w:rFonts w:ascii="Arial" w:hAnsi="Arial" w:cs="Arial"/>
          <w:sz w:val="24"/>
          <w:szCs w:val="24"/>
        </w:rPr>
        <w:t>o</w:t>
      </w:r>
      <w:r w:rsidRPr="00794557">
        <w:rPr>
          <w:rFonts w:ascii="Arial" w:hAnsi="Arial" w:cs="Arial"/>
          <w:spacing w:val="-9"/>
          <w:sz w:val="24"/>
          <w:szCs w:val="24"/>
        </w:rPr>
        <w:t xml:space="preserve"> </w:t>
      </w:r>
      <w:r w:rsidRPr="00794557">
        <w:rPr>
          <w:rFonts w:ascii="Arial" w:hAnsi="Arial" w:cs="Arial"/>
          <w:sz w:val="24"/>
          <w:szCs w:val="24"/>
        </w:rPr>
        <w:t>creştere</w:t>
      </w:r>
      <w:r w:rsidRPr="00794557">
        <w:rPr>
          <w:rFonts w:ascii="Arial" w:hAnsi="Arial" w:cs="Arial"/>
          <w:spacing w:val="-8"/>
          <w:sz w:val="24"/>
          <w:szCs w:val="24"/>
        </w:rPr>
        <w:t xml:space="preserve"> </w:t>
      </w:r>
      <w:r w:rsidRPr="00794557">
        <w:rPr>
          <w:rFonts w:ascii="Arial" w:hAnsi="Arial" w:cs="Arial"/>
          <w:sz w:val="24"/>
          <w:szCs w:val="24"/>
        </w:rPr>
        <w:t>de</w:t>
      </w:r>
      <w:r w:rsidRPr="00794557">
        <w:rPr>
          <w:rFonts w:ascii="Arial" w:hAnsi="Arial" w:cs="Arial"/>
          <w:spacing w:val="-8"/>
          <w:sz w:val="24"/>
          <w:szCs w:val="24"/>
        </w:rPr>
        <w:t xml:space="preserve"> </w:t>
      </w:r>
      <w:r w:rsidRPr="00794557">
        <w:rPr>
          <w:rFonts w:ascii="Arial" w:hAnsi="Arial" w:cs="Arial"/>
          <w:sz w:val="24"/>
          <w:szCs w:val="24"/>
        </w:rPr>
        <w:t>58%</w:t>
      </w:r>
      <w:r w:rsidRPr="00794557">
        <w:rPr>
          <w:rFonts w:ascii="Arial" w:hAnsi="Arial" w:cs="Arial"/>
          <w:spacing w:val="-9"/>
          <w:sz w:val="24"/>
          <w:szCs w:val="24"/>
        </w:rPr>
        <w:t xml:space="preserve"> </w:t>
      </w:r>
      <w:r w:rsidRPr="00794557">
        <w:rPr>
          <w:rFonts w:ascii="Arial" w:hAnsi="Arial" w:cs="Arial"/>
          <w:sz w:val="24"/>
          <w:szCs w:val="24"/>
        </w:rPr>
        <w:t>a</w:t>
      </w:r>
      <w:r w:rsidRPr="00D979D8">
        <w:rPr>
          <w:rFonts w:ascii="Arial" w:hAnsi="Arial" w:cs="Arial"/>
          <w:sz w:val="24"/>
          <w:szCs w:val="24"/>
        </w:rPr>
        <w:t xml:space="preserve"> </w:t>
      </w:r>
      <w:r w:rsidRPr="00794557">
        <w:rPr>
          <w:rFonts w:ascii="Arial" w:hAnsi="Arial" w:cs="Arial"/>
          <w:sz w:val="24"/>
          <w:szCs w:val="24"/>
        </w:rPr>
        <w:t>numărului cererilor de brevet</w:t>
      </w:r>
      <w:r w:rsidRPr="00794557">
        <w:rPr>
          <w:rFonts w:ascii="Arial" w:hAnsi="Arial" w:cs="Arial"/>
          <w:spacing w:val="-10"/>
          <w:sz w:val="24"/>
          <w:szCs w:val="24"/>
        </w:rPr>
        <w:t xml:space="preserve"> </w:t>
      </w:r>
      <w:r w:rsidRPr="00794557">
        <w:rPr>
          <w:rFonts w:ascii="Arial" w:hAnsi="Arial" w:cs="Arial"/>
          <w:sz w:val="24"/>
          <w:szCs w:val="24"/>
        </w:rPr>
        <w:t>înregistrate.În ceea ce priveşte cererile de brevet înregistrate la nivel regional, în anul 2011 în Regiunea Vest s-au depus 89 de cereri, numărul acestora fiind în creştere cu 29% comparativ cu anul 2007. Disparităţile regionale sunt însă semnificative. Cel mai mare număr</w:t>
      </w:r>
      <w:r w:rsidRPr="00794557">
        <w:rPr>
          <w:rFonts w:ascii="Arial" w:hAnsi="Arial" w:cs="Arial"/>
          <w:spacing w:val="-12"/>
          <w:sz w:val="24"/>
          <w:szCs w:val="24"/>
        </w:rPr>
        <w:t xml:space="preserve"> </w:t>
      </w:r>
      <w:r w:rsidRPr="00794557">
        <w:rPr>
          <w:rFonts w:ascii="Arial" w:hAnsi="Arial" w:cs="Arial"/>
          <w:sz w:val="24"/>
          <w:szCs w:val="24"/>
        </w:rPr>
        <w:t>de</w:t>
      </w:r>
      <w:r w:rsidRPr="00794557">
        <w:rPr>
          <w:rFonts w:ascii="Arial" w:hAnsi="Arial" w:cs="Arial"/>
          <w:spacing w:val="-13"/>
          <w:sz w:val="24"/>
          <w:szCs w:val="24"/>
        </w:rPr>
        <w:t xml:space="preserve"> </w:t>
      </w:r>
      <w:r w:rsidRPr="00794557">
        <w:rPr>
          <w:rFonts w:ascii="Arial" w:hAnsi="Arial" w:cs="Arial"/>
          <w:sz w:val="24"/>
          <w:szCs w:val="24"/>
        </w:rPr>
        <w:t>cereri</w:t>
      </w:r>
      <w:r w:rsidRPr="00794557">
        <w:rPr>
          <w:rFonts w:ascii="Arial" w:hAnsi="Arial" w:cs="Arial"/>
          <w:spacing w:val="-9"/>
          <w:sz w:val="24"/>
          <w:szCs w:val="24"/>
        </w:rPr>
        <w:t xml:space="preserve"> </w:t>
      </w:r>
      <w:r w:rsidRPr="00794557">
        <w:rPr>
          <w:rFonts w:ascii="Arial" w:hAnsi="Arial" w:cs="Arial"/>
          <w:sz w:val="24"/>
          <w:szCs w:val="24"/>
        </w:rPr>
        <w:t>de</w:t>
      </w:r>
      <w:r w:rsidRPr="00794557">
        <w:rPr>
          <w:rFonts w:ascii="Arial" w:hAnsi="Arial" w:cs="Arial"/>
          <w:spacing w:val="-9"/>
          <w:sz w:val="24"/>
          <w:szCs w:val="24"/>
        </w:rPr>
        <w:t xml:space="preserve"> </w:t>
      </w:r>
      <w:r w:rsidRPr="00794557">
        <w:rPr>
          <w:rFonts w:ascii="Arial" w:hAnsi="Arial" w:cs="Arial"/>
          <w:sz w:val="24"/>
          <w:szCs w:val="24"/>
        </w:rPr>
        <w:t>brevet</w:t>
      </w:r>
      <w:r w:rsidRPr="00794557">
        <w:rPr>
          <w:rFonts w:ascii="Arial" w:hAnsi="Arial" w:cs="Arial"/>
          <w:spacing w:val="-12"/>
          <w:sz w:val="24"/>
          <w:szCs w:val="24"/>
        </w:rPr>
        <w:t xml:space="preserve"> </w:t>
      </w:r>
      <w:r w:rsidRPr="00794557">
        <w:rPr>
          <w:rFonts w:ascii="Arial" w:hAnsi="Arial" w:cs="Arial"/>
          <w:sz w:val="24"/>
          <w:szCs w:val="24"/>
        </w:rPr>
        <w:t>s-a</w:t>
      </w:r>
      <w:r w:rsidRPr="00794557">
        <w:rPr>
          <w:rFonts w:ascii="Arial" w:hAnsi="Arial" w:cs="Arial"/>
          <w:spacing w:val="-9"/>
          <w:sz w:val="24"/>
          <w:szCs w:val="24"/>
        </w:rPr>
        <w:t xml:space="preserve"> </w:t>
      </w:r>
      <w:r w:rsidRPr="00794557">
        <w:rPr>
          <w:rFonts w:ascii="Arial" w:hAnsi="Arial" w:cs="Arial"/>
          <w:sz w:val="24"/>
          <w:szCs w:val="24"/>
        </w:rPr>
        <w:t>înregistrat</w:t>
      </w:r>
      <w:r w:rsidRPr="00794557">
        <w:rPr>
          <w:rFonts w:ascii="Arial" w:hAnsi="Arial" w:cs="Arial"/>
          <w:spacing w:val="-9"/>
          <w:sz w:val="24"/>
          <w:szCs w:val="24"/>
        </w:rPr>
        <w:t xml:space="preserve"> </w:t>
      </w:r>
      <w:r w:rsidRPr="00794557">
        <w:rPr>
          <w:rFonts w:ascii="Arial" w:hAnsi="Arial" w:cs="Arial"/>
          <w:sz w:val="24"/>
          <w:szCs w:val="24"/>
        </w:rPr>
        <w:t>în</w:t>
      </w:r>
      <w:r w:rsidRPr="00794557">
        <w:rPr>
          <w:rFonts w:ascii="Arial" w:hAnsi="Arial" w:cs="Arial"/>
          <w:spacing w:val="-12"/>
          <w:sz w:val="24"/>
          <w:szCs w:val="24"/>
        </w:rPr>
        <w:t xml:space="preserve"> </w:t>
      </w:r>
      <w:r w:rsidRPr="00794557">
        <w:rPr>
          <w:rFonts w:ascii="Arial" w:hAnsi="Arial" w:cs="Arial"/>
          <w:sz w:val="24"/>
          <w:szCs w:val="24"/>
        </w:rPr>
        <w:t>judeţul</w:t>
      </w:r>
      <w:r w:rsidRPr="00794557">
        <w:rPr>
          <w:rFonts w:ascii="Arial" w:hAnsi="Arial" w:cs="Arial"/>
          <w:spacing w:val="-13"/>
          <w:sz w:val="24"/>
          <w:szCs w:val="24"/>
        </w:rPr>
        <w:t xml:space="preserve"> </w:t>
      </w:r>
      <w:r w:rsidRPr="00794557">
        <w:rPr>
          <w:rFonts w:ascii="Arial" w:hAnsi="Arial" w:cs="Arial"/>
          <w:sz w:val="24"/>
          <w:szCs w:val="24"/>
        </w:rPr>
        <w:t>Timiş</w:t>
      </w:r>
      <w:r w:rsidRPr="00794557">
        <w:rPr>
          <w:rFonts w:ascii="Arial" w:hAnsi="Arial" w:cs="Arial"/>
          <w:spacing w:val="-11"/>
          <w:sz w:val="24"/>
          <w:szCs w:val="24"/>
        </w:rPr>
        <w:t xml:space="preserve"> </w:t>
      </w:r>
      <w:r w:rsidRPr="00794557">
        <w:rPr>
          <w:rFonts w:ascii="Arial" w:hAnsi="Arial" w:cs="Arial"/>
          <w:sz w:val="24"/>
          <w:szCs w:val="24"/>
        </w:rPr>
        <w:t>(57),</w:t>
      </w:r>
      <w:r w:rsidRPr="00794557">
        <w:rPr>
          <w:rFonts w:ascii="Arial" w:hAnsi="Arial" w:cs="Arial"/>
          <w:spacing w:val="-9"/>
          <w:sz w:val="24"/>
          <w:szCs w:val="24"/>
        </w:rPr>
        <w:t xml:space="preserve"> </w:t>
      </w:r>
      <w:r w:rsidRPr="00794557">
        <w:rPr>
          <w:rFonts w:ascii="Arial" w:hAnsi="Arial" w:cs="Arial"/>
          <w:sz w:val="24"/>
          <w:szCs w:val="24"/>
        </w:rPr>
        <w:t>în</w:t>
      </w:r>
      <w:r w:rsidRPr="00794557">
        <w:rPr>
          <w:rFonts w:ascii="Arial" w:hAnsi="Arial" w:cs="Arial"/>
          <w:spacing w:val="-12"/>
          <w:sz w:val="24"/>
          <w:szCs w:val="24"/>
        </w:rPr>
        <w:t xml:space="preserve"> </w:t>
      </w:r>
      <w:r w:rsidRPr="00794557">
        <w:rPr>
          <w:rFonts w:ascii="Arial" w:hAnsi="Arial" w:cs="Arial"/>
          <w:sz w:val="24"/>
          <w:szCs w:val="24"/>
        </w:rPr>
        <w:t>timp</w:t>
      </w:r>
      <w:r w:rsidRPr="00794557">
        <w:rPr>
          <w:rFonts w:ascii="Arial" w:hAnsi="Arial" w:cs="Arial"/>
          <w:spacing w:val="-12"/>
          <w:sz w:val="24"/>
          <w:szCs w:val="24"/>
        </w:rPr>
        <w:t xml:space="preserve"> </w:t>
      </w:r>
      <w:r w:rsidRPr="00794557">
        <w:rPr>
          <w:rFonts w:ascii="Arial" w:hAnsi="Arial" w:cs="Arial"/>
          <w:sz w:val="24"/>
          <w:szCs w:val="24"/>
        </w:rPr>
        <w:t>ce</w:t>
      </w:r>
      <w:r w:rsidRPr="00794557">
        <w:rPr>
          <w:rFonts w:ascii="Arial" w:hAnsi="Arial" w:cs="Arial"/>
          <w:spacing w:val="-11"/>
          <w:sz w:val="24"/>
          <w:szCs w:val="24"/>
        </w:rPr>
        <w:t xml:space="preserve"> </w:t>
      </w:r>
      <w:r w:rsidRPr="00794557">
        <w:rPr>
          <w:rFonts w:ascii="Arial" w:hAnsi="Arial" w:cs="Arial"/>
          <w:sz w:val="24"/>
          <w:szCs w:val="24"/>
        </w:rPr>
        <w:t>în</w:t>
      </w:r>
      <w:r w:rsidRPr="00794557">
        <w:rPr>
          <w:rFonts w:ascii="Arial" w:hAnsi="Arial" w:cs="Arial"/>
          <w:spacing w:val="-12"/>
          <w:sz w:val="24"/>
          <w:szCs w:val="24"/>
        </w:rPr>
        <w:t xml:space="preserve"> </w:t>
      </w:r>
      <w:r w:rsidRPr="00794557">
        <w:rPr>
          <w:rFonts w:ascii="Arial" w:hAnsi="Arial" w:cs="Arial"/>
          <w:sz w:val="24"/>
          <w:szCs w:val="24"/>
        </w:rPr>
        <w:t>celelalte</w:t>
      </w:r>
      <w:r w:rsidRPr="00794557">
        <w:rPr>
          <w:rFonts w:ascii="Arial" w:hAnsi="Arial" w:cs="Arial"/>
          <w:spacing w:val="-11"/>
          <w:sz w:val="24"/>
          <w:szCs w:val="24"/>
        </w:rPr>
        <w:t xml:space="preserve"> </w:t>
      </w:r>
      <w:r w:rsidRPr="00794557">
        <w:rPr>
          <w:rFonts w:ascii="Arial" w:hAnsi="Arial" w:cs="Arial"/>
          <w:sz w:val="24"/>
          <w:szCs w:val="24"/>
        </w:rPr>
        <w:t>judeţe s-au înregistrat 21 de cereri în Hunedoara, 10 la Arad, pe când la Caraş-Severin s-a înregistrat</w:t>
      </w:r>
      <w:r w:rsidRPr="00794557">
        <w:rPr>
          <w:rFonts w:ascii="Arial" w:hAnsi="Arial" w:cs="Arial"/>
          <w:spacing w:val="-7"/>
          <w:sz w:val="24"/>
          <w:szCs w:val="24"/>
        </w:rPr>
        <w:t xml:space="preserve"> </w:t>
      </w:r>
      <w:r w:rsidRPr="00794557">
        <w:rPr>
          <w:rFonts w:ascii="Arial" w:hAnsi="Arial" w:cs="Arial"/>
          <w:sz w:val="24"/>
          <w:szCs w:val="24"/>
        </w:rPr>
        <w:t>doar</w:t>
      </w:r>
      <w:r w:rsidRPr="00794557">
        <w:rPr>
          <w:rFonts w:ascii="Arial" w:hAnsi="Arial" w:cs="Arial"/>
          <w:spacing w:val="-7"/>
          <w:sz w:val="24"/>
          <w:szCs w:val="24"/>
        </w:rPr>
        <w:t xml:space="preserve"> </w:t>
      </w:r>
      <w:r w:rsidRPr="00794557">
        <w:rPr>
          <w:rFonts w:ascii="Arial" w:hAnsi="Arial" w:cs="Arial"/>
          <w:sz w:val="24"/>
          <w:szCs w:val="24"/>
        </w:rPr>
        <w:t>o</w:t>
      </w:r>
      <w:r w:rsidRPr="00794557">
        <w:rPr>
          <w:rFonts w:ascii="Arial" w:hAnsi="Arial" w:cs="Arial"/>
          <w:spacing w:val="-9"/>
          <w:sz w:val="24"/>
          <w:szCs w:val="24"/>
        </w:rPr>
        <w:t xml:space="preserve"> </w:t>
      </w:r>
      <w:r w:rsidRPr="00794557">
        <w:rPr>
          <w:rFonts w:ascii="Arial" w:hAnsi="Arial" w:cs="Arial"/>
          <w:sz w:val="24"/>
          <w:szCs w:val="24"/>
        </w:rPr>
        <w:t>cerere.</w:t>
      </w:r>
      <w:r w:rsidRPr="00794557">
        <w:rPr>
          <w:rFonts w:ascii="Arial" w:hAnsi="Arial" w:cs="Arial"/>
          <w:spacing w:val="-7"/>
          <w:sz w:val="24"/>
          <w:szCs w:val="24"/>
        </w:rPr>
        <w:t xml:space="preserve"> </w:t>
      </w:r>
      <w:r w:rsidRPr="00794557">
        <w:rPr>
          <w:rFonts w:ascii="Arial" w:hAnsi="Arial" w:cs="Arial"/>
          <w:sz w:val="24"/>
          <w:szCs w:val="24"/>
        </w:rPr>
        <w:t>Din</w:t>
      </w:r>
      <w:r w:rsidRPr="00794557">
        <w:rPr>
          <w:rFonts w:ascii="Arial" w:hAnsi="Arial" w:cs="Arial"/>
          <w:spacing w:val="-7"/>
          <w:sz w:val="24"/>
          <w:szCs w:val="24"/>
        </w:rPr>
        <w:t xml:space="preserve"> </w:t>
      </w:r>
      <w:r w:rsidRPr="00794557">
        <w:rPr>
          <w:rFonts w:ascii="Arial" w:hAnsi="Arial" w:cs="Arial"/>
          <w:sz w:val="24"/>
          <w:szCs w:val="24"/>
        </w:rPr>
        <w:t>punct</w:t>
      </w:r>
      <w:r w:rsidRPr="00794557">
        <w:rPr>
          <w:rFonts w:ascii="Arial" w:hAnsi="Arial" w:cs="Arial"/>
          <w:spacing w:val="-6"/>
          <w:sz w:val="24"/>
          <w:szCs w:val="24"/>
        </w:rPr>
        <w:t xml:space="preserve"> </w:t>
      </w:r>
      <w:r w:rsidRPr="00794557">
        <w:rPr>
          <w:rFonts w:ascii="Arial" w:hAnsi="Arial" w:cs="Arial"/>
          <w:sz w:val="24"/>
          <w:szCs w:val="24"/>
        </w:rPr>
        <w:t>de</w:t>
      </w:r>
      <w:r w:rsidRPr="00794557">
        <w:rPr>
          <w:rFonts w:ascii="Arial" w:hAnsi="Arial" w:cs="Arial"/>
          <w:spacing w:val="-8"/>
          <w:sz w:val="24"/>
          <w:szCs w:val="24"/>
        </w:rPr>
        <w:t xml:space="preserve"> </w:t>
      </w:r>
      <w:r w:rsidRPr="00794557">
        <w:rPr>
          <w:rFonts w:ascii="Arial" w:hAnsi="Arial" w:cs="Arial"/>
          <w:sz w:val="24"/>
          <w:szCs w:val="24"/>
        </w:rPr>
        <w:t>vedere</w:t>
      </w:r>
      <w:r w:rsidRPr="00794557">
        <w:rPr>
          <w:rFonts w:ascii="Arial" w:hAnsi="Arial" w:cs="Arial"/>
          <w:spacing w:val="-10"/>
          <w:sz w:val="24"/>
          <w:szCs w:val="24"/>
        </w:rPr>
        <w:t xml:space="preserve"> </w:t>
      </w:r>
      <w:r w:rsidRPr="00794557">
        <w:rPr>
          <w:rFonts w:ascii="Arial" w:hAnsi="Arial" w:cs="Arial"/>
          <w:sz w:val="24"/>
          <w:szCs w:val="24"/>
        </w:rPr>
        <w:t>al</w:t>
      </w:r>
      <w:r w:rsidRPr="00794557">
        <w:rPr>
          <w:rFonts w:ascii="Arial" w:hAnsi="Arial" w:cs="Arial"/>
          <w:spacing w:val="-7"/>
          <w:sz w:val="24"/>
          <w:szCs w:val="24"/>
        </w:rPr>
        <w:t xml:space="preserve"> </w:t>
      </w:r>
      <w:r w:rsidRPr="00794557">
        <w:rPr>
          <w:rFonts w:ascii="Arial" w:hAnsi="Arial" w:cs="Arial"/>
          <w:sz w:val="24"/>
          <w:szCs w:val="24"/>
        </w:rPr>
        <w:t>evoluţiei</w:t>
      </w:r>
      <w:r w:rsidRPr="00794557">
        <w:rPr>
          <w:rFonts w:ascii="Arial" w:hAnsi="Arial" w:cs="Arial"/>
          <w:spacing w:val="-8"/>
          <w:sz w:val="24"/>
          <w:szCs w:val="24"/>
        </w:rPr>
        <w:t xml:space="preserve"> </w:t>
      </w:r>
      <w:r w:rsidRPr="00794557">
        <w:rPr>
          <w:rFonts w:ascii="Arial" w:hAnsi="Arial" w:cs="Arial"/>
          <w:sz w:val="24"/>
          <w:szCs w:val="24"/>
        </w:rPr>
        <w:t>în</w:t>
      </w:r>
      <w:r w:rsidRPr="00794557">
        <w:rPr>
          <w:rFonts w:ascii="Arial" w:hAnsi="Arial" w:cs="Arial"/>
          <w:spacing w:val="-7"/>
          <w:sz w:val="24"/>
          <w:szCs w:val="24"/>
        </w:rPr>
        <w:t xml:space="preserve"> </w:t>
      </w:r>
      <w:r w:rsidRPr="00794557">
        <w:rPr>
          <w:rFonts w:ascii="Arial" w:hAnsi="Arial" w:cs="Arial"/>
          <w:sz w:val="24"/>
          <w:szCs w:val="24"/>
        </w:rPr>
        <w:t>timp,</w:t>
      </w:r>
      <w:r w:rsidRPr="00794557">
        <w:rPr>
          <w:rFonts w:ascii="Arial" w:hAnsi="Arial" w:cs="Arial"/>
          <w:spacing w:val="-7"/>
          <w:sz w:val="24"/>
          <w:szCs w:val="24"/>
        </w:rPr>
        <w:t xml:space="preserve"> </w:t>
      </w:r>
      <w:r w:rsidRPr="00794557">
        <w:rPr>
          <w:rFonts w:ascii="Arial" w:hAnsi="Arial" w:cs="Arial"/>
          <w:sz w:val="24"/>
          <w:szCs w:val="24"/>
        </w:rPr>
        <w:t>cea</w:t>
      </w:r>
      <w:r w:rsidRPr="00794557">
        <w:rPr>
          <w:rFonts w:ascii="Arial" w:hAnsi="Arial" w:cs="Arial"/>
          <w:spacing w:val="-7"/>
          <w:sz w:val="24"/>
          <w:szCs w:val="24"/>
        </w:rPr>
        <w:t xml:space="preserve"> </w:t>
      </w:r>
      <w:r w:rsidRPr="00794557">
        <w:rPr>
          <w:rFonts w:ascii="Arial" w:hAnsi="Arial" w:cs="Arial"/>
          <w:sz w:val="24"/>
          <w:szCs w:val="24"/>
        </w:rPr>
        <w:t>mai</w:t>
      </w:r>
      <w:r w:rsidRPr="00794557">
        <w:rPr>
          <w:rFonts w:ascii="Arial" w:hAnsi="Arial" w:cs="Arial"/>
          <w:spacing w:val="-8"/>
          <w:sz w:val="24"/>
          <w:szCs w:val="24"/>
        </w:rPr>
        <w:t xml:space="preserve"> </w:t>
      </w:r>
      <w:r w:rsidRPr="00794557">
        <w:rPr>
          <w:rFonts w:ascii="Arial" w:hAnsi="Arial" w:cs="Arial"/>
          <w:sz w:val="24"/>
          <w:szCs w:val="24"/>
        </w:rPr>
        <w:t>mare</w:t>
      </w:r>
      <w:r w:rsidRPr="00794557">
        <w:rPr>
          <w:rFonts w:ascii="Arial" w:hAnsi="Arial" w:cs="Arial"/>
          <w:spacing w:val="-7"/>
          <w:sz w:val="24"/>
          <w:szCs w:val="24"/>
        </w:rPr>
        <w:t xml:space="preserve"> </w:t>
      </w:r>
      <w:r w:rsidRPr="00794557">
        <w:rPr>
          <w:rFonts w:ascii="Arial" w:hAnsi="Arial" w:cs="Arial"/>
          <w:sz w:val="24"/>
          <w:szCs w:val="24"/>
        </w:rPr>
        <w:t>creştere se înregistrează în Hunedoara (50% comparativ cu</w:t>
      </w:r>
      <w:r w:rsidRPr="00794557">
        <w:rPr>
          <w:rFonts w:ascii="Arial" w:hAnsi="Arial" w:cs="Arial"/>
          <w:spacing w:val="-11"/>
          <w:sz w:val="24"/>
          <w:szCs w:val="24"/>
        </w:rPr>
        <w:t xml:space="preserve"> </w:t>
      </w:r>
      <w:r w:rsidRPr="00794557">
        <w:rPr>
          <w:rFonts w:ascii="Arial" w:hAnsi="Arial" w:cs="Arial"/>
          <w:sz w:val="24"/>
          <w:szCs w:val="24"/>
        </w:rPr>
        <w:t>2007).</w:t>
      </w:r>
      <w:r w:rsidRPr="00794557">
        <w:rPr>
          <w:rFonts w:ascii="Arial" w:hAnsi="Arial" w:cs="Arial"/>
          <w:spacing w:val="-6"/>
          <w:sz w:val="24"/>
          <w:szCs w:val="24"/>
        </w:rPr>
        <w:t xml:space="preserve"> </w:t>
      </w:r>
      <w:bookmarkStart w:id="49" w:name="_Toc488066030"/>
      <w:r w:rsidR="00C47897">
        <w:rPr>
          <w:rFonts w:ascii="Arial" w:hAnsi="Arial" w:cs="Arial"/>
          <w:spacing w:val="-6"/>
          <w:sz w:val="24"/>
          <w:szCs w:val="24"/>
        </w:rPr>
        <w:t>(</w:t>
      </w:r>
      <w:r w:rsidR="00C47897" w:rsidRPr="00A604C1">
        <w:rPr>
          <w:rFonts w:ascii="Arial" w:eastAsia="TimesNewRomanPSMT" w:hAnsi="Arial" w:cs="Arial"/>
          <w:i/>
          <w:sz w:val="24"/>
          <w:szCs w:val="24"/>
        </w:rPr>
        <w:t xml:space="preserve">informații preluate din </w:t>
      </w:r>
      <w:r w:rsidR="00C47897" w:rsidRPr="00A604C1">
        <w:rPr>
          <w:rFonts w:ascii="Arial" w:eastAsia="TimesNewRomanPSMT" w:hAnsi="Arial" w:cs="Arial"/>
          <w:i/>
          <w:iCs/>
          <w:sz w:val="24"/>
          <w:szCs w:val="24"/>
        </w:rPr>
        <w:t>PDR Regiunea Vest 2014-2020, pag. 8</w:t>
      </w:r>
      <w:r w:rsidR="00C47897">
        <w:rPr>
          <w:rFonts w:ascii="Arial" w:eastAsia="TimesNewRomanPSMT" w:hAnsi="Arial" w:cs="Arial"/>
          <w:i/>
          <w:iCs/>
          <w:sz w:val="24"/>
          <w:szCs w:val="24"/>
        </w:rPr>
        <w:t>7</w:t>
      </w:r>
      <w:r w:rsidR="00C47897" w:rsidRPr="00A604C1">
        <w:rPr>
          <w:rFonts w:ascii="Arial" w:eastAsia="TimesNewRomanPSMT" w:hAnsi="Arial" w:cs="Arial"/>
          <w:i/>
          <w:iCs/>
          <w:sz w:val="24"/>
          <w:szCs w:val="24"/>
        </w:rPr>
        <w:t>-</w:t>
      </w:r>
      <w:r w:rsidR="00C47897">
        <w:rPr>
          <w:rFonts w:ascii="Arial" w:eastAsia="TimesNewRomanPSMT" w:hAnsi="Arial" w:cs="Arial"/>
          <w:i/>
          <w:iCs/>
          <w:sz w:val="24"/>
          <w:szCs w:val="24"/>
        </w:rPr>
        <w:t>93)</w:t>
      </w:r>
    </w:p>
    <w:p w:rsidR="005B3B58" w:rsidRDefault="005B3B58" w:rsidP="00FA2298">
      <w:pPr>
        <w:pStyle w:val="Heading3"/>
        <w:spacing w:before="0" w:line="240" w:lineRule="auto"/>
        <w:ind w:left="-90"/>
        <w:jc w:val="both"/>
        <w:rPr>
          <w:rFonts w:ascii="Arial" w:hAnsi="Arial" w:cs="Arial"/>
          <w:b w:val="0"/>
          <w:color w:val="auto"/>
          <w:sz w:val="24"/>
          <w:szCs w:val="24"/>
        </w:rPr>
      </w:pPr>
    </w:p>
    <w:p w:rsidR="00DB48FB" w:rsidRPr="008B2808" w:rsidRDefault="001A346C" w:rsidP="00FA2298">
      <w:pPr>
        <w:pStyle w:val="Heading3"/>
        <w:spacing w:before="0" w:line="240" w:lineRule="auto"/>
        <w:ind w:left="-90"/>
        <w:jc w:val="both"/>
        <w:rPr>
          <w:rFonts w:ascii="Arial" w:hAnsi="Arial" w:cs="Arial"/>
          <w:b w:val="0"/>
          <w:i/>
          <w:color w:val="auto"/>
          <w:sz w:val="24"/>
          <w:szCs w:val="24"/>
        </w:rPr>
      </w:pPr>
      <w:r w:rsidRPr="00BE574E">
        <w:rPr>
          <w:rFonts w:ascii="Arial" w:hAnsi="Arial" w:cs="Arial"/>
          <w:b w:val="0"/>
          <w:i/>
          <w:color w:val="auto"/>
          <w:sz w:val="24"/>
          <w:szCs w:val="24"/>
        </w:rPr>
        <w:t>4</w:t>
      </w:r>
      <w:r w:rsidR="00F2266B" w:rsidRPr="00BE574E">
        <w:rPr>
          <w:rFonts w:ascii="Arial" w:hAnsi="Arial" w:cs="Arial"/>
          <w:b w:val="0"/>
          <w:i/>
          <w:color w:val="auto"/>
          <w:sz w:val="24"/>
          <w:szCs w:val="24"/>
        </w:rPr>
        <w:t>.3.2.</w:t>
      </w:r>
      <w:r w:rsidRPr="00BE574E">
        <w:rPr>
          <w:rFonts w:ascii="Arial" w:hAnsi="Arial" w:cs="Arial"/>
          <w:b w:val="0"/>
          <w:i/>
          <w:color w:val="auto"/>
          <w:sz w:val="24"/>
          <w:szCs w:val="24"/>
        </w:rPr>
        <w:t xml:space="preserve"> </w:t>
      </w:r>
      <w:r w:rsidR="00F2266B" w:rsidRPr="00BE574E">
        <w:rPr>
          <w:rFonts w:ascii="Arial" w:hAnsi="Arial" w:cs="Arial"/>
          <w:b w:val="0"/>
          <w:i/>
          <w:color w:val="auto"/>
          <w:sz w:val="24"/>
          <w:szCs w:val="24"/>
        </w:rPr>
        <w:t>Industria</w:t>
      </w:r>
      <w:bookmarkEnd w:id="48"/>
      <w:bookmarkEnd w:id="49"/>
      <w:r w:rsidR="00DB48FB">
        <w:rPr>
          <w:rFonts w:ascii="Arial" w:hAnsi="Arial" w:cs="Arial"/>
          <w:b w:val="0"/>
          <w:color w:val="auto"/>
          <w:sz w:val="24"/>
          <w:szCs w:val="24"/>
        </w:rPr>
        <w:t xml:space="preserve"> </w:t>
      </w:r>
      <w:r w:rsidR="00DB48FB" w:rsidRPr="00C440BD">
        <w:rPr>
          <w:rFonts w:ascii="TimesNewRomanPSMT" w:eastAsia="TimesNewRomanPSMT" w:cs="TimesNewRomanPSMT"/>
          <w:color w:val="auto"/>
          <w:sz w:val="23"/>
          <w:szCs w:val="23"/>
          <w:lang w:val="en-US"/>
        </w:rPr>
        <w:t>(</w:t>
      </w:r>
      <w:r w:rsidR="00DB48FB" w:rsidRPr="008B2808">
        <w:rPr>
          <w:rFonts w:ascii="Arial" w:eastAsia="TimesNewRomanPSMT" w:hAnsi="Arial" w:cs="Arial"/>
          <w:b w:val="0"/>
          <w:i/>
          <w:color w:val="auto"/>
          <w:sz w:val="24"/>
          <w:szCs w:val="24"/>
          <w:lang w:val="en-US"/>
        </w:rPr>
        <w:t>informa</w:t>
      </w:r>
      <w:r w:rsidR="00DB48FB" w:rsidRPr="008B2808">
        <w:rPr>
          <w:rFonts w:ascii="Arial" w:eastAsia="TimesNewRomanPSMT" w:hAnsi="Arial" w:cs="Arial"/>
          <w:b w:val="0"/>
          <w:i/>
          <w:color w:val="auto"/>
          <w:sz w:val="24"/>
          <w:szCs w:val="24"/>
        </w:rPr>
        <w:t>ții preluate din</w:t>
      </w:r>
      <w:r w:rsidR="00DB48FB" w:rsidRPr="008B2808">
        <w:rPr>
          <w:rFonts w:ascii="Arial" w:eastAsia="TimesNewRomanPSMT" w:hAnsi="Arial" w:cs="Arial"/>
          <w:i/>
          <w:color w:val="auto"/>
          <w:sz w:val="24"/>
          <w:szCs w:val="24"/>
        </w:rPr>
        <w:t xml:space="preserve"> </w:t>
      </w:r>
      <w:r w:rsidR="00DB48FB" w:rsidRPr="008B2808">
        <w:rPr>
          <w:rFonts w:ascii="Arial" w:eastAsia="TimesNewRomanPSMT" w:hAnsi="Arial" w:cs="Arial"/>
          <w:b w:val="0"/>
          <w:i/>
          <w:iCs/>
          <w:color w:val="auto"/>
          <w:sz w:val="24"/>
          <w:szCs w:val="24"/>
          <w:lang w:val="en-US"/>
        </w:rPr>
        <w:t xml:space="preserve">PDR Regiunea Vest 2014-2020, pag. </w:t>
      </w:r>
      <w:r w:rsidR="00C61857">
        <w:rPr>
          <w:rFonts w:ascii="Arial" w:eastAsia="TimesNewRomanPSMT" w:hAnsi="Arial" w:cs="Arial"/>
          <w:b w:val="0"/>
          <w:i/>
          <w:iCs/>
          <w:color w:val="auto"/>
          <w:sz w:val="24"/>
          <w:szCs w:val="24"/>
          <w:lang w:val="en-US"/>
        </w:rPr>
        <w:t>67</w:t>
      </w:r>
      <w:r w:rsidR="00DB48FB" w:rsidRPr="008B2808">
        <w:rPr>
          <w:rFonts w:ascii="Arial" w:eastAsia="TimesNewRomanPSMT" w:hAnsi="Arial" w:cs="Arial"/>
          <w:b w:val="0"/>
          <w:i/>
          <w:iCs/>
          <w:color w:val="auto"/>
          <w:sz w:val="24"/>
          <w:szCs w:val="24"/>
          <w:lang w:val="en-US"/>
        </w:rPr>
        <w:t xml:space="preserve">- </w:t>
      </w:r>
      <w:r w:rsidR="00C61857">
        <w:rPr>
          <w:rFonts w:ascii="Arial" w:eastAsia="TimesNewRomanPSMT" w:hAnsi="Arial" w:cs="Arial"/>
          <w:b w:val="0"/>
          <w:i/>
          <w:iCs/>
          <w:color w:val="auto"/>
          <w:sz w:val="24"/>
          <w:szCs w:val="24"/>
          <w:lang w:val="en-US"/>
        </w:rPr>
        <w:t>80</w:t>
      </w:r>
      <w:r w:rsidR="00DB48FB" w:rsidRPr="008B2808">
        <w:rPr>
          <w:rFonts w:ascii="Arial" w:eastAsia="TimesNewRomanPSMT" w:hAnsi="Arial" w:cs="Arial"/>
          <w:b w:val="0"/>
          <w:i/>
          <w:iCs/>
          <w:color w:val="auto"/>
          <w:sz w:val="24"/>
          <w:szCs w:val="24"/>
          <w:lang w:val="en-US"/>
        </w:rPr>
        <w:t>)</w:t>
      </w:r>
    </w:p>
    <w:p w:rsidR="005355E5" w:rsidRPr="00497B00" w:rsidRDefault="007F577B" w:rsidP="00497B00">
      <w:pPr>
        <w:pStyle w:val="ListParagraph"/>
        <w:widowControl w:val="0"/>
        <w:tabs>
          <w:tab w:val="left" w:pos="874"/>
        </w:tabs>
        <w:spacing w:before="2" w:line="276" w:lineRule="auto"/>
        <w:ind w:left="-90" w:right="158"/>
        <w:jc w:val="both"/>
        <w:rPr>
          <w:sz w:val="24"/>
        </w:rPr>
      </w:pPr>
      <w:r w:rsidRPr="005355E5">
        <w:rPr>
          <w:rFonts w:ascii="Arial" w:hAnsi="Arial" w:cs="Arial"/>
          <w:i/>
          <w:sz w:val="24"/>
          <w:szCs w:val="24"/>
        </w:rPr>
        <w:t xml:space="preserve">. </w:t>
      </w:r>
    </w:p>
    <w:p w:rsidR="007F577B" w:rsidRPr="005355E5" w:rsidRDefault="007F577B" w:rsidP="00FA2298">
      <w:pPr>
        <w:pStyle w:val="BodyText"/>
        <w:spacing w:after="0" w:line="240" w:lineRule="auto"/>
        <w:ind w:left="-90" w:right="149" w:firstLine="28"/>
        <w:jc w:val="both"/>
        <w:rPr>
          <w:rFonts w:ascii="Arial" w:hAnsi="Arial" w:cs="Arial"/>
          <w:i/>
          <w:sz w:val="24"/>
          <w:szCs w:val="24"/>
        </w:rPr>
      </w:pPr>
      <w:r w:rsidRPr="005355E5">
        <w:rPr>
          <w:rFonts w:ascii="Arial" w:hAnsi="Arial" w:cs="Arial"/>
          <w:sz w:val="24"/>
          <w:szCs w:val="24"/>
        </w:rPr>
        <w:t>Comparativ cu anul 2008, în anul 2011, numărul întreprinderilor din regiune a scăzut de la 52.621 la 41.904 întrepinderi, scăderea fiind de -20,4%. Această scădere a fost peste media națională (-18,6%), iar la nivel regional, această scădere a fost a doua cea mai mare dintre</w:t>
      </w:r>
      <w:r w:rsidRPr="005355E5">
        <w:rPr>
          <w:rFonts w:ascii="Arial" w:hAnsi="Arial" w:cs="Arial"/>
          <w:spacing w:val="-16"/>
          <w:sz w:val="24"/>
          <w:szCs w:val="24"/>
        </w:rPr>
        <w:t xml:space="preserve"> </w:t>
      </w:r>
      <w:r w:rsidRPr="005355E5">
        <w:rPr>
          <w:rFonts w:ascii="Arial" w:hAnsi="Arial" w:cs="Arial"/>
          <w:sz w:val="24"/>
          <w:szCs w:val="24"/>
        </w:rPr>
        <w:t>toate</w:t>
      </w:r>
      <w:r w:rsidRPr="005355E5">
        <w:rPr>
          <w:rFonts w:ascii="Arial" w:hAnsi="Arial" w:cs="Arial"/>
          <w:spacing w:val="-16"/>
          <w:sz w:val="24"/>
          <w:szCs w:val="24"/>
        </w:rPr>
        <w:t xml:space="preserve"> </w:t>
      </w:r>
      <w:r w:rsidRPr="005355E5">
        <w:rPr>
          <w:rFonts w:ascii="Arial" w:hAnsi="Arial" w:cs="Arial"/>
          <w:sz w:val="24"/>
          <w:szCs w:val="24"/>
        </w:rPr>
        <w:t>regiunile</w:t>
      </w:r>
      <w:r w:rsidRPr="005355E5">
        <w:rPr>
          <w:rFonts w:ascii="Arial" w:hAnsi="Arial" w:cs="Arial"/>
          <w:spacing w:val="-16"/>
          <w:sz w:val="24"/>
          <w:szCs w:val="24"/>
        </w:rPr>
        <w:t xml:space="preserve"> </w:t>
      </w:r>
      <w:r w:rsidRPr="005355E5">
        <w:rPr>
          <w:rFonts w:ascii="Arial" w:hAnsi="Arial" w:cs="Arial"/>
          <w:sz w:val="24"/>
          <w:szCs w:val="24"/>
        </w:rPr>
        <w:t>de</w:t>
      </w:r>
      <w:r w:rsidRPr="005355E5">
        <w:rPr>
          <w:rFonts w:ascii="Arial" w:hAnsi="Arial" w:cs="Arial"/>
          <w:spacing w:val="-16"/>
          <w:sz w:val="24"/>
          <w:szCs w:val="24"/>
        </w:rPr>
        <w:t xml:space="preserve"> </w:t>
      </w:r>
      <w:r w:rsidRPr="005355E5">
        <w:rPr>
          <w:rFonts w:ascii="Arial" w:hAnsi="Arial" w:cs="Arial"/>
          <w:sz w:val="24"/>
          <w:szCs w:val="24"/>
        </w:rPr>
        <w:t>dezvoltare,</w:t>
      </w:r>
      <w:r w:rsidRPr="005355E5">
        <w:rPr>
          <w:rFonts w:ascii="Arial" w:hAnsi="Arial" w:cs="Arial"/>
          <w:spacing w:val="-14"/>
          <w:sz w:val="24"/>
          <w:szCs w:val="24"/>
        </w:rPr>
        <w:t xml:space="preserve"> </w:t>
      </w:r>
      <w:r w:rsidRPr="005355E5">
        <w:rPr>
          <w:rFonts w:ascii="Arial" w:hAnsi="Arial" w:cs="Arial"/>
          <w:sz w:val="24"/>
          <w:szCs w:val="24"/>
        </w:rPr>
        <w:t>doar</w:t>
      </w:r>
      <w:r w:rsidRPr="005355E5">
        <w:rPr>
          <w:rFonts w:ascii="Arial" w:hAnsi="Arial" w:cs="Arial"/>
          <w:spacing w:val="-15"/>
          <w:sz w:val="24"/>
          <w:szCs w:val="24"/>
        </w:rPr>
        <w:t xml:space="preserve"> </w:t>
      </w:r>
      <w:r w:rsidRPr="005355E5">
        <w:rPr>
          <w:rFonts w:ascii="Arial" w:hAnsi="Arial" w:cs="Arial"/>
          <w:sz w:val="24"/>
          <w:szCs w:val="24"/>
        </w:rPr>
        <w:t>regiunea</w:t>
      </w:r>
      <w:r w:rsidRPr="005355E5">
        <w:rPr>
          <w:rFonts w:ascii="Arial" w:hAnsi="Arial" w:cs="Arial"/>
          <w:spacing w:val="-15"/>
          <w:sz w:val="24"/>
          <w:szCs w:val="24"/>
        </w:rPr>
        <w:t xml:space="preserve"> </w:t>
      </w:r>
      <w:r w:rsidRPr="005355E5">
        <w:rPr>
          <w:rFonts w:ascii="Arial" w:hAnsi="Arial" w:cs="Arial"/>
          <w:sz w:val="24"/>
          <w:szCs w:val="24"/>
        </w:rPr>
        <w:t>Nord-Vest</w:t>
      </w:r>
      <w:r w:rsidRPr="005355E5">
        <w:rPr>
          <w:rFonts w:ascii="Arial" w:hAnsi="Arial" w:cs="Arial"/>
          <w:spacing w:val="-15"/>
          <w:sz w:val="24"/>
          <w:szCs w:val="24"/>
        </w:rPr>
        <w:t xml:space="preserve"> </w:t>
      </w:r>
      <w:r w:rsidRPr="005355E5">
        <w:rPr>
          <w:rFonts w:ascii="Arial" w:hAnsi="Arial" w:cs="Arial"/>
          <w:sz w:val="24"/>
          <w:szCs w:val="24"/>
        </w:rPr>
        <w:t>având</w:t>
      </w:r>
      <w:r w:rsidRPr="005355E5">
        <w:rPr>
          <w:rFonts w:ascii="Arial" w:hAnsi="Arial" w:cs="Arial"/>
          <w:spacing w:val="-18"/>
          <w:sz w:val="24"/>
          <w:szCs w:val="24"/>
        </w:rPr>
        <w:t xml:space="preserve"> </w:t>
      </w:r>
      <w:r w:rsidRPr="005355E5">
        <w:rPr>
          <w:rFonts w:ascii="Arial" w:hAnsi="Arial" w:cs="Arial"/>
          <w:sz w:val="24"/>
          <w:szCs w:val="24"/>
        </w:rPr>
        <w:t>o</w:t>
      </w:r>
      <w:r w:rsidRPr="005355E5">
        <w:rPr>
          <w:rFonts w:ascii="Arial" w:hAnsi="Arial" w:cs="Arial"/>
          <w:spacing w:val="-15"/>
          <w:sz w:val="24"/>
          <w:szCs w:val="24"/>
        </w:rPr>
        <w:t xml:space="preserve"> </w:t>
      </w:r>
      <w:r w:rsidRPr="005355E5">
        <w:rPr>
          <w:rFonts w:ascii="Arial" w:hAnsi="Arial" w:cs="Arial"/>
          <w:sz w:val="24"/>
          <w:szCs w:val="24"/>
        </w:rPr>
        <w:t>scădere</w:t>
      </w:r>
      <w:r w:rsidRPr="005355E5">
        <w:rPr>
          <w:rFonts w:ascii="Arial" w:hAnsi="Arial" w:cs="Arial"/>
          <w:spacing w:val="-16"/>
          <w:sz w:val="24"/>
          <w:szCs w:val="24"/>
        </w:rPr>
        <w:t xml:space="preserve"> </w:t>
      </w:r>
      <w:r w:rsidRPr="005355E5">
        <w:rPr>
          <w:rFonts w:ascii="Arial" w:hAnsi="Arial" w:cs="Arial"/>
          <w:sz w:val="24"/>
          <w:szCs w:val="24"/>
        </w:rPr>
        <w:t>mai</w:t>
      </w:r>
      <w:r w:rsidRPr="005355E5">
        <w:rPr>
          <w:rFonts w:ascii="Arial" w:hAnsi="Arial" w:cs="Arial"/>
          <w:spacing w:val="-16"/>
          <w:sz w:val="24"/>
          <w:szCs w:val="24"/>
        </w:rPr>
        <w:t xml:space="preserve"> </w:t>
      </w:r>
      <w:r w:rsidRPr="005355E5">
        <w:rPr>
          <w:rFonts w:ascii="Arial" w:hAnsi="Arial" w:cs="Arial"/>
          <w:sz w:val="24"/>
          <w:szCs w:val="24"/>
        </w:rPr>
        <w:t>puternică (20,8%). În termeni absoluți, în această perioadă, 10.717 de întreprinderi au fost desființate. La</w:t>
      </w:r>
      <w:r w:rsidRPr="005355E5">
        <w:rPr>
          <w:rFonts w:ascii="Arial" w:hAnsi="Arial" w:cs="Arial"/>
          <w:spacing w:val="-12"/>
          <w:sz w:val="24"/>
          <w:szCs w:val="24"/>
        </w:rPr>
        <w:t xml:space="preserve"> </w:t>
      </w:r>
      <w:r w:rsidRPr="005355E5">
        <w:rPr>
          <w:rFonts w:ascii="Arial" w:hAnsi="Arial" w:cs="Arial"/>
          <w:sz w:val="24"/>
          <w:szCs w:val="24"/>
        </w:rPr>
        <w:t>nivelul</w:t>
      </w:r>
      <w:r w:rsidRPr="005355E5">
        <w:rPr>
          <w:rFonts w:ascii="Arial" w:hAnsi="Arial" w:cs="Arial"/>
          <w:spacing w:val="-12"/>
          <w:sz w:val="24"/>
          <w:szCs w:val="24"/>
        </w:rPr>
        <w:t xml:space="preserve"> </w:t>
      </w:r>
      <w:r w:rsidRPr="005355E5">
        <w:rPr>
          <w:rFonts w:ascii="Arial" w:hAnsi="Arial" w:cs="Arial"/>
          <w:sz w:val="24"/>
          <w:szCs w:val="24"/>
        </w:rPr>
        <w:t>regiunii</w:t>
      </w:r>
      <w:r w:rsidRPr="005355E5">
        <w:rPr>
          <w:rFonts w:ascii="Arial" w:hAnsi="Arial" w:cs="Arial"/>
          <w:spacing w:val="-11"/>
          <w:sz w:val="24"/>
          <w:szCs w:val="24"/>
        </w:rPr>
        <w:t xml:space="preserve"> </w:t>
      </w:r>
      <w:r w:rsidRPr="005355E5">
        <w:rPr>
          <w:rFonts w:ascii="Arial" w:hAnsi="Arial" w:cs="Arial"/>
          <w:sz w:val="24"/>
          <w:szCs w:val="24"/>
        </w:rPr>
        <w:t>Vest,</w:t>
      </w:r>
      <w:r w:rsidRPr="005355E5">
        <w:rPr>
          <w:rFonts w:ascii="Arial" w:hAnsi="Arial" w:cs="Arial"/>
          <w:spacing w:val="-9"/>
          <w:sz w:val="24"/>
          <w:szCs w:val="24"/>
        </w:rPr>
        <w:t xml:space="preserve"> </w:t>
      </w:r>
      <w:r w:rsidRPr="005355E5">
        <w:rPr>
          <w:rFonts w:ascii="Arial" w:hAnsi="Arial" w:cs="Arial"/>
          <w:sz w:val="24"/>
          <w:szCs w:val="24"/>
        </w:rPr>
        <w:t>în</w:t>
      </w:r>
      <w:r w:rsidRPr="005355E5">
        <w:rPr>
          <w:rFonts w:ascii="Arial" w:hAnsi="Arial" w:cs="Arial"/>
          <w:spacing w:val="-12"/>
          <w:sz w:val="24"/>
          <w:szCs w:val="24"/>
        </w:rPr>
        <w:t xml:space="preserve"> </w:t>
      </w:r>
      <w:r w:rsidRPr="005355E5">
        <w:rPr>
          <w:rFonts w:ascii="Arial" w:hAnsi="Arial" w:cs="Arial"/>
          <w:sz w:val="24"/>
          <w:szCs w:val="24"/>
        </w:rPr>
        <w:t>această</w:t>
      </w:r>
      <w:r w:rsidRPr="005355E5">
        <w:rPr>
          <w:rFonts w:ascii="Arial" w:hAnsi="Arial" w:cs="Arial"/>
          <w:spacing w:val="-9"/>
          <w:sz w:val="24"/>
          <w:szCs w:val="24"/>
        </w:rPr>
        <w:t xml:space="preserve"> </w:t>
      </w:r>
      <w:r w:rsidRPr="005355E5">
        <w:rPr>
          <w:rFonts w:ascii="Arial" w:hAnsi="Arial" w:cs="Arial"/>
          <w:sz w:val="24"/>
          <w:szCs w:val="24"/>
        </w:rPr>
        <w:t>perioadă</w:t>
      </w:r>
      <w:r w:rsidRPr="005355E5">
        <w:rPr>
          <w:rFonts w:ascii="Arial" w:hAnsi="Arial" w:cs="Arial"/>
          <w:spacing w:val="-12"/>
          <w:sz w:val="24"/>
          <w:szCs w:val="24"/>
        </w:rPr>
        <w:t xml:space="preserve"> </w:t>
      </w:r>
      <w:r w:rsidRPr="005355E5">
        <w:rPr>
          <w:rFonts w:ascii="Arial" w:hAnsi="Arial" w:cs="Arial"/>
          <w:sz w:val="24"/>
          <w:szCs w:val="24"/>
        </w:rPr>
        <w:t>de</w:t>
      </w:r>
      <w:r w:rsidRPr="005355E5">
        <w:rPr>
          <w:rFonts w:ascii="Arial" w:hAnsi="Arial" w:cs="Arial"/>
          <w:spacing w:val="-10"/>
          <w:sz w:val="24"/>
          <w:szCs w:val="24"/>
        </w:rPr>
        <w:t xml:space="preserve"> </w:t>
      </w:r>
      <w:r w:rsidRPr="005355E5">
        <w:rPr>
          <w:rFonts w:ascii="Arial" w:hAnsi="Arial" w:cs="Arial"/>
          <w:sz w:val="24"/>
          <w:szCs w:val="24"/>
        </w:rPr>
        <w:t>timp</w:t>
      </w:r>
      <w:r w:rsidRPr="005355E5">
        <w:rPr>
          <w:rFonts w:ascii="Arial" w:hAnsi="Arial" w:cs="Arial"/>
          <w:spacing w:val="-12"/>
          <w:sz w:val="24"/>
          <w:szCs w:val="24"/>
        </w:rPr>
        <w:t xml:space="preserve"> </w:t>
      </w:r>
      <w:r w:rsidRPr="005355E5">
        <w:rPr>
          <w:rFonts w:ascii="Arial" w:hAnsi="Arial" w:cs="Arial"/>
          <w:sz w:val="24"/>
          <w:szCs w:val="24"/>
        </w:rPr>
        <w:t>cea</w:t>
      </w:r>
      <w:r w:rsidRPr="005355E5">
        <w:rPr>
          <w:rFonts w:ascii="Arial" w:hAnsi="Arial" w:cs="Arial"/>
          <w:spacing w:val="-10"/>
          <w:sz w:val="24"/>
          <w:szCs w:val="24"/>
        </w:rPr>
        <w:t xml:space="preserve"> </w:t>
      </w:r>
      <w:r w:rsidRPr="005355E5">
        <w:rPr>
          <w:rFonts w:ascii="Arial" w:hAnsi="Arial" w:cs="Arial"/>
          <w:sz w:val="24"/>
          <w:szCs w:val="24"/>
        </w:rPr>
        <w:t>mai</w:t>
      </w:r>
      <w:r w:rsidRPr="005355E5">
        <w:rPr>
          <w:rFonts w:ascii="Arial" w:hAnsi="Arial" w:cs="Arial"/>
          <w:spacing w:val="-10"/>
          <w:sz w:val="24"/>
          <w:szCs w:val="24"/>
        </w:rPr>
        <w:t xml:space="preserve"> </w:t>
      </w:r>
      <w:r w:rsidRPr="005355E5">
        <w:rPr>
          <w:rFonts w:ascii="Arial" w:hAnsi="Arial" w:cs="Arial"/>
          <w:sz w:val="24"/>
          <w:szCs w:val="24"/>
        </w:rPr>
        <w:t>puternică</w:t>
      </w:r>
      <w:r w:rsidRPr="005355E5">
        <w:rPr>
          <w:rFonts w:ascii="Arial" w:hAnsi="Arial" w:cs="Arial"/>
          <w:spacing w:val="-12"/>
          <w:sz w:val="24"/>
          <w:szCs w:val="24"/>
        </w:rPr>
        <w:t xml:space="preserve"> </w:t>
      </w:r>
      <w:r w:rsidRPr="005355E5">
        <w:rPr>
          <w:rFonts w:ascii="Arial" w:hAnsi="Arial" w:cs="Arial"/>
          <w:sz w:val="24"/>
          <w:szCs w:val="24"/>
        </w:rPr>
        <w:t>scădere</w:t>
      </w:r>
      <w:r w:rsidRPr="005355E5">
        <w:rPr>
          <w:rFonts w:ascii="Arial" w:hAnsi="Arial" w:cs="Arial"/>
          <w:spacing w:val="-10"/>
          <w:sz w:val="24"/>
          <w:szCs w:val="24"/>
        </w:rPr>
        <w:t xml:space="preserve"> </w:t>
      </w:r>
      <w:r w:rsidRPr="005355E5">
        <w:rPr>
          <w:rFonts w:ascii="Arial" w:hAnsi="Arial" w:cs="Arial"/>
          <w:sz w:val="24"/>
          <w:szCs w:val="24"/>
        </w:rPr>
        <w:t>s-a</w:t>
      </w:r>
      <w:r w:rsidRPr="005355E5">
        <w:rPr>
          <w:rFonts w:ascii="Arial" w:hAnsi="Arial" w:cs="Arial"/>
          <w:spacing w:val="-9"/>
          <w:sz w:val="24"/>
          <w:szCs w:val="24"/>
        </w:rPr>
        <w:t xml:space="preserve"> </w:t>
      </w:r>
      <w:r w:rsidRPr="005355E5">
        <w:rPr>
          <w:rFonts w:ascii="Arial" w:hAnsi="Arial" w:cs="Arial"/>
          <w:sz w:val="24"/>
          <w:szCs w:val="24"/>
        </w:rPr>
        <w:t>înregistrat în jud. Hunedoara</w:t>
      </w:r>
      <w:r w:rsidRPr="005355E5">
        <w:rPr>
          <w:rFonts w:ascii="Arial" w:hAnsi="Arial" w:cs="Arial"/>
          <w:spacing w:val="-5"/>
          <w:sz w:val="24"/>
          <w:szCs w:val="24"/>
        </w:rPr>
        <w:t xml:space="preserve"> </w:t>
      </w:r>
      <w:r w:rsidRPr="005355E5">
        <w:rPr>
          <w:rFonts w:ascii="Arial" w:hAnsi="Arial" w:cs="Arial"/>
          <w:sz w:val="24"/>
          <w:szCs w:val="24"/>
        </w:rPr>
        <w:t>(-24,1%).</w:t>
      </w:r>
    </w:p>
    <w:p w:rsidR="00945F56" w:rsidRDefault="007F577B" w:rsidP="00FA2298">
      <w:pPr>
        <w:pStyle w:val="BodyText"/>
        <w:spacing w:before="36" w:after="0" w:line="240" w:lineRule="auto"/>
        <w:ind w:left="-90" w:right="150"/>
        <w:jc w:val="both"/>
        <w:rPr>
          <w:rFonts w:ascii="Arial" w:hAnsi="Arial" w:cs="Arial"/>
          <w:sz w:val="24"/>
          <w:szCs w:val="24"/>
        </w:rPr>
      </w:pPr>
      <w:r w:rsidRPr="005355E5">
        <w:rPr>
          <w:rFonts w:ascii="Arial" w:hAnsi="Arial" w:cs="Arial"/>
          <w:sz w:val="24"/>
          <w:szCs w:val="24"/>
        </w:rPr>
        <w:t xml:space="preserve">Deprecierea în ansamblu (comparativ cu 2008) se datorează în principal scăderii numărului întreprinderilor micro (-22,2% față de -20,4% de la nivel național) </w:t>
      </w:r>
      <w:r w:rsidR="00945F56">
        <w:rPr>
          <w:rFonts w:ascii="Arial" w:hAnsi="Arial" w:cs="Arial"/>
          <w:sz w:val="24"/>
          <w:szCs w:val="24"/>
        </w:rPr>
        <w:t xml:space="preserve"> </w:t>
      </w:r>
      <w:r w:rsidRPr="005355E5">
        <w:rPr>
          <w:rFonts w:ascii="Arial" w:hAnsi="Arial" w:cs="Arial"/>
          <w:sz w:val="24"/>
          <w:szCs w:val="24"/>
        </w:rPr>
        <w:t xml:space="preserve">și mijlocii </w:t>
      </w:r>
      <w:r w:rsidR="00945F56">
        <w:rPr>
          <w:rFonts w:ascii="Arial" w:hAnsi="Arial" w:cs="Arial"/>
          <w:sz w:val="24"/>
          <w:szCs w:val="24"/>
        </w:rPr>
        <w:t xml:space="preserve">  </w:t>
      </w:r>
      <w:r w:rsidRPr="005355E5">
        <w:rPr>
          <w:rFonts w:ascii="Arial" w:hAnsi="Arial" w:cs="Arial"/>
          <w:sz w:val="24"/>
          <w:szCs w:val="24"/>
        </w:rPr>
        <w:t>(-15,2% față de</w:t>
      </w:r>
      <w:r w:rsidR="00945F56">
        <w:rPr>
          <w:rFonts w:ascii="Arial" w:hAnsi="Arial" w:cs="Arial"/>
          <w:sz w:val="24"/>
          <w:szCs w:val="24"/>
        </w:rPr>
        <w:t xml:space="preserve"> -</w:t>
      </w:r>
      <w:r w:rsidRPr="005355E5">
        <w:rPr>
          <w:rFonts w:ascii="Arial" w:hAnsi="Arial" w:cs="Arial"/>
          <w:sz w:val="24"/>
          <w:szCs w:val="24"/>
        </w:rPr>
        <w:t>13,4% de la nivel național). În această perioadă, o scădere importantă o reprezintă și cea a întreprinderilor mari (-12% față de -14,3% de la nivel național). Cea mai mică scădere se înregistrează la nivelul întreprinderilor mici (-2,8% pentru Regiunea Vest față de –0,8% de la nivel naţional).</w:t>
      </w:r>
    </w:p>
    <w:p w:rsidR="00945F56" w:rsidRDefault="007F577B" w:rsidP="00FA2298">
      <w:pPr>
        <w:pStyle w:val="BodyText"/>
        <w:spacing w:before="36" w:after="0" w:line="240" w:lineRule="auto"/>
        <w:ind w:left="-90" w:right="150"/>
        <w:jc w:val="both"/>
        <w:rPr>
          <w:rFonts w:ascii="Arial" w:hAnsi="Arial" w:cs="Arial"/>
          <w:sz w:val="24"/>
          <w:szCs w:val="24"/>
        </w:rPr>
      </w:pPr>
      <w:r w:rsidRPr="005355E5">
        <w:rPr>
          <w:rFonts w:ascii="Arial" w:hAnsi="Arial" w:cs="Arial"/>
          <w:sz w:val="24"/>
          <w:szCs w:val="24"/>
        </w:rPr>
        <w:t>În 2011 cel mai mare număr de întreprinderi în Regiunea Vest se afla în sectorul comerţ – 36,5% (România – 38,9%), activităţi profesionale, ştiinţifice şi tehnice – 11,1% (România – 11,2%), industria prelucrătoare – 11,3% (România – 10,4%) şi construcţii – 9,8% (România – 9,9).</w:t>
      </w:r>
    </w:p>
    <w:p w:rsidR="00945F56" w:rsidRDefault="007F577B" w:rsidP="00FA2298">
      <w:pPr>
        <w:pStyle w:val="BodyText"/>
        <w:spacing w:before="36" w:after="0" w:line="240" w:lineRule="auto"/>
        <w:ind w:left="-90" w:right="150"/>
        <w:jc w:val="both"/>
        <w:rPr>
          <w:rFonts w:ascii="Arial" w:hAnsi="Arial" w:cs="Arial"/>
          <w:sz w:val="24"/>
          <w:szCs w:val="24"/>
        </w:rPr>
      </w:pPr>
      <w:r w:rsidRPr="005355E5">
        <w:rPr>
          <w:rFonts w:ascii="Arial" w:hAnsi="Arial" w:cs="Arial"/>
          <w:sz w:val="24"/>
          <w:szCs w:val="24"/>
        </w:rPr>
        <w:t>Structura întreprinderilor la nivelul judeţean este dominată de jud</w:t>
      </w:r>
      <w:r w:rsidR="00496FC0">
        <w:rPr>
          <w:rFonts w:ascii="Arial" w:hAnsi="Arial" w:cs="Arial"/>
          <w:sz w:val="24"/>
          <w:szCs w:val="24"/>
        </w:rPr>
        <w:t>ețul</w:t>
      </w:r>
      <w:r w:rsidRPr="005355E5">
        <w:rPr>
          <w:rFonts w:ascii="Arial" w:hAnsi="Arial" w:cs="Arial"/>
          <w:sz w:val="24"/>
          <w:szCs w:val="24"/>
        </w:rPr>
        <w:t xml:space="preserve"> Timiș, care deține 46,7% din totalul întreprinderilor din regiune. Județul Arad deține 23,7% din totalul întreprinderilo</w:t>
      </w:r>
      <w:r w:rsidR="00496FC0">
        <w:rPr>
          <w:rFonts w:ascii="Arial" w:hAnsi="Arial" w:cs="Arial"/>
          <w:sz w:val="24"/>
          <w:szCs w:val="24"/>
        </w:rPr>
        <w:t>r. La mică distanță se află județul</w:t>
      </w:r>
      <w:r w:rsidRPr="005355E5">
        <w:rPr>
          <w:rFonts w:ascii="Arial" w:hAnsi="Arial" w:cs="Arial"/>
          <w:sz w:val="24"/>
          <w:szCs w:val="24"/>
        </w:rPr>
        <w:t xml:space="preserve"> Hunedoara (19,1%), pe când județul cu cea</w:t>
      </w:r>
      <w:r w:rsidRPr="005355E5">
        <w:rPr>
          <w:rFonts w:ascii="Arial" w:hAnsi="Arial" w:cs="Arial"/>
          <w:spacing w:val="-43"/>
          <w:sz w:val="24"/>
          <w:szCs w:val="24"/>
        </w:rPr>
        <w:t xml:space="preserve"> </w:t>
      </w:r>
      <w:r w:rsidRPr="005355E5">
        <w:rPr>
          <w:rFonts w:ascii="Arial" w:hAnsi="Arial" w:cs="Arial"/>
          <w:sz w:val="24"/>
          <w:szCs w:val="24"/>
        </w:rPr>
        <w:t>mai mică pondere de întreprinderi din regiune este jud. Caraș-Severin</w:t>
      </w:r>
      <w:r w:rsidRPr="005355E5">
        <w:rPr>
          <w:rFonts w:ascii="Arial" w:hAnsi="Arial" w:cs="Arial"/>
          <w:spacing w:val="-9"/>
          <w:sz w:val="24"/>
          <w:szCs w:val="24"/>
        </w:rPr>
        <w:t xml:space="preserve"> </w:t>
      </w:r>
      <w:r w:rsidRPr="005355E5">
        <w:rPr>
          <w:rFonts w:ascii="Arial" w:hAnsi="Arial" w:cs="Arial"/>
          <w:sz w:val="24"/>
          <w:szCs w:val="24"/>
        </w:rPr>
        <w:t>(10,6%).</w:t>
      </w:r>
    </w:p>
    <w:p w:rsidR="00945F56" w:rsidRDefault="007F577B" w:rsidP="00FA2298">
      <w:pPr>
        <w:pStyle w:val="BodyText"/>
        <w:spacing w:before="36" w:after="0" w:line="240" w:lineRule="auto"/>
        <w:ind w:left="-90" w:right="150"/>
        <w:jc w:val="both"/>
        <w:rPr>
          <w:rFonts w:ascii="Arial" w:hAnsi="Arial" w:cs="Arial"/>
          <w:sz w:val="24"/>
          <w:szCs w:val="24"/>
        </w:rPr>
      </w:pPr>
      <w:r w:rsidRPr="005355E5">
        <w:rPr>
          <w:rFonts w:ascii="Arial" w:hAnsi="Arial" w:cs="Arial"/>
          <w:sz w:val="24"/>
          <w:szCs w:val="24"/>
        </w:rPr>
        <w:t>În ceea ce priveşte structura întreprinderilor din punct de vedere al numărului de salariaţi, în anul 2010 în Regiunea Vest erau 412.542 de salariaţi în toate categoriile de întreprinderi (reprezentând 10,4% din totalul naţional şi 42,8% din totalul celei mai bine plasate</w:t>
      </w:r>
      <w:r w:rsidRPr="005355E5">
        <w:rPr>
          <w:rFonts w:ascii="Arial" w:hAnsi="Arial" w:cs="Arial"/>
          <w:spacing w:val="-15"/>
          <w:sz w:val="24"/>
          <w:szCs w:val="24"/>
        </w:rPr>
        <w:t xml:space="preserve"> </w:t>
      </w:r>
      <w:r w:rsidRPr="005355E5">
        <w:rPr>
          <w:rFonts w:ascii="Arial" w:hAnsi="Arial" w:cs="Arial"/>
          <w:sz w:val="24"/>
          <w:szCs w:val="24"/>
        </w:rPr>
        <w:t>regiuni,</w:t>
      </w:r>
      <w:r w:rsidRPr="005355E5">
        <w:rPr>
          <w:rFonts w:ascii="Arial" w:hAnsi="Arial" w:cs="Arial"/>
          <w:spacing w:val="-14"/>
          <w:sz w:val="24"/>
          <w:szCs w:val="24"/>
        </w:rPr>
        <w:t xml:space="preserve"> </w:t>
      </w:r>
      <w:r w:rsidRPr="005355E5">
        <w:rPr>
          <w:rFonts w:ascii="Arial" w:hAnsi="Arial" w:cs="Arial"/>
          <w:sz w:val="24"/>
          <w:szCs w:val="24"/>
        </w:rPr>
        <w:t>Bucureşti-Ilfov).</w:t>
      </w:r>
      <w:r w:rsidRPr="005355E5">
        <w:rPr>
          <w:rFonts w:ascii="Arial" w:hAnsi="Arial" w:cs="Arial"/>
          <w:spacing w:val="-14"/>
          <w:sz w:val="24"/>
          <w:szCs w:val="24"/>
        </w:rPr>
        <w:t xml:space="preserve"> </w:t>
      </w:r>
      <w:r w:rsidRPr="005355E5">
        <w:rPr>
          <w:rFonts w:ascii="Arial" w:hAnsi="Arial" w:cs="Arial"/>
          <w:sz w:val="24"/>
          <w:szCs w:val="24"/>
        </w:rPr>
        <w:t>Cea</w:t>
      </w:r>
      <w:r w:rsidRPr="005355E5">
        <w:rPr>
          <w:rFonts w:ascii="Arial" w:hAnsi="Arial" w:cs="Arial"/>
          <w:spacing w:val="-15"/>
          <w:sz w:val="24"/>
          <w:szCs w:val="24"/>
        </w:rPr>
        <w:t xml:space="preserve"> </w:t>
      </w:r>
      <w:r w:rsidRPr="005355E5">
        <w:rPr>
          <w:rFonts w:ascii="Arial" w:hAnsi="Arial" w:cs="Arial"/>
          <w:sz w:val="24"/>
          <w:szCs w:val="24"/>
        </w:rPr>
        <w:t>mai</w:t>
      </w:r>
      <w:r w:rsidRPr="005355E5">
        <w:rPr>
          <w:rFonts w:ascii="Arial" w:hAnsi="Arial" w:cs="Arial"/>
          <w:spacing w:val="-13"/>
          <w:sz w:val="24"/>
          <w:szCs w:val="24"/>
        </w:rPr>
        <w:t xml:space="preserve"> </w:t>
      </w:r>
      <w:r w:rsidRPr="005355E5">
        <w:rPr>
          <w:rFonts w:ascii="Arial" w:hAnsi="Arial" w:cs="Arial"/>
          <w:sz w:val="24"/>
          <w:szCs w:val="24"/>
        </w:rPr>
        <w:t>mare</w:t>
      </w:r>
      <w:r w:rsidRPr="005355E5">
        <w:rPr>
          <w:rFonts w:ascii="Arial" w:hAnsi="Arial" w:cs="Arial"/>
          <w:spacing w:val="-12"/>
          <w:sz w:val="24"/>
          <w:szCs w:val="24"/>
        </w:rPr>
        <w:t xml:space="preserve"> </w:t>
      </w:r>
      <w:r w:rsidRPr="005355E5">
        <w:rPr>
          <w:rFonts w:ascii="Arial" w:hAnsi="Arial" w:cs="Arial"/>
          <w:sz w:val="24"/>
          <w:szCs w:val="24"/>
        </w:rPr>
        <w:t>parte</w:t>
      </w:r>
      <w:r w:rsidRPr="005355E5">
        <w:rPr>
          <w:rFonts w:ascii="Arial" w:hAnsi="Arial" w:cs="Arial"/>
          <w:spacing w:val="-15"/>
          <w:sz w:val="24"/>
          <w:szCs w:val="24"/>
        </w:rPr>
        <w:t xml:space="preserve"> </w:t>
      </w:r>
      <w:r w:rsidRPr="005355E5">
        <w:rPr>
          <w:rFonts w:ascii="Arial" w:hAnsi="Arial" w:cs="Arial"/>
          <w:sz w:val="24"/>
          <w:szCs w:val="24"/>
        </w:rPr>
        <w:t>a</w:t>
      </w:r>
      <w:r w:rsidRPr="005355E5">
        <w:rPr>
          <w:rFonts w:ascii="Arial" w:hAnsi="Arial" w:cs="Arial"/>
          <w:spacing w:val="-14"/>
          <w:sz w:val="24"/>
          <w:szCs w:val="24"/>
        </w:rPr>
        <w:t xml:space="preserve"> </w:t>
      </w:r>
      <w:r w:rsidRPr="005355E5">
        <w:rPr>
          <w:rFonts w:ascii="Arial" w:hAnsi="Arial" w:cs="Arial"/>
          <w:sz w:val="24"/>
          <w:szCs w:val="24"/>
        </w:rPr>
        <w:t>salariaţilor</w:t>
      </w:r>
      <w:r w:rsidRPr="005355E5">
        <w:rPr>
          <w:rFonts w:ascii="Arial" w:hAnsi="Arial" w:cs="Arial"/>
          <w:spacing w:val="-14"/>
          <w:sz w:val="24"/>
          <w:szCs w:val="24"/>
        </w:rPr>
        <w:t xml:space="preserve"> </w:t>
      </w:r>
      <w:r w:rsidRPr="005355E5">
        <w:rPr>
          <w:rFonts w:ascii="Arial" w:hAnsi="Arial" w:cs="Arial"/>
          <w:sz w:val="24"/>
          <w:szCs w:val="24"/>
        </w:rPr>
        <w:t>se</w:t>
      </w:r>
      <w:r w:rsidRPr="005355E5">
        <w:rPr>
          <w:rFonts w:ascii="Arial" w:hAnsi="Arial" w:cs="Arial"/>
          <w:spacing w:val="-13"/>
          <w:sz w:val="24"/>
          <w:szCs w:val="24"/>
        </w:rPr>
        <w:t xml:space="preserve"> </w:t>
      </w:r>
      <w:r w:rsidRPr="005355E5">
        <w:rPr>
          <w:rFonts w:ascii="Arial" w:hAnsi="Arial" w:cs="Arial"/>
          <w:sz w:val="24"/>
          <w:szCs w:val="24"/>
        </w:rPr>
        <w:t>găseşte</w:t>
      </w:r>
      <w:r w:rsidRPr="005355E5">
        <w:rPr>
          <w:rFonts w:ascii="Arial" w:hAnsi="Arial" w:cs="Arial"/>
          <w:spacing w:val="-13"/>
          <w:sz w:val="24"/>
          <w:szCs w:val="24"/>
        </w:rPr>
        <w:t xml:space="preserve"> </w:t>
      </w:r>
      <w:r w:rsidRPr="005355E5">
        <w:rPr>
          <w:rFonts w:ascii="Arial" w:hAnsi="Arial" w:cs="Arial"/>
          <w:sz w:val="24"/>
          <w:szCs w:val="24"/>
        </w:rPr>
        <w:t>în</w:t>
      </w:r>
      <w:r w:rsidRPr="005355E5">
        <w:rPr>
          <w:rFonts w:ascii="Arial" w:hAnsi="Arial" w:cs="Arial"/>
          <w:spacing w:val="-14"/>
          <w:sz w:val="24"/>
          <w:szCs w:val="24"/>
        </w:rPr>
        <w:t xml:space="preserve"> </w:t>
      </w:r>
      <w:r w:rsidRPr="005355E5">
        <w:rPr>
          <w:rFonts w:ascii="Arial" w:hAnsi="Arial" w:cs="Arial"/>
          <w:sz w:val="24"/>
          <w:szCs w:val="24"/>
        </w:rPr>
        <w:t>întreprinderile mari (32,6%), întreprinderi mijlocii</w:t>
      </w:r>
      <w:r w:rsidRPr="005355E5">
        <w:rPr>
          <w:rFonts w:ascii="Arial" w:hAnsi="Arial" w:cs="Arial"/>
          <w:spacing w:val="-14"/>
          <w:sz w:val="24"/>
          <w:szCs w:val="24"/>
        </w:rPr>
        <w:t xml:space="preserve"> </w:t>
      </w:r>
      <w:r w:rsidRPr="005355E5">
        <w:rPr>
          <w:rFonts w:ascii="Arial" w:hAnsi="Arial" w:cs="Arial"/>
          <w:sz w:val="24"/>
          <w:szCs w:val="24"/>
        </w:rPr>
        <w:t>(23,6%).</w:t>
      </w:r>
    </w:p>
    <w:p w:rsidR="00DF7F78" w:rsidRPr="00B268A2" w:rsidRDefault="007F577B" w:rsidP="00FA2298">
      <w:pPr>
        <w:pStyle w:val="BodyText"/>
        <w:spacing w:before="36" w:after="0" w:line="240" w:lineRule="auto"/>
        <w:ind w:left="-90" w:right="150"/>
        <w:jc w:val="both"/>
        <w:rPr>
          <w:rFonts w:ascii="Arial" w:hAnsi="Arial" w:cs="Arial"/>
          <w:sz w:val="24"/>
          <w:szCs w:val="24"/>
        </w:rPr>
      </w:pPr>
      <w:r w:rsidRPr="005355E5">
        <w:rPr>
          <w:rFonts w:ascii="Arial" w:hAnsi="Arial" w:cs="Arial"/>
          <w:sz w:val="24"/>
          <w:szCs w:val="24"/>
        </w:rPr>
        <w:lastRenderedPageBreak/>
        <w:t>Din punct de vedere al cifrei de afaceri pe categorii de întreprinderi, în anul 2011 Regiunea Vest avea o cifra de afaceri de 82.110 mil. lei pe totalul întreprinderilor, reprezentând 8,2% din totalul pe România şi doar 22,8% din totalul pentru Bucureşti-Ilfov. Cea mai mare parte a cifrei de afaceri a fost realizată în întreprinderile mari (27.780 mil lei, 33,8%),</w:t>
      </w:r>
      <w:r w:rsidRPr="005355E5">
        <w:rPr>
          <w:rFonts w:ascii="Arial" w:hAnsi="Arial" w:cs="Arial"/>
          <w:spacing w:val="-14"/>
          <w:sz w:val="24"/>
          <w:szCs w:val="24"/>
        </w:rPr>
        <w:t xml:space="preserve"> </w:t>
      </w:r>
      <w:r w:rsidRPr="005355E5">
        <w:rPr>
          <w:rFonts w:ascii="Arial" w:hAnsi="Arial" w:cs="Arial"/>
          <w:sz w:val="24"/>
          <w:szCs w:val="24"/>
        </w:rPr>
        <w:t>urmate</w:t>
      </w:r>
      <w:r w:rsidRPr="005355E5">
        <w:rPr>
          <w:rFonts w:ascii="Arial" w:hAnsi="Arial" w:cs="Arial"/>
          <w:spacing w:val="-15"/>
          <w:sz w:val="24"/>
          <w:szCs w:val="24"/>
        </w:rPr>
        <w:t xml:space="preserve"> </w:t>
      </w:r>
      <w:r w:rsidRPr="005355E5">
        <w:rPr>
          <w:rFonts w:ascii="Arial" w:hAnsi="Arial" w:cs="Arial"/>
          <w:sz w:val="24"/>
          <w:szCs w:val="24"/>
        </w:rPr>
        <w:t>de</w:t>
      </w:r>
      <w:r w:rsidRPr="005355E5">
        <w:rPr>
          <w:rFonts w:ascii="Arial" w:hAnsi="Arial" w:cs="Arial"/>
          <w:spacing w:val="-15"/>
          <w:sz w:val="24"/>
          <w:szCs w:val="24"/>
        </w:rPr>
        <w:t xml:space="preserve"> </w:t>
      </w:r>
      <w:r w:rsidRPr="005355E5">
        <w:rPr>
          <w:rFonts w:ascii="Arial" w:hAnsi="Arial" w:cs="Arial"/>
          <w:sz w:val="24"/>
          <w:szCs w:val="24"/>
        </w:rPr>
        <w:t>întreprinderile</w:t>
      </w:r>
      <w:r w:rsidRPr="005355E5">
        <w:rPr>
          <w:rFonts w:ascii="Arial" w:hAnsi="Arial" w:cs="Arial"/>
          <w:spacing w:val="-16"/>
          <w:sz w:val="24"/>
          <w:szCs w:val="24"/>
        </w:rPr>
        <w:t xml:space="preserve"> </w:t>
      </w:r>
      <w:r w:rsidRPr="005355E5">
        <w:rPr>
          <w:rFonts w:ascii="Arial" w:hAnsi="Arial" w:cs="Arial"/>
          <w:sz w:val="24"/>
          <w:szCs w:val="24"/>
        </w:rPr>
        <w:t>mijlocii</w:t>
      </w:r>
      <w:r w:rsidRPr="005355E5">
        <w:rPr>
          <w:rFonts w:ascii="Arial" w:hAnsi="Arial" w:cs="Arial"/>
          <w:spacing w:val="-15"/>
          <w:sz w:val="24"/>
          <w:szCs w:val="24"/>
        </w:rPr>
        <w:t xml:space="preserve"> </w:t>
      </w:r>
      <w:r w:rsidRPr="005355E5">
        <w:rPr>
          <w:rFonts w:ascii="Arial" w:hAnsi="Arial" w:cs="Arial"/>
          <w:sz w:val="24"/>
          <w:szCs w:val="24"/>
        </w:rPr>
        <w:t>(20.423</w:t>
      </w:r>
      <w:r w:rsidRPr="005355E5">
        <w:rPr>
          <w:rFonts w:ascii="Arial" w:hAnsi="Arial" w:cs="Arial"/>
          <w:spacing w:val="-13"/>
          <w:sz w:val="24"/>
          <w:szCs w:val="24"/>
        </w:rPr>
        <w:t xml:space="preserve"> </w:t>
      </w:r>
      <w:r w:rsidRPr="005355E5">
        <w:rPr>
          <w:rFonts w:ascii="Arial" w:hAnsi="Arial" w:cs="Arial"/>
          <w:sz w:val="24"/>
          <w:szCs w:val="24"/>
        </w:rPr>
        <w:t>mil</w:t>
      </w:r>
      <w:r w:rsidRPr="005355E5">
        <w:rPr>
          <w:rFonts w:ascii="Arial" w:hAnsi="Arial" w:cs="Arial"/>
          <w:spacing w:val="-13"/>
          <w:sz w:val="24"/>
          <w:szCs w:val="24"/>
        </w:rPr>
        <w:t xml:space="preserve"> </w:t>
      </w:r>
      <w:r w:rsidRPr="005355E5">
        <w:rPr>
          <w:rFonts w:ascii="Arial" w:hAnsi="Arial" w:cs="Arial"/>
          <w:sz w:val="24"/>
          <w:szCs w:val="24"/>
        </w:rPr>
        <w:t>lei,</w:t>
      </w:r>
      <w:r w:rsidRPr="005355E5">
        <w:rPr>
          <w:rFonts w:ascii="Arial" w:hAnsi="Arial" w:cs="Arial"/>
          <w:spacing w:val="-14"/>
          <w:sz w:val="24"/>
          <w:szCs w:val="24"/>
        </w:rPr>
        <w:t xml:space="preserve"> </w:t>
      </w:r>
      <w:r w:rsidRPr="005355E5">
        <w:rPr>
          <w:rFonts w:ascii="Arial" w:hAnsi="Arial" w:cs="Arial"/>
          <w:sz w:val="24"/>
          <w:szCs w:val="24"/>
        </w:rPr>
        <w:t>24,9%)</w:t>
      </w:r>
      <w:r w:rsidRPr="005355E5">
        <w:rPr>
          <w:rFonts w:ascii="Arial" w:hAnsi="Arial" w:cs="Arial"/>
          <w:spacing w:val="-12"/>
          <w:sz w:val="24"/>
          <w:szCs w:val="24"/>
        </w:rPr>
        <w:t xml:space="preserve"> </w:t>
      </w:r>
      <w:r w:rsidRPr="005355E5">
        <w:rPr>
          <w:rFonts w:ascii="Arial" w:hAnsi="Arial" w:cs="Arial"/>
          <w:sz w:val="24"/>
          <w:szCs w:val="24"/>
        </w:rPr>
        <w:t>şi</w:t>
      </w:r>
      <w:r w:rsidRPr="005355E5">
        <w:rPr>
          <w:rFonts w:ascii="Arial" w:hAnsi="Arial" w:cs="Arial"/>
          <w:spacing w:val="-13"/>
          <w:sz w:val="24"/>
          <w:szCs w:val="24"/>
        </w:rPr>
        <w:t xml:space="preserve"> </w:t>
      </w:r>
      <w:r w:rsidRPr="005355E5">
        <w:rPr>
          <w:rFonts w:ascii="Arial" w:hAnsi="Arial" w:cs="Arial"/>
          <w:sz w:val="24"/>
          <w:szCs w:val="24"/>
        </w:rPr>
        <w:t>întreprinderile</w:t>
      </w:r>
      <w:r w:rsidRPr="005355E5">
        <w:rPr>
          <w:rFonts w:ascii="Arial" w:hAnsi="Arial" w:cs="Arial"/>
          <w:spacing w:val="-16"/>
          <w:sz w:val="24"/>
          <w:szCs w:val="24"/>
        </w:rPr>
        <w:t xml:space="preserve"> </w:t>
      </w:r>
      <w:r w:rsidRPr="005355E5">
        <w:rPr>
          <w:rFonts w:ascii="Arial" w:hAnsi="Arial" w:cs="Arial"/>
          <w:sz w:val="24"/>
          <w:szCs w:val="24"/>
        </w:rPr>
        <w:t>mici</w:t>
      </w:r>
      <w:r w:rsidRPr="005355E5">
        <w:rPr>
          <w:rFonts w:ascii="Arial" w:hAnsi="Arial" w:cs="Arial"/>
          <w:spacing w:val="-15"/>
          <w:sz w:val="24"/>
          <w:szCs w:val="24"/>
        </w:rPr>
        <w:t xml:space="preserve"> </w:t>
      </w:r>
      <w:r w:rsidRPr="005355E5">
        <w:rPr>
          <w:rFonts w:ascii="Arial" w:hAnsi="Arial" w:cs="Arial"/>
          <w:sz w:val="24"/>
          <w:szCs w:val="24"/>
        </w:rPr>
        <w:t>(19.553 mil lei, 23,8%).(</w:t>
      </w:r>
      <w:r w:rsidRPr="00945F56">
        <w:rPr>
          <w:rFonts w:ascii="Arial" w:hAnsi="Arial" w:cs="Arial"/>
          <w:i/>
          <w:sz w:val="24"/>
          <w:szCs w:val="24"/>
        </w:rPr>
        <w:t>PDR Regiunea Vest pag. 73-76</w:t>
      </w:r>
      <w:r w:rsidRPr="005355E5">
        <w:rPr>
          <w:rFonts w:ascii="Arial" w:hAnsi="Arial" w:cs="Arial"/>
          <w:sz w:val="24"/>
          <w:szCs w:val="24"/>
        </w:rPr>
        <w:t>).</w:t>
      </w:r>
    </w:p>
    <w:p w:rsidR="000640C9" w:rsidRDefault="007F577B" w:rsidP="00FA2298">
      <w:pPr>
        <w:pStyle w:val="BodyText"/>
        <w:spacing w:before="36" w:after="0" w:line="240" w:lineRule="auto"/>
        <w:ind w:left="-90" w:right="150"/>
        <w:jc w:val="both"/>
        <w:rPr>
          <w:rFonts w:ascii="Arial" w:hAnsi="Arial" w:cs="Arial"/>
          <w:sz w:val="24"/>
          <w:szCs w:val="24"/>
        </w:rPr>
      </w:pPr>
      <w:r w:rsidRPr="005355E5">
        <w:rPr>
          <w:rFonts w:ascii="Arial" w:hAnsi="Arial" w:cs="Arial"/>
          <w:sz w:val="24"/>
          <w:szCs w:val="24"/>
        </w:rPr>
        <w:t>În 2011</w:t>
      </w:r>
      <w:r w:rsidR="000640C9">
        <w:rPr>
          <w:rFonts w:ascii="Arial" w:hAnsi="Arial" w:cs="Arial"/>
          <w:b/>
          <w:sz w:val="24"/>
          <w:szCs w:val="24"/>
        </w:rPr>
        <w:t xml:space="preserve">, </w:t>
      </w:r>
      <w:r w:rsidRPr="005355E5">
        <w:rPr>
          <w:rFonts w:ascii="Arial" w:hAnsi="Arial" w:cs="Arial"/>
          <w:b/>
          <w:sz w:val="24"/>
          <w:szCs w:val="24"/>
        </w:rPr>
        <w:t xml:space="preserve">numărul IMM-urilor </w:t>
      </w:r>
      <w:r w:rsidRPr="005355E5">
        <w:rPr>
          <w:rFonts w:ascii="Arial" w:hAnsi="Arial" w:cs="Arial"/>
          <w:sz w:val="24"/>
          <w:szCs w:val="24"/>
        </w:rPr>
        <w:t xml:space="preserve">în economia afacerilor non-financiare per 1000 locuitori în </w:t>
      </w:r>
      <w:r w:rsidR="00945F56">
        <w:rPr>
          <w:rFonts w:ascii="Arial" w:hAnsi="Arial" w:cs="Arial"/>
          <w:sz w:val="24"/>
          <w:szCs w:val="24"/>
        </w:rPr>
        <w:t>R</w:t>
      </w:r>
      <w:r w:rsidRPr="005355E5">
        <w:rPr>
          <w:rFonts w:ascii="Arial" w:hAnsi="Arial" w:cs="Arial"/>
          <w:sz w:val="24"/>
          <w:szCs w:val="24"/>
        </w:rPr>
        <w:t xml:space="preserve">egiunea Vest era 20,5 (situându-se uşor peste media pentru România - 20,1), plasând regiunea pe </w:t>
      </w:r>
      <w:r w:rsidRPr="005355E5">
        <w:rPr>
          <w:rFonts w:ascii="Arial" w:hAnsi="Arial" w:cs="Arial"/>
          <w:b/>
          <w:sz w:val="24"/>
          <w:szCs w:val="24"/>
        </w:rPr>
        <w:t xml:space="preserve">locul al treilea în România </w:t>
      </w:r>
      <w:r w:rsidRPr="005355E5">
        <w:rPr>
          <w:rFonts w:ascii="Arial" w:hAnsi="Arial" w:cs="Arial"/>
          <w:sz w:val="24"/>
          <w:szCs w:val="24"/>
        </w:rPr>
        <w:t>după Bucureşti-Ilfov (43,6) şi Nord-Vest (21,9)</w:t>
      </w:r>
      <w:r w:rsidRPr="005355E5">
        <w:rPr>
          <w:rFonts w:ascii="Arial" w:hAnsi="Arial" w:cs="Arial"/>
          <w:spacing w:val="-6"/>
          <w:sz w:val="24"/>
          <w:szCs w:val="24"/>
        </w:rPr>
        <w:t xml:space="preserve"> </w:t>
      </w:r>
      <w:r w:rsidRPr="005355E5">
        <w:rPr>
          <w:rFonts w:ascii="Arial" w:hAnsi="Arial" w:cs="Arial"/>
          <w:sz w:val="24"/>
          <w:szCs w:val="24"/>
        </w:rPr>
        <w:t>şi</w:t>
      </w:r>
      <w:r w:rsidRPr="005355E5">
        <w:rPr>
          <w:rFonts w:ascii="Arial" w:hAnsi="Arial" w:cs="Arial"/>
          <w:spacing w:val="-4"/>
          <w:sz w:val="24"/>
          <w:szCs w:val="24"/>
        </w:rPr>
        <w:t xml:space="preserve"> </w:t>
      </w:r>
      <w:r w:rsidRPr="005355E5">
        <w:rPr>
          <w:rFonts w:ascii="Arial" w:hAnsi="Arial" w:cs="Arial"/>
          <w:sz w:val="24"/>
          <w:szCs w:val="24"/>
        </w:rPr>
        <w:t>la</w:t>
      </w:r>
      <w:r w:rsidRPr="005355E5">
        <w:rPr>
          <w:rFonts w:ascii="Arial" w:hAnsi="Arial" w:cs="Arial"/>
          <w:spacing w:val="-6"/>
          <w:sz w:val="24"/>
          <w:szCs w:val="24"/>
        </w:rPr>
        <w:t xml:space="preserve"> </w:t>
      </w:r>
      <w:r w:rsidRPr="005355E5">
        <w:rPr>
          <w:rFonts w:ascii="Arial" w:hAnsi="Arial" w:cs="Arial"/>
          <w:sz w:val="24"/>
          <w:szCs w:val="24"/>
        </w:rPr>
        <w:t>aceiași</w:t>
      </w:r>
      <w:r w:rsidRPr="005355E5">
        <w:rPr>
          <w:rFonts w:ascii="Arial" w:hAnsi="Arial" w:cs="Arial"/>
          <w:spacing w:val="-4"/>
          <w:sz w:val="24"/>
          <w:szCs w:val="24"/>
        </w:rPr>
        <w:t xml:space="preserve"> </w:t>
      </w:r>
      <w:r w:rsidRPr="005355E5">
        <w:rPr>
          <w:rFonts w:ascii="Arial" w:hAnsi="Arial" w:cs="Arial"/>
          <w:sz w:val="24"/>
          <w:szCs w:val="24"/>
        </w:rPr>
        <w:t>valoare</w:t>
      </w:r>
      <w:r w:rsidRPr="005355E5">
        <w:rPr>
          <w:rFonts w:ascii="Arial" w:hAnsi="Arial" w:cs="Arial"/>
          <w:spacing w:val="-7"/>
          <w:sz w:val="24"/>
          <w:szCs w:val="24"/>
        </w:rPr>
        <w:t xml:space="preserve"> </w:t>
      </w:r>
      <w:r w:rsidRPr="005355E5">
        <w:rPr>
          <w:rFonts w:ascii="Arial" w:hAnsi="Arial" w:cs="Arial"/>
          <w:sz w:val="24"/>
          <w:szCs w:val="24"/>
        </w:rPr>
        <w:t>cu</w:t>
      </w:r>
      <w:r w:rsidRPr="005355E5">
        <w:rPr>
          <w:rFonts w:ascii="Arial" w:hAnsi="Arial" w:cs="Arial"/>
          <w:spacing w:val="-4"/>
          <w:sz w:val="24"/>
          <w:szCs w:val="24"/>
        </w:rPr>
        <w:t xml:space="preserve"> </w:t>
      </w:r>
      <w:r w:rsidRPr="005355E5">
        <w:rPr>
          <w:rFonts w:ascii="Arial" w:hAnsi="Arial" w:cs="Arial"/>
          <w:sz w:val="24"/>
          <w:szCs w:val="24"/>
        </w:rPr>
        <w:t>regiunea</w:t>
      </w:r>
      <w:r w:rsidRPr="005355E5">
        <w:rPr>
          <w:rFonts w:ascii="Arial" w:hAnsi="Arial" w:cs="Arial"/>
          <w:spacing w:val="-6"/>
          <w:sz w:val="24"/>
          <w:szCs w:val="24"/>
        </w:rPr>
        <w:t xml:space="preserve"> </w:t>
      </w:r>
      <w:r w:rsidRPr="005355E5">
        <w:rPr>
          <w:rFonts w:ascii="Arial" w:hAnsi="Arial" w:cs="Arial"/>
          <w:sz w:val="24"/>
          <w:szCs w:val="24"/>
        </w:rPr>
        <w:t>Centru</w:t>
      </w:r>
      <w:r w:rsidRPr="005355E5">
        <w:rPr>
          <w:rFonts w:ascii="Arial" w:hAnsi="Arial" w:cs="Arial"/>
          <w:spacing w:val="-5"/>
          <w:sz w:val="24"/>
          <w:szCs w:val="24"/>
        </w:rPr>
        <w:t xml:space="preserve"> </w:t>
      </w:r>
      <w:r w:rsidRPr="005355E5">
        <w:rPr>
          <w:rFonts w:ascii="Arial" w:hAnsi="Arial" w:cs="Arial"/>
          <w:sz w:val="24"/>
          <w:szCs w:val="24"/>
        </w:rPr>
        <w:t>(20,5).</w:t>
      </w:r>
      <w:r w:rsidRPr="005355E5">
        <w:rPr>
          <w:rFonts w:ascii="Arial" w:hAnsi="Arial" w:cs="Arial"/>
          <w:spacing w:val="-6"/>
          <w:sz w:val="24"/>
          <w:szCs w:val="24"/>
        </w:rPr>
        <w:t xml:space="preserve"> </w:t>
      </w:r>
      <w:r w:rsidRPr="005355E5">
        <w:rPr>
          <w:rFonts w:ascii="Arial" w:hAnsi="Arial" w:cs="Arial"/>
          <w:sz w:val="24"/>
          <w:szCs w:val="24"/>
        </w:rPr>
        <w:t>Densitatea</w:t>
      </w:r>
      <w:r w:rsidRPr="005355E5">
        <w:rPr>
          <w:rFonts w:ascii="Arial" w:hAnsi="Arial" w:cs="Arial"/>
          <w:spacing w:val="-5"/>
          <w:sz w:val="24"/>
          <w:szCs w:val="24"/>
        </w:rPr>
        <w:t xml:space="preserve"> </w:t>
      </w:r>
      <w:r w:rsidRPr="005355E5">
        <w:rPr>
          <w:rFonts w:ascii="Arial" w:hAnsi="Arial" w:cs="Arial"/>
          <w:sz w:val="24"/>
          <w:szCs w:val="24"/>
        </w:rPr>
        <w:t>IMM-urilor</w:t>
      </w:r>
      <w:r w:rsidRPr="005355E5">
        <w:rPr>
          <w:rFonts w:ascii="Arial" w:hAnsi="Arial" w:cs="Arial"/>
          <w:spacing w:val="-5"/>
          <w:sz w:val="24"/>
          <w:szCs w:val="24"/>
        </w:rPr>
        <w:t xml:space="preserve"> </w:t>
      </w:r>
      <w:r w:rsidRPr="005355E5">
        <w:rPr>
          <w:rFonts w:ascii="Arial" w:hAnsi="Arial" w:cs="Arial"/>
          <w:sz w:val="24"/>
          <w:szCs w:val="24"/>
        </w:rPr>
        <w:t>este</w:t>
      </w:r>
      <w:r w:rsidRPr="005355E5">
        <w:rPr>
          <w:rFonts w:ascii="Arial" w:hAnsi="Arial" w:cs="Arial"/>
          <w:spacing w:val="-4"/>
          <w:sz w:val="24"/>
          <w:szCs w:val="24"/>
        </w:rPr>
        <w:t xml:space="preserve"> </w:t>
      </w:r>
      <w:r w:rsidRPr="005355E5">
        <w:rPr>
          <w:rFonts w:ascii="Arial" w:hAnsi="Arial" w:cs="Arial"/>
          <w:sz w:val="24"/>
          <w:szCs w:val="24"/>
        </w:rPr>
        <w:t>semnificativ mai mică decât media pentru</w:t>
      </w:r>
      <w:r w:rsidRPr="005355E5">
        <w:rPr>
          <w:rFonts w:ascii="Arial" w:hAnsi="Arial" w:cs="Arial"/>
          <w:spacing w:val="-8"/>
          <w:sz w:val="24"/>
          <w:szCs w:val="24"/>
        </w:rPr>
        <w:t xml:space="preserve"> </w:t>
      </w:r>
      <w:r w:rsidRPr="005355E5">
        <w:rPr>
          <w:rFonts w:ascii="Arial" w:hAnsi="Arial" w:cs="Arial"/>
          <w:sz w:val="24"/>
          <w:szCs w:val="24"/>
        </w:rPr>
        <w:t>UE27.</w:t>
      </w:r>
      <w:r w:rsidR="00945F56">
        <w:rPr>
          <w:rFonts w:ascii="Arial" w:hAnsi="Arial" w:cs="Arial"/>
          <w:sz w:val="24"/>
          <w:szCs w:val="24"/>
        </w:rPr>
        <w:t xml:space="preserve"> </w:t>
      </w:r>
      <w:r w:rsidR="000640C9">
        <w:rPr>
          <w:rFonts w:ascii="Arial" w:hAnsi="Arial" w:cs="Arial"/>
          <w:sz w:val="24"/>
          <w:szCs w:val="24"/>
        </w:rPr>
        <w:t xml:space="preserve"> </w:t>
      </w:r>
    </w:p>
    <w:p w:rsidR="007F577B" w:rsidRPr="00BC04FB" w:rsidRDefault="007F577B" w:rsidP="00FA2298">
      <w:pPr>
        <w:pStyle w:val="BodyText"/>
        <w:spacing w:before="36" w:after="0" w:line="240" w:lineRule="auto"/>
        <w:ind w:left="-90" w:right="150"/>
        <w:jc w:val="both"/>
        <w:rPr>
          <w:rFonts w:ascii="Arial" w:hAnsi="Arial" w:cs="Arial"/>
          <w:sz w:val="24"/>
          <w:szCs w:val="24"/>
        </w:rPr>
      </w:pPr>
      <w:r w:rsidRPr="005355E5">
        <w:rPr>
          <w:rFonts w:ascii="Arial" w:hAnsi="Arial" w:cs="Arial"/>
          <w:sz w:val="24"/>
          <w:szCs w:val="24"/>
        </w:rPr>
        <w:t>Creşterea  numărului  IMM-urilor  la</w:t>
      </w:r>
      <w:r w:rsidRPr="005355E5">
        <w:rPr>
          <w:rFonts w:ascii="Arial" w:hAnsi="Arial" w:cs="Arial"/>
          <w:spacing w:val="4"/>
          <w:sz w:val="24"/>
          <w:szCs w:val="24"/>
        </w:rPr>
        <w:t xml:space="preserve"> </w:t>
      </w:r>
      <w:r w:rsidRPr="005355E5">
        <w:rPr>
          <w:rFonts w:ascii="Arial" w:hAnsi="Arial" w:cs="Arial"/>
          <w:sz w:val="24"/>
          <w:szCs w:val="24"/>
        </w:rPr>
        <w:t>nivel</w:t>
      </w:r>
      <w:r w:rsidRPr="005355E5">
        <w:rPr>
          <w:rFonts w:ascii="Arial" w:hAnsi="Arial" w:cs="Arial"/>
          <w:spacing w:val="49"/>
          <w:sz w:val="24"/>
          <w:szCs w:val="24"/>
        </w:rPr>
        <w:t xml:space="preserve"> </w:t>
      </w:r>
      <w:r w:rsidR="000640C9">
        <w:rPr>
          <w:rFonts w:ascii="Arial" w:hAnsi="Arial" w:cs="Arial"/>
          <w:sz w:val="24"/>
          <w:szCs w:val="24"/>
        </w:rPr>
        <w:t>de</w:t>
      </w:r>
      <w:r w:rsidR="000640C9">
        <w:rPr>
          <w:rFonts w:ascii="Arial" w:hAnsi="Arial" w:cs="Arial"/>
          <w:sz w:val="24"/>
          <w:szCs w:val="24"/>
        </w:rPr>
        <w:tab/>
        <w:t xml:space="preserve">populaţie </w:t>
      </w:r>
      <w:r w:rsidRPr="005355E5">
        <w:rPr>
          <w:rFonts w:ascii="Arial" w:hAnsi="Arial" w:cs="Arial"/>
          <w:sz w:val="24"/>
          <w:szCs w:val="24"/>
        </w:rPr>
        <w:t>în  perioada</w:t>
      </w:r>
      <w:r w:rsidRPr="005355E5">
        <w:rPr>
          <w:rFonts w:ascii="Arial" w:hAnsi="Arial" w:cs="Arial"/>
          <w:spacing w:val="21"/>
          <w:sz w:val="24"/>
          <w:szCs w:val="24"/>
        </w:rPr>
        <w:t xml:space="preserve"> </w:t>
      </w:r>
      <w:r w:rsidRPr="005355E5">
        <w:rPr>
          <w:rFonts w:ascii="Arial" w:hAnsi="Arial" w:cs="Arial"/>
          <w:sz w:val="24"/>
          <w:szCs w:val="24"/>
        </w:rPr>
        <w:t>2000-2011</w:t>
      </w:r>
      <w:r w:rsidRPr="005355E5">
        <w:rPr>
          <w:rFonts w:ascii="Arial" w:hAnsi="Arial" w:cs="Arial"/>
          <w:spacing w:val="51"/>
          <w:sz w:val="24"/>
          <w:szCs w:val="24"/>
        </w:rPr>
        <w:t xml:space="preserve"> </w:t>
      </w:r>
      <w:r w:rsidRPr="005355E5">
        <w:rPr>
          <w:rFonts w:ascii="Arial" w:hAnsi="Arial" w:cs="Arial"/>
          <w:sz w:val="24"/>
          <w:szCs w:val="24"/>
        </w:rPr>
        <w:t xml:space="preserve">în </w:t>
      </w:r>
      <w:r w:rsidR="000640C9">
        <w:rPr>
          <w:rFonts w:ascii="Arial" w:hAnsi="Arial" w:cs="Arial"/>
          <w:sz w:val="24"/>
          <w:szCs w:val="24"/>
        </w:rPr>
        <w:t>R</w:t>
      </w:r>
      <w:r w:rsidRPr="005355E5">
        <w:rPr>
          <w:rFonts w:ascii="Arial" w:hAnsi="Arial" w:cs="Arial"/>
          <w:sz w:val="24"/>
          <w:szCs w:val="24"/>
        </w:rPr>
        <w:t>egiunea</w:t>
      </w:r>
      <w:r w:rsidRPr="005355E5">
        <w:rPr>
          <w:rFonts w:ascii="Arial" w:hAnsi="Arial" w:cs="Arial"/>
          <w:spacing w:val="45"/>
          <w:sz w:val="24"/>
          <w:szCs w:val="24"/>
        </w:rPr>
        <w:t xml:space="preserve"> </w:t>
      </w:r>
      <w:r w:rsidRPr="005355E5">
        <w:rPr>
          <w:rFonts w:ascii="Arial" w:hAnsi="Arial" w:cs="Arial"/>
          <w:sz w:val="24"/>
          <w:szCs w:val="24"/>
        </w:rPr>
        <w:t>Vest</w:t>
      </w:r>
      <w:r w:rsidRPr="005355E5">
        <w:rPr>
          <w:rFonts w:ascii="Arial" w:hAnsi="Arial" w:cs="Arial"/>
          <w:spacing w:val="45"/>
          <w:sz w:val="24"/>
          <w:szCs w:val="24"/>
        </w:rPr>
        <w:t xml:space="preserve"> </w:t>
      </w:r>
      <w:r w:rsidRPr="005355E5">
        <w:rPr>
          <w:rFonts w:ascii="Arial" w:hAnsi="Arial" w:cs="Arial"/>
          <w:sz w:val="24"/>
          <w:szCs w:val="24"/>
        </w:rPr>
        <w:t>este</w:t>
      </w:r>
      <w:r w:rsidRPr="005355E5">
        <w:rPr>
          <w:rFonts w:ascii="Arial" w:hAnsi="Arial" w:cs="Arial"/>
          <w:spacing w:val="45"/>
          <w:sz w:val="24"/>
          <w:szCs w:val="24"/>
        </w:rPr>
        <w:t xml:space="preserve"> </w:t>
      </w:r>
      <w:r w:rsidRPr="005355E5">
        <w:rPr>
          <w:rFonts w:ascii="Arial" w:hAnsi="Arial" w:cs="Arial"/>
          <w:sz w:val="24"/>
          <w:szCs w:val="24"/>
        </w:rPr>
        <w:t>printre</w:t>
      </w:r>
      <w:r w:rsidRPr="005355E5">
        <w:rPr>
          <w:rFonts w:ascii="Arial" w:hAnsi="Arial" w:cs="Arial"/>
          <w:spacing w:val="44"/>
          <w:sz w:val="24"/>
          <w:szCs w:val="24"/>
        </w:rPr>
        <w:t xml:space="preserve"> </w:t>
      </w:r>
      <w:r w:rsidRPr="005355E5">
        <w:rPr>
          <w:rFonts w:ascii="Arial" w:hAnsi="Arial" w:cs="Arial"/>
          <w:sz w:val="24"/>
          <w:szCs w:val="24"/>
        </w:rPr>
        <w:t>cele</w:t>
      </w:r>
      <w:r w:rsidRPr="005355E5">
        <w:rPr>
          <w:rFonts w:ascii="Arial" w:hAnsi="Arial" w:cs="Arial"/>
          <w:spacing w:val="43"/>
          <w:sz w:val="24"/>
          <w:szCs w:val="24"/>
        </w:rPr>
        <w:t xml:space="preserve"> </w:t>
      </w:r>
      <w:r w:rsidRPr="005355E5">
        <w:rPr>
          <w:rFonts w:ascii="Arial" w:hAnsi="Arial" w:cs="Arial"/>
          <w:sz w:val="24"/>
          <w:szCs w:val="24"/>
        </w:rPr>
        <w:t>mai</w:t>
      </w:r>
      <w:r w:rsidRPr="005355E5">
        <w:rPr>
          <w:rFonts w:ascii="Arial" w:hAnsi="Arial" w:cs="Arial"/>
          <w:spacing w:val="46"/>
          <w:sz w:val="24"/>
          <w:szCs w:val="24"/>
        </w:rPr>
        <w:t xml:space="preserve"> </w:t>
      </w:r>
      <w:r w:rsidRPr="005355E5">
        <w:rPr>
          <w:rFonts w:ascii="Arial" w:hAnsi="Arial" w:cs="Arial"/>
          <w:sz w:val="24"/>
          <w:szCs w:val="24"/>
        </w:rPr>
        <w:t>ridicate</w:t>
      </w:r>
      <w:r w:rsidRPr="005355E5">
        <w:rPr>
          <w:rFonts w:ascii="Arial" w:hAnsi="Arial" w:cs="Arial"/>
          <w:spacing w:val="47"/>
          <w:sz w:val="24"/>
          <w:szCs w:val="24"/>
        </w:rPr>
        <w:t xml:space="preserve"> </w:t>
      </w:r>
      <w:r w:rsidRPr="005355E5">
        <w:rPr>
          <w:rFonts w:ascii="Arial" w:hAnsi="Arial" w:cs="Arial"/>
          <w:sz w:val="24"/>
          <w:szCs w:val="24"/>
        </w:rPr>
        <w:t>din</w:t>
      </w:r>
      <w:r w:rsidRPr="005355E5">
        <w:rPr>
          <w:rFonts w:ascii="Arial" w:hAnsi="Arial" w:cs="Arial"/>
          <w:spacing w:val="45"/>
          <w:sz w:val="24"/>
          <w:szCs w:val="24"/>
        </w:rPr>
        <w:t xml:space="preserve"> </w:t>
      </w:r>
      <w:r w:rsidRPr="005355E5">
        <w:rPr>
          <w:rFonts w:ascii="Arial" w:hAnsi="Arial" w:cs="Arial"/>
          <w:sz w:val="24"/>
          <w:szCs w:val="24"/>
        </w:rPr>
        <w:t>România</w:t>
      </w:r>
      <w:r w:rsidRPr="005355E5">
        <w:rPr>
          <w:rFonts w:ascii="Arial" w:hAnsi="Arial" w:cs="Arial"/>
          <w:spacing w:val="46"/>
          <w:sz w:val="24"/>
          <w:szCs w:val="24"/>
        </w:rPr>
        <w:t xml:space="preserve"> </w:t>
      </w:r>
      <w:r w:rsidRPr="005355E5">
        <w:rPr>
          <w:rFonts w:ascii="Arial" w:hAnsi="Arial" w:cs="Arial"/>
          <w:sz w:val="24"/>
          <w:szCs w:val="24"/>
        </w:rPr>
        <w:t>–</w:t>
      </w:r>
      <w:r w:rsidRPr="005355E5">
        <w:rPr>
          <w:rFonts w:ascii="Arial" w:hAnsi="Arial" w:cs="Arial"/>
          <w:spacing w:val="45"/>
          <w:sz w:val="24"/>
          <w:szCs w:val="24"/>
        </w:rPr>
        <w:t xml:space="preserve"> </w:t>
      </w:r>
      <w:r w:rsidRPr="005355E5">
        <w:rPr>
          <w:rFonts w:ascii="Arial" w:hAnsi="Arial" w:cs="Arial"/>
          <w:sz w:val="24"/>
          <w:szCs w:val="24"/>
        </w:rPr>
        <w:t>55%</w:t>
      </w:r>
      <w:r w:rsidRPr="005355E5">
        <w:rPr>
          <w:rFonts w:ascii="Arial" w:hAnsi="Arial" w:cs="Arial"/>
          <w:spacing w:val="43"/>
          <w:sz w:val="24"/>
          <w:szCs w:val="24"/>
        </w:rPr>
        <w:t xml:space="preserve"> </w:t>
      </w:r>
      <w:r w:rsidRPr="005355E5">
        <w:rPr>
          <w:rFonts w:ascii="Arial" w:hAnsi="Arial" w:cs="Arial"/>
          <w:sz w:val="24"/>
          <w:szCs w:val="24"/>
        </w:rPr>
        <w:t>creștere,</w:t>
      </w:r>
      <w:r w:rsidRPr="005355E5">
        <w:rPr>
          <w:rFonts w:ascii="Arial" w:hAnsi="Arial" w:cs="Arial"/>
          <w:spacing w:val="45"/>
          <w:sz w:val="24"/>
          <w:szCs w:val="24"/>
        </w:rPr>
        <w:t xml:space="preserve"> </w:t>
      </w:r>
      <w:r w:rsidRPr="005355E5">
        <w:rPr>
          <w:rFonts w:ascii="Arial" w:hAnsi="Arial" w:cs="Arial"/>
          <w:sz w:val="24"/>
          <w:szCs w:val="24"/>
        </w:rPr>
        <w:t>a</w:t>
      </w:r>
      <w:r w:rsidRPr="005355E5">
        <w:rPr>
          <w:rFonts w:ascii="Arial" w:hAnsi="Arial" w:cs="Arial"/>
          <w:spacing w:val="45"/>
          <w:sz w:val="24"/>
          <w:szCs w:val="24"/>
        </w:rPr>
        <w:t xml:space="preserve"> </w:t>
      </w:r>
      <w:r w:rsidRPr="005355E5">
        <w:rPr>
          <w:rFonts w:ascii="Arial" w:hAnsi="Arial" w:cs="Arial"/>
          <w:sz w:val="24"/>
          <w:szCs w:val="24"/>
        </w:rPr>
        <w:t>doua</w:t>
      </w:r>
      <w:r w:rsidRPr="005355E5">
        <w:rPr>
          <w:rFonts w:ascii="Arial" w:hAnsi="Arial" w:cs="Arial"/>
          <w:spacing w:val="45"/>
          <w:sz w:val="24"/>
          <w:szCs w:val="24"/>
        </w:rPr>
        <w:t xml:space="preserve"> </w:t>
      </w:r>
      <w:r w:rsidRPr="005355E5">
        <w:rPr>
          <w:rFonts w:ascii="Arial" w:hAnsi="Arial" w:cs="Arial"/>
          <w:sz w:val="24"/>
          <w:szCs w:val="24"/>
        </w:rPr>
        <w:t>după regiunea</w:t>
      </w:r>
      <w:r w:rsidR="006A3266">
        <w:rPr>
          <w:rFonts w:ascii="Arial" w:hAnsi="Arial" w:cs="Arial"/>
          <w:sz w:val="24"/>
          <w:szCs w:val="24"/>
        </w:rPr>
        <w:t xml:space="preserve"> </w:t>
      </w:r>
      <w:r w:rsidRPr="005355E5">
        <w:rPr>
          <w:rFonts w:ascii="Arial" w:hAnsi="Arial" w:cs="Arial"/>
          <w:sz w:val="24"/>
          <w:szCs w:val="24"/>
        </w:rPr>
        <w:t>București-Ilfov, unde creșterea a fost de 60%. Creșterea per ansamblu</w:t>
      </w:r>
      <w:r w:rsidRPr="005355E5">
        <w:rPr>
          <w:rFonts w:ascii="Arial" w:hAnsi="Arial" w:cs="Arial"/>
          <w:spacing w:val="39"/>
          <w:sz w:val="24"/>
          <w:szCs w:val="24"/>
        </w:rPr>
        <w:t xml:space="preserve"> </w:t>
      </w:r>
      <w:r w:rsidRPr="005355E5">
        <w:rPr>
          <w:rFonts w:ascii="Arial" w:hAnsi="Arial" w:cs="Arial"/>
          <w:sz w:val="24"/>
          <w:szCs w:val="24"/>
        </w:rPr>
        <w:t>a</w:t>
      </w:r>
      <w:r w:rsidRPr="005355E5">
        <w:rPr>
          <w:rFonts w:ascii="Arial" w:hAnsi="Arial" w:cs="Arial"/>
          <w:spacing w:val="2"/>
          <w:sz w:val="24"/>
          <w:szCs w:val="24"/>
        </w:rPr>
        <w:t xml:space="preserve"> </w:t>
      </w:r>
      <w:r w:rsidRPr="005355E5">
        <w:rPr>
          <w:rFonts w:ascii="Arial" w:hAnsi="Arial" w:cs="Arial"/>
          <w:sz w:val="24"/>
          <w:szCs w:val="24"/>
        </w:rPr>
        <w:t>României</w:t>
      </w:r>
      <w:r w:rsidRPr="005355E5">
        <w:rPr>
          <w:rFonts w:ascii="Arial" w:hAnsi="Arial" w:cs="Arial"/>
          <w:w w:val="99"/>
          <w:sz w:val="24"/>
          <w:szCs w:val="24"/>
        </w:rPr>
        <w:t xml:space="preserve"> </w:t>
      </w:r>
      <w:r w:rsidRPr="005355E5">
        <w:rPr>
          <w:rFonts w:ascii="Arial" w:hAnsi="Arial" w:cs="Arial"/>
          <w:sz w:val="24"/>
          <w:szCs w:val="24"/>
        </w:rPr>
        <w:t>a</w:t>
      </w:r>
      <w:r w:rsidRPr="005355E5">
        <w:rPr>
          <w:rFonts w:ascii="Arial" w:hAnsi="Arial" w:cs="Arial"/>
          <w:spacing w:val="-13"/>
          <w:sz w:val="24"/>
          <w:szCs w:val="24"/>
        </w:rPr>
        <w:t xml:space="preserve"> </w:t>
      </w:r>
      <w:r w:rsidRPr="005355E5">
        <w:rPr>
          <w:rFonts w:ascii="Arial" w:hAnsi="Arial" w:cs="Arial"/>
          <w:sz w:val="24"/>
          <w:szCs w:val="24"/>
        </w:rPr>
        <w:t>fost</w:t>
      </w:r>
      <w:r w:rsidRPr="005355E5">
        <w:rPr>
          <w:rFonts w:ascii="Arial" w:hAnsi="Arial" w:cs="Arial"/>
          <w:spacing w:val="-13"/>
          <w:sz w:val="24"/>
          <w:szCs w:val="24"/>
        </w:rPr>
        <w:t xml:space="preserve"> </w:t>
      </w:r>
      <w:r w:rsidR="00BC04FB">
        <w:rPr>
          <w:rFonts w:ascii="Arial" w:hAnsi="Arial" w:cs="Arial"/>
          <w:spacing w:val="-13"/>
          <w:sz w:val="24"/>
          <w:szCs w:val="24"/>
        </w:rPr>
        <w:t xml:space="preserve"> </w:t>
      </w:r>
      <w:r w:rsidRPr="005355E5">
        <w:rPr>
          <w:rFonts w:ascii="Arial" w:hAnsi="Arial" w:cs="Arial"/>
          <w:sz w:val="24"/>
          <w:szCs w:val="24"/>
        </w:rPr>
        <w:t>de</w:t>
      </w:r>
      <w:r w:rsidRPr="005355E5">
        <w:rPr>
          <w:rFonts w:ascii="Arial" w:hAnsi="Arial" w:cs="Arial"/>
          <w:spacing w:val="-13"/>
          <w:sz w:val="24"/>
          <w:szCs w:val="24"/>
        </w:rPr>
        <w:t xml:space="preserve"> </w:t>
      </w:r>
      <w:r w:rsidR="00BC04FB">
        <w:rPr>
          <w:rFonts w:ascii="Arial" w:hAnsi="Arial" w:cs="Arial"/>
          <w:spacing w:val="-13"/>
          <w:sz w:val="24"/>
          <w:szCs w:val="24"/>
        </w:rPr>
        <w:t xml:space="preserve">44%,  </w:t>
      </w:r>
      <w:r w:rsidRPr="005355E5">
        <w:rPr>
          <w:rFonts w:ascii="Arial" w:hAnsi="Arial" w:cs="Arial"/>
          <w:sz w:val="24"/>
          <w:szCs w:val="24"/>
        </w:rPr>
        <w:t>ceea</w:t>
      </w:r>
      <w:r w:rsidRPr="005355E5">
        <w:rPr>
          <w:rFonts w:ascii="Arial" w:hAnsi="Arial" w:cs="Arial"/>
          <w:spacing w:val="-13"/>
          <w:sz w:val="24"/>
          <w:szCs w:val="24"/>
        </w:rPr>
        <w:t xml:space="preserve"> </w:t>
      </w:r>
      <w:r w:rsidRPr="005355E5">
        <w:rPr>
          <w:rFonts w:ascii="Arial" w:hAnsi="Arial" w:cs="Arial"/>
          <w:sz w:val="24"/>
          <w:szCs w:val="24"/>
        </w:rPr>
        <w:t>ce</w:t>
      </w:r>
      <w:r w:rsidRPr="005355E5">
        <w:rPr>
          <w:rFonts w:ascii="Arial" w:hAnsi="Arial" w:cs="Arial"/>
          <w:spacing w:val="-12"/>
          <w:sz w:val="24"/>
          <w:szCs w:val="24"/>
        </w:rPr>
        <w:t xml:space="preserve"> </w:t>
      </w:r>
      <w:r w:rsidRPr="005355E5">
        <w:rPr>
          <w:rFonts w:ascii="Arial" w:hAnsi="Arial" w:cs="Arial"/>
          <w:sz w:val="24"/>
          <w:szCs w:val="24"/>
        </w:rPr>
        <w:t>înseamnă</w:t>
      </w:r>
      <w:r w:rsidRPr="005355E5">
        <w:rPr>
          <w:rFonts w:ascii="Arial" w:hAnsi="Arial" w:cs="Arial"/>
          <w:spacing w:val="-13"/>
          <w:sz w:val="24"/>
          <w:szCs w:val="24"/>
        </w:rPr>
        <w:t xml:space="preserve"> </w:t>
      </w:r>
      <w:r w:rsidRPr="005355E5">
        <w:rPr>
          <w:rFonts w:ascii="Arial" w:hAnsi="Arial" w:cs="Arial"/>
          <w:sz w:val="24"/>
          <w:szCs w:val="24"/>
        </w:rPr>
        <w:t>că</w:t>
      </w:r>
      <w:r w:rsidR="007D4BA4">
        <w:rPr>
          <w:rFonts w:ascii="Arial" w:hAnsi="Arial" w:cs="Arial"/>
          <w:sz w:val="24"/>
          <w:szCs w:val="24"/>
        </w:rPr>
        <w:t>,</w:t>
      </w:r>
      <w:r w:rsidRPr="005355E5">
        <w:rPr>
          <w:rFonts w:ascii="Arial" w:hAnsi="Arial" w:cs="Arial"/>
          <w:spacing w:val="-13"/>
          <w:sz w:val="24"/>
          <w:szCs w:val="24"/>
        </w:rPr>
        <w:t xml:space="preserve"> </w:t>
      </w:r>
      <w:r w:rsidRPr="005355E5">
        <w:rPr>
          <w:rFonts w:ascii="Arial" w:hAnsi="Arial" w:cs="Arial"/>
          <w:sz w:val="24"/>
          <w:szCs w:val="24"/>
        </w:rPr>
        <w:t>creșterea</w:t>
      </w:r>
      <w:r w:rsidRPr="005355E5">
        <w:rPr>
          <w:rFonts w:ascii="Arial" w:hAnsi="Arial" w:cs="Arial"/>
          <w:spacing w:val="-13"/>
          <w:sz w:val="24"/>
          <w:szCs w:val="24"/>
        </w:rPr>
        <w:t xml:space="preserve"> </w:t>
      </w:r>
      <w:r w:rsidRPr="005355E5">
        <w:rPr>
          <w:rFonts w:ascii="Arial" w:hAnsi="Arial" w:cs="Arial"/>
          <w:sz w:val="24"/>
          <w:szCs w:val="24"/>
        </w:rPr>
        <w:t>regiunii</w:t>
      </w:r>
      <w:r w:rsidRPr="005355E5">
        <w:rPr>
          <w:rFonts w:ascii="Arial" w:hAnsi="Arial" w:cs="Arial"/>
          <w:spacing w:val="-13"/>
          <w:sz w:val="24"/>
          <w:szCs w:val="24"/>
        </w:rPr>
        <w:t xml:space="preserve"> </w:t>
      </w:r>
      <w:r w:rsidRPr="005355E5">
        <w:rPr>
          <w:rFonts w:ascii="Arial" w:hAnsi="Arial" w:cs="Arial"/>
          <w:sz w:val="24"/>
          <w:szCs w:val="24"/>
        </w:rPr>
        <w:t>se</w:t>
      </w:r>
      <w:r w:rsidRPr="005355E5">
        <w:rPr>
          <w:rFonts w:ascii="Arial" w:hAnsi="Arial" w:cs="Arial"/>
          <w:spacing w:val="-13"/>
          <w:sz w:val="24"/>
          <w:szCs w:val="24"/>
        </w:rPr>
        <w:t xml:space="preserve"> </w:t>
      </w:r>
      <w:r w:rsidRPr="005355E5">
        <w:rPr>
          <w:rFonts w:ascii="Arial" w:hAnsi="Arial" w:cs="Arial"/>
          <w:sz w:val="24"/>
          <w:szCs w:val="24"/>
        </w:rPr>
        <w:t>situează</w:t>
      </w:r>
      <w:r w:rsidRPr="005355E5">
        <w:rPr>
          <w:rFonts w:ascii="Arial" w:hAnsi="Arial" w:cs="Arial"/>
          <w:spacing w:val="-13"/>
          <w:sz w:val="24"/>
          <w:szCs w:val="24"/>
        </w:rPr>
        <w:t xml:space="preserve"> </w:t>
      </w:r>
      <w:r w:rsidRPr="005355E5">
        <w:rPr>
          <w:rFonts w:ascii="Arial" w:hAnsi="Arial" w:cs="Arial"/>
          <w:sz w:val="24"/>
          <w:szCs w:val="24"/>
        </w:rPr>
        <w:t>deasupra</w:t>
      </w:r>
      <w:r w:rsidRPr="005355E5">
        <w:rPr>
          <w:rFonts w:ascii="Arial" w:hAnsi="Arial" w:cs="Arial"/>
          <w:spacing w:val="-13"/>
          <w:sz w:val="24"/>
          <w:szCs w:val="24"/>
        </w:rPr>
        <w:t xml:space="preserve"> </w:t>
      </w:r>
      <w:r w:rsidRPr="005355E5">
        <w:rPr>
          <w:rFonts w:ascii="Arial" w:hAnsi="Arial" w:cs="Arial"/>
          <w:sz w:val="24"/>
          <w:szCs w:val="24"/>
        </w:rPr>
        <w:t>nivelului</w:t>
      </w:r>
      <w:r w:rsidRPr="005355E5">
        <w:rPr>
          <w:rFonts w:ascii="Arial" w:hAnsi="Arial" w:cs="Arial"/>
          <w:spacing w:val="-13"/>
          <w:sz w:val="24"/>
          <w:szCs w:val="24"/>
        </w:rPr>
        <w:t xml:space="preserve"> </w:t>
      </w:r>
      <w:r w:rsidRPr="005355E5">
        <w:rPr>
          <w:rFonts w:ascii="Arial" w:hAnsi="Arial" w:cs="Arial"/>
          <w:sz w:val="24"/>
          <w:szCs w:val="24"/>
        </w:rPr>
        <w:t>național.</w:t>
      </w:r>
    </w:p>
    <w:p w:rsidR="00DF7F78" w:rsidRDefault="007F577B" w:rsidP="00FA2298">
      <w:pPr>
        <w:spacing w:after="0" w:line="240" w:lineRule="auto"/>
        <w:ind w:left="-90"/>
        <w:jc w:val="both"/>
        <w:rPr>
          <w:rFonts w:ascii="Arial" w:hAnsi="Arial" w:cs="Arial"/>
          <w:sz w:val="24"/>
          <w:szCs w:val="24"/>
        </w:rPr>
      </w:pPr>
      <w:r w:rsidRPr="005355E5">
        <w:rPr>
          <w:rFonts w:ascii="Arial" w:hAnsi="Arial" w:cs="Arial"/>
          <w:sz w:val="24"/>
          <w:szCs w:val="24"/>
        </w:rPr>
        <w:t>În perioada 2000-2011, în regiune cele mai mari creșteri ale densității s-au observat în jud. Timiș (72%) și Arad (57%). Creșteri s-au înregistrat și în jud. Hunedoara și Caraș- Severin,</w:t>
      </w:r>
      <w:r w:rsidRPr="005355E5">
        <w:rPr>
          <w:rFonts w:ascii="Arial" w:hAnsi="Arial" w:cs="Arial"/>
          <w:spacing w:val="-10"/>
          <w:sz w:val="24"/>
          <w:szCs w:val="24"/>
        </w:rPr>
        <w:t xml:space="preserve"> </w:t>
      </w:r>
      <w:r w:rsidRPr="005355E5">
        <w:rPr>
          <w:rFonts w:ascii="Arial" w:hAnsi="Arial" w:cs="Arial"/>
          <w:sz w:val="24"/>
          <w:szCs w:val="24"/>
        </w:rPr>
        <w:t>însă</w:t>
      </w:r>
      <w:r w:rsidRPr="005355E5">
        <w:rPr>
          <w:rFonts w:ascii="Arial" w:hAnsi="Arial" w:cs="Arial"/>
          <w:spacing w:val="-11"/>
          <w:sz w:val="24"/>
          <w:szCs w:val="24"/>
        </w:rPr>
        <w:t xml:space="preserve"> </w:t>
      </w:r>
      <w:r w:rsidRPr="005355E5">
        <w:rPr>
          <w:rFonts w:ascii="Arial" w:hAnsi="Arial" w:cs="Arial"/>
          <w:sz w:val="24"/>
          <w:szCs w:val="24"/>
        </w:rPr>
        <w:t>acestea</w:t>
      </w:r>
      <w:r w:rsidRPr="005355E5">
        <w:rPr>
          <w:rFonts w:ascii="Arial" w:hAnsi="Arial" w:cs="Arial"/>
          <w:spacing w:val="-9"/>
          <w:sz w:val="24"/>
          <w:szCs w:val="24"/>
        </w:rPr>
        <w:t xml:space="preserve"> </w:t>
      </w:r>
      <w:r w:rsidRPr="005355E5">
        <w:rPr>
          <w:rFonts w:ascii="Arial" w:hAnsi="Arial" w:cs="Arial"/>
          <w:sz w:val="24"/>
          <w:szCs w:val="24"/>
        </w:rPr>
        <w:t>au</w:t>
      </w:r>
      <w:r w:rsidRPr="005355E5">
        <w:rPr>
          <w:rFonts w:ascii="Arial" w:hAnsi="Arial" w:cs="Arial"/>
          <w:spacing w:val="-10"/>
          <w:sz w:val="24"/>
          <w:szCs w:val="24"/>
        </w:rPr>
        <w:t xml:space="preserve"> </w:t>
      </w:r>
      <w:r w:rsidRPr="005355E5">
        <w:rPr>
          <w:rFonts w:ascii="Arial" w:hAnsi="Arial" w:cs="Arial"/>
          <w:sz w:val="24"/>
          <w:szCs w:val="24"/>
        </w:rPr>
        <w:t>fost</w:t>
      </w:r>
      <w:r w:rsidRPr="005355E5">
        <w:rPr>
          <w:rFonts w:ascii="Arial" w:hAnsi="Arial" w:cs="Arial"/>
          <w:spacing w:val="-11"/>
          <w:sz w:val="24"/>
          <w:szCs w:val="24"/>
        </w:rPr>
        <w:t xml:space="preserve"> </w:t>
      </w:r>
      <w:r w:rsidRPr="005355E5">
        <w:rPr>
          <w:rFonts w:ascii="Arial" w:hAnsi="Arial" w:cs="Arial"/>
          <w:sz w:val="24"/>
          <w:szCs w:val="24"/>
        </w:rPr>
        <w:t>inferioare</w:t>
      </w:r>
      <w:r w:rsidRPr="005355E5">
        <w:rPr>
          <w:rFonts w:ascii="Arial" w:hAnsi="Arial" w:cs="Arial"/>
          <w:spacing w:val="-12"/>
          <w:sz w:val="24"/>
          <w:szCs w:val="24"/>
        </w:rPr>
        <w:t xml:space="preserve"> </w:t>
      </w:r>
      <w:r w:rsidRPr="005355E5">
        <w:rPr>
          <w:rFonts w:ascii="Arial" w:hAnsi="Arial" w:cs="Arial"/>
          <w:sz w:val="24"/>
          <w:szCs w:val="24"/>
        </w:rPr>
        <w:t>comparativ</w:t>
      </w:r>
      <w:r w:rsidRPr="005355E5">
        <w:rPr>
          <w:rFonts w:ascii="Arial" w:hAnsi="Arial" w:cs="Arial"/>
          <w:spacing w:val="-11"/>
          <w:sz w:val="24"/>
          <w:szCs w:val="24"/>
        </w:rPr>
        <w:t xml:space="preserve"> </w:t>
      </w:r>
      <w:r w:rsidRPr="005355E5">
        <w:rPr>
          <w:rFonts w:ascii="Arial" w:hAnsi="Arial" w:cs="Arial"/>
          <w:sz w:val="24"/>
          <w:szCs w:val="24"/>
        </w:rPr>
        <w:t>cu</w:t>
      </w:r>
      <w:r w:rsidRPr="005355E5">
        <w:rPr>
          <w:rFonts w:ascii="Arial" w:hAnsi="Arial" w:cs="Arial"/>
          <w:spacing w:val="-11"/>
          <w:sz w:val="24"/>
          <w:szCs w:val="24"/>
        </w:rPr>
        <w:t xml:space="preserve"> </w:t>
      </w:r>
      <w:r w:rsidRPr="005355E5">
        <w:rPr>
          <w:rFonts w:ascii="Arial" w:hAnsi="Arial" w:cs="Arial"/>
          <w:sz w:val="24"/>
          <w:szCs w:val="24"/>
        </w:rPr>
        <w:t>nivelul</w:t>
      </w:r>
      <w:r w:rsidRPr="005355E5">
        <w:rPr>
          <w:rFonts w:ascii="Arial" w:hAnsi="Arial" w:cs="Arial"/>
          <w:spacing w:val="-11"/>
          <w:sz w:val="24"/>
          <w:szCs w:val="24"/>
        </w:rPr>
        <w:t xml:space="preserve"> </w:t>
      </w:r>
      <w:r w:rsidRPr="005355E5">
        <w:rPr>
          <w:rFonts w:ascii="Arial" w:hAnsi="Arial" w:cs="Arial"/>
          <w:sz w:val="24"/>
          <w:szCs w:val="24"/>
        </w:rPr>
        <w:t>național:</w:t>
      </w:r>
      <w:r w:rsidRPr="005355E5">
        <w:rPr>
          <w:rFonts w:ascii="Arial" w:hAnsi="Arial" w:cs="Arial"/>
          <w:spacing w:val="-11"/>
          <w:sz w:val="24"/>
          <w:szCs w:val="24"/>
        </w:rPr>
        <w:t xml:space="preserve"> </w:t>
      </w:r>
      <w:r w:rsidRPr="005355E5">
        <w:rPr>
          <w:rFonts w:ascii="Arial" w:hAnsi="Arial" w:cs="Arial"/>
          <w:sz w:val="24"/>
          <w:szCs w:val="24"/>
        </w:rPr>
        <w:t>jud.</w:t>
      </w:r>
      <w:r w:rsidRPr="005355E5">
        <w:rPr>
          <w:rFonts w:ascii="Arial" w:hAnsi="Arial" w:cs="Arial"/>
          <w:spacing w:val="-10"/>
          <w:sz w:val="24"/>
          <w:szCs w:val="24"/>
        </w:rPr>
        <w:t xml:space="preserve"> </w:t>
      </w:r>
      <w:r w:rsidRPr="005355E5">
        <w:rPr>
          <w:rFonts w:ascii="Arial" w:hAnsi="Arial" w:cs="Arial"/>
          <w:sz w:val="24"/>
          <w:szCs w:val="24"/>
        </w:rPr>
        <w:t>Caraș-Severin</w:t>
      </w:r>
      <w:r w:rsidRPr="005355E5">
        <w:rPr>
          <w:rFonts w:ascii="Arial" w:hAnsi="Arial" w:cs="Arial"/>
          <w:spacing w:val="-10"/>
          <w:sz w:val="24"/>
          <w:szCs w:val="24"/>
        </w:rPr>
        <w:t xml:space="preserve"> </w:t>
      </w:r>
      <w:r w:rsidRPr="005355E5">
        <w:rPr>
          <w:rFonts w:ascii="Arial" w:hAnsi="Arial" w:cs="Arial"/>
          <w:sz w:val="24"/>
          <w:szCs w:val="24"/>
        </w:rPr>
        <w:t>(39</w:t>
      </w:r>
      <w:r w:rsidR="008708CC">
        <w:rPr>
          <w:rFonts w:ascii="Arial" w:hAnsi="Arial" w:cs="Arial"/>
          <w:sz w:val="24"/>
          <w:szCs w:val="24"/>
        </w:rPr>
        <w:t>%</w:t>
      </w:r>
      <w:r w:rsidRPr="005355E5">
        <w:rPr>
          <w:rFonts w:ascii="Arial" w:hAnsi="Arial" w:cs="Arial"/>
          <w:sz w:val="24"/>
          <w:szCs w:val="24"/>
        </w:rPr>
        <w:t>) și jud. Hunedoara</w:t>
      </w:r>
      <w:r w:rsidRPr="005355E5">
        <w:rPr>
          <w:rFonts w:ascii="Arial" w:hAnsi="Arial" w:cs="Arial"/>
          <w:spacing w:val="61"/>
          <w:sz w:val="24"/>
          <w:szCs w:val="24"/>
        </w:rPr>
        <w:t xml:space="preserve"> </w:t>
      </w:r>
      <w:r w:rsidRPr="005355E5">
        <w:rPr>
          <w:rFonts w:ascii="Arial" w:hAnsi="Arial" w:cs="Arial"/>
          <w:sz w:val="24"/>
          <w:szCs w:val="24"/>
        </w:rPr>
        <w:t>(29%).(</w:t>
      </w:r>
      <w:r w:rsidRPr="00DF7F78">
        <w:rPr>
          <w:rFonts w:ascii="Arial" w:hAnsi="Arial" w:cs="Arial"/>
          <w:i/>
          <w:sz w:val="24"/>
          <w:szCs w:val="24"/>
        </w:rPr>
        <w:t>PDR Regiunea Vest pag. 76</w:t>
      </w:r>
      <w:r w:rsidRPr="005355E5">
        <w:rPr>
          <w:rFonts w:ascii="Arial" w:hAnsi="Arial" w:cs="Arial"/>
          <w:sz w:val="24"/>
          <w:szCs w:val="24"/>
        </w:rPr>
        <w:t>).</w:t>
      </w:r>
    </w:p>
    <w:p w:rsidR="00DF7F78" w:rsidRDefault="0015668D" w:rsidP="00FA2298">
      <w:pPr>
        <w:spacing w:after="0" w:line="240" w:lineRule="auto"/>
        <w:ind w:left="-90"/>
        <w:jc w:val="both"/>
        <w:rPr>
          <w:rFonts w:ascii="Arial" w:hAnsi="Arial" w:cs="Arial"/>
          <w:sz w:val="24"/>
          <w:szCs w:val="24"/>
        </w:rPr>
      </w:pPr>
      <w:r w:rsidRPr="005355E5">
        <w:rPr>
          <w:rFonts w:ascii="Arial" w:hAnsi="Arial" w:cs="Arial"/>
          <w:sz w:val="24"/>
          <w:szCs w:val="24"/>
        </w:rPr>
        <w:t xml:space="preserve">Comparativ cu UE27, Regiunea Vest se caracterizează în principal printr-o </w:t>
      </w:r>
      <w:r w:rsidRPr="005355E5">
        <w:rPr>
          <w:rFonts w:ascii="Arial" w:hAnsi="Arial" w:cs="Arial"/>
          <w:b/>
          <w:sz w:val="24"/>
          <w:szCs w:val="24"/>
        </w:rPr>
        <w:t xml:space="preserve">pondere mai mare a ocupării în industrie </w:t>
      </w:r>
      <w:r w:rsidRPr="005355E5">
        <w:rPr>
          <w:rFonts w:ascii="Arial" w:hAnsi="Arial" w:cs="Arial"/>
          <w:sz w:val="24"/>
          <w:szCs w:val="24"/>
        </w:rPr>
        <w:t xml:space="preserve">(10,2 p.p. peste media UE27) </w:t>
      </w:r>
      <w:r w:rsidRPr="005355E5">
        <w:rPr>
          <w:rFonts w:ascii="Arial" w:hAnsi="Arial" w:cs="Arial"/>
          <w:b/>
          <w:sz w:val="24"/>
          <w:szCs w:val="24"/>
        </w:rPr>
        <w:t xml:space="preserve">şi agricultură </w:t>
      </w:r>
      <w:r w:rsidRPr="005355E5">
        <w:rPr>
          <w:rFonts w:ascii="Arial" w:hAnsi="Arial" w:cs="Arial"/>
          <w:sz w:val="24"/>
          <w:szCs w:val="24"/>
        </w:rPr>
        <w:t>(19,9 p.p. peste media UE27)</w:t>
      </w:r>
      <w:r w:rsidRPr="005355E5">
        <w:rPr>
          <w:rFonts w:ascii="Arial" w:hAnsi="Arial" w:cs="Arial"/>
          <w:b/>
          <w:sz w:val="24"/>
          <w:szCs w:val="24"/>
        </w:rPr>
        <w:t>, în timp ce ponderea sectorului construcţii, a informaţiilor şi comunicaţiilor</w:t>
      </w:r>
      <w:r w:rsidRPr="005355E5">
        <w:rPr>
          <w:rFonts w:ascii="Arial" w:hAnsi="Arial" w:cs="Arial"/>
          <w:b/>
          <w:spacing w:val="-17"/>
          <w:sz w:val="24"/>
          <w:szCs w:val="24"/>
        </w:rPr>
        <w:t xml:space="preserve"> </w:t>
      </w:r>
      <w:r w:rsidRPr="005355E5">
        <w:rPr>
          <w:rFonts w:ascii="Arial" w:hAnsi="Arial" w:cs="Arial"/>
          <w:b/>
          <w:sz w:val="24"/>
          <w:szCs w:val="24"/>
        </w:rPr>
        <w:t>şi</w:t>
      </w:r>
      <w:r w:rsidRPr="005355E5">
        <w:rPr>
          <w:rFonts w:ascii="Arial" w:hAnsi="Arial" w:cs="Arial"/>
          <w:b/>
          <w:spacing w:val="-18"/>
          <w:sz w:val="24"/>
          <w:szCs w:val="24"/>
        </w:rPr>
        <w:t xml:space="preserve"> </w:t>
      </w:r>
      <w:r w:rsidRPr="005355E5">
        <w:rPr>
          <w:rFonts w:ascii="Arial" w:hAnsi="Arial" w:cs="Arial"/>
          <w:b/>
          <w:sz w:val="24"/>
          <w:szCs w:val="24"/>
        </w:rPr>
        <w:t>a</w:t>
      </w:r>
      <w:r w:rsidRPr="005355E5">
        <w:rPr>
          <w:rFonts w:ascii="Arial" w:hAnsi="Arial" w:cs="Arial"/>
          <w:b/>
          <w:spacing w:val="-16"/>
          <w:sz w:val="24"/>
          <w:szCs w:val="24"/>
        </w:rPr>
        <w:t xml:space="preserve"> </w:t>
      </w:r>
      <w:r w:rsidRPr="005355E5">
        <w:rPr>
          <w:rFonts w:ascii="Arial" w:hAnsi="Arial" w:cs="Arial"/>
          <w:b/>
          <w:sz w:val="24"/>
          <w:szCs w:val="24"/>
        </w:rPr>
        <w:t>tanzacţiilor</w:t>
      </w:r>
      <w:r w:rsidRPr="005355E5">
        <w:rPr>
          <w:rFonts w:ascii="Arial" w:hAnsi="Arial" w:cs="Arial"/>
          <w:b/>
          <w:spacing w:val="-17"/>
          <w:sz w:val="24"/>
          <w:szCs w:val="24"/>
        </w:rPr>
        <w:t xml:space="preserve"> </w:t>
      </w:r>
      <w:r w:rsidRPr="005355E5">
        <w:rPr>
          <w:rFonts w:ascii="Arial" w:hAnsi="Arial" w:cs="Arial"/>
          <w:b/>
          <w:sz w:val="24"/>
          <w:szCs w:val="24"/>
        </w:rPr>
        <w:t>imobiliare</w:t>
      </w:r>
      <w:r w:rsidRPr="005355E5">
        <w:rPr>
          <w:rFonts w:ascii="Arial" w:hAnsi="Arial" w:cs="Arial"/>
          <w:b/>
          <w:spacing w:val="-17"/>
          <w:sz w:val="24"/>
          <w:szCs w:val="24"/>
        </w:rPr>
        <w:t xml:space="preserve"> </w:t>
      </w:r>
      <w:r w:rsidRPr="005355E5">
        <w:rPr>
          <w:rFonts w:ascii="Arial" w:hAnsi="Arial" w:cs="Arial"/>
          <w:b/>
          <w:sz w:val="24"/>
          <w:szCs w:val="24"/>
        </w:rPr>
        <w:t>sunt</w:t>
      </w:r>
      <w:r w:rsidRPr="005355E5">
        <w:rPr>
          <w:rFonts w:ascii="Arial" w:hAnsi="Arial" w:cs="Arial"/>
          <w:b/>
          <w:spacing w:val="-17"/>
          <w:sz w:val="24"/>
          <w:szCs w:val="24"/>
        </w:rPr>
        <w:t xml:space="preserve"> </w:t>
      </w:r>
      <w:r w:rsidRPr="005355E5">
        <w:rPr>
          <w:rFonts w:ascii="Arial" w:hAnsi="Arial" w:cs="Arial"/>
          <w:b/>
          <w:sz w:val="24"/>
          <w:szCs w:val="24"/>
        </w:rPr>
        <w:t>similare</w:t>
      </w:r>
      <w:r w:rsidRPr="005355E5">
        <w:rPr>
          <w:rFonts w:ascii="Arial" w:hAnsi="Arial" w:cs="Arial"/>
          <w:b/>
          <w:spacing w:val="-17"/>
          <w:sz w:val="24"/>
          <w:szCs w:val="24"/>
        </w:rPr>
        <w:t xml:space="preserve"> </w:t>
      </w:r>
      <w:r w:rsidRPr="005355E5">
        <w:rPr>
          <w:rFonts w:ascii="Arial" w:hAnsi="Arial" w:cs="Arial"/>
          <w:b/>
          <w:sz w:val="24"/>
          <w:szCs w:val="24"/>
        </w:rPr>
        <w:t>cu</w:t>
      </w:r>
      <w:r w:rsidRPr="005355E5">
        <w:rPr>
          <w:rFonts w:ascii="Arial" w:hAnsi="Arial" w:cs="Arial"/>
          <w:b/>
          <w:spacing w:val="-18"/>
          <w:sz w:val="24"/>
          <w:szCs w:val="24"/>
        </w:rPr>
        <w:t xml:space="preserve"> </w:t>
      </w:r>
      <w:r w:rsidRPr="005355E5">
        <w:rPr>
          <w:rFonts w:ascii="Arial" w:hAnsi="Arial" w:cs="Arial"/>
          <w:b/>
          <w:sz w:val="24"/>
          <w:szCs w:val="24"/>
        </w:rPr>
        <w:t>media</w:t>
      </w:r>
      <w:r w:rsidRPr="005355E5">
        <w:rPr>
          <w:rFonts w:ascii="Arial" w:hAnsi="Arial" w:cs="Arial"/>
          <w:b/>
          <w:spacing w:val="-21"/>
          <w:sz w:val="24"/>
          <w:szCs w:val="24"/>
        </w:rPr>
        <w:t xml:space="preserve"> </w:t>
      </w:r>
      <w:r w:rsidRPr="005355E5">
        <w:rPr>
          <w:rFonts w:ascii="Arial" w:hAnsi="Arial" w:cs="Arial"/>
          <w:b/>
          <w:sz w:val="24"/>
          <w:szCs w:val="24"/>
        </w:rPr>
        <w:t>UE27</w:t>
      </w:r>
      <w:r w:rsidRPr="005355E5">
        <w:rPr>
          <w:rFonts w:ascii="Arial" w:hAnsi="Arial" w:cs="Arial"/>
          <w:sz w:val="24"/>
          <w:szCs w:val="24"/>
        </w:rPr>
        <w:t>.</w:t>
      </w:r>
      <w:r w:rsidRPr="005355E5">
        <w:rPr>
          <w:rFonts w:ascii="Arial" w:hAnsi="Arial" w:cs="Arial"/>
          <w:spacing w:val="-18"/>
          <w:sz w:val="24"/>
          <w:szCs w:val="24"/>
        </w:rPr>
        <w:t xml:space="preserve"> </w:t>
      </w:r>
      <w:r w:rsidRPr="005355E5">
        <w:rPr>
          <w:rFonts w:ascii="Arial" w:hAnsi="Arial" w:cs="Arial"/>
          <w:sz w:val="24"/>
          <w:szCs w:val="24"/>
        </w:rPr>
        <w:t>Acest</w:t>
      </w:r>
      <w:r w:rsidRPr="005355E5">
        <w:rPr>
          <w:rFonts w:ascii="Arial" w:hAnsi="Arial" w:cs="Arial"/>
          <w:spacing w:val="-19"/>
          <w:sz w:val="24"/>
          <w:szCs w:val="24"/>
        </w:rPr>
        <w:t xml:space="preserve"> </w:t>
      </w:r>
      <w:r w:rsidRPr="005355E5">
        <w:rPr>
          <w:rFonts w:ascii="Arial" w:hAnsi="Arial" w:cs="Arial"/>
          <w:sz w:val="24"/>
          <w:szCs w:val="24"/>
        </w:rPr>
        <w:t>lucru</w:t>
      </w:r>
      <w:r w:rsidRPr="005355E5">
        <w:rPr>
          <w:rFonts w:ascii="Arial" w:hAnsi="Arial" w:cs="Arial"/>
          <w:spacing w:val="-18"/>
          <w:sz w:val="24"/>
          <w:szCs w:val="24"/>
        </w:rPr>
        <w:t xml:space="preserve"> </w:t>
      </w:r>
      <w:r w:rsidRPr="005355E5">
        <w:rPr>
          <w:rFonts w:ascii="Arial" w:hAnsi="Arial" w:cs="Arial"/>
          <w:sz w:val="24"/>
          <w:szCs w:val="24"/>
        </w:rPr>
        <w:t>indică faptul</w:t>
      </w:r>
      <w:r w:rsidRPr="005355E5">
        <w:rPr>
          <w:rFonts w:ascii="Arial" w:hAnsi="Arial" w:cs="Arial"/>
          <w:spacing w:val="33"/>
          <w:sz w:val="24"/>
          <w:szCs w:val="24"/>
        </w:rPr>
        <w:t xml:space="preserve"> </w:t>
      </w:r>
      <w:r w:rsidRPr="005355E5">
        <w:rPr>
          <w:rFonts w:ascii="Arial" w:hAnsi="Arial" w:cs="Arial"/>
          <w:sz w:val="24"/>
          <w:szCs w:val="24"/>
        </w:rPr>
        <w:t>că</w:t>
      </w:r>
      <w:r w:rsidRPr="005355E5">
        <w:rPr>
          <w:rFonts w:ascii="Arial" w:hAnsi="Arial" w:cs="Arial"/>
          <w:spacing w:val="33"/>
          <w:sz w:val="24"/>
          <w:szCs w:val="24"/>
        </w:rPr>
        <w:t xml:space="preserve"> </w:t>
      </w:r>
      <w:r w:rsidRPr="005355E5">
        <w:rPr>
          <w:rFonts w:ascii="Arial" w:hAnsi="Arial" w:cs="Arial"/>
          <w:sz w:val="24"/>
          <w:szCs w:val="24"/>
        </w:rPr>
        <w:t>Regiunea</w:t>
      </w:r>
      <w:r w:rsidRPr="005355E5">
        <w:rPr>
          <w:rFonts w:ascii="Arial" w:hAnsi="Arial" w:cs="Arial"/>
          <w:spacing w:val="34"/>
          <w:sz w:val="24"/>
          <w:szCs w:val="24"/>
        </w:rPr>
        <w:t xml:space="preserve"> </w:t>
      </w:r>
      <w:r w:rsidRPr="005355E5">
        <w:rPr>
          <w:rFonts w:ascii="Arial" w:hAnsi="Arial" w:cs="Arial"/>
          <w:sz w:val="24"/>
          <w:szCs w:val="24"/>
        </w:rPr>
        <w:t>Vest</w:t>
      </w:r>
      <w:r w:rsidRPr="005355E5">
        <w:rPr>
          <w:rFonts w:ascii="Arial" w:hAnsi="Arial" w:cs="Arial"/>
          <w:spacing w:val="34"/>
          <w:sz w:val="24"/>
          <w:szCs w:val="24"/>
        </w:rPr>
        <w:t xml:space="preserve"> </w:t>
      </w:r>
      <w:r w:rsidRPr="005355E5">
        <w:rPr>
          <w:rFonts w:ascii="Arial" w:hAnsi="Arial" w:cs="Arial"/>
          <w:sz w:val="24"/>
          <w:szCs w:val="24"/>
        </w:rPr>
        <w:t>este</w:t>
      </w:r>
      <w:r w:rsidRPr="005355E5">
        <w:rPr>
          <w:rFonts w:ascii="Arial" w:hAnsi="Arial" w:cs="Arial"/>
          <w:spacing w:val="33"/>
          <w:sz w:val="24"/>
          <w:szCs w:val="24"/>
        </w:rPr>
        <w:t xml:space="preserve"> </w:t>
      </w:r>
      <w:r w:rsidRPr="005355E5">
        <w:rPr>
          <w:rFonts w:ascii="Arial" w:hAnsi="Arial" w:cs="Arial"/>
          <w:sz w:val="24"/>
          <w:szCs w:val="24"/>
        </w:rPr>
        <w:t>în</w:t>
      </w:r>
      <w:r w:rsidRPr="005355E5">
        <w:rPr>
          <w:rFonts w:ascii="Arial" w:hAnsi="Arial" w:cs="Arial"/>
          <w:spacing w:val="34"/>
          <w:sz w:val="24"/>
          <w:szCs w:val="24"/>
        </w:rPr>
        <w:t xml:space="preserve"> </w:t>
      </w:r>
      <w:r w:rsidRPr="005355E5">
        <w:rPr>
          <w:rFonts w:ascii="Arial" w:hAnsi="Arial" w:cs="Arial"/>
          <w:sz w:val="24"/>
          <w:szCs w:val="24"/>
        </w:rPr>
        <w:t>continuare</w:t>
      </w:r>
      <w:r w:rsidRPr="005355E5">
        <w:rPr>
          <w:rFonts w:ascii="Arial" w:hAnsi="Arial" w:cs="Arial"/>
          <w:spacing w:val="33"/>
          <w:sz w:val="24"/>
          <w:szCs w:val="24"/>
        </w:rPr>
        <w:t xml:space="preserve"> </w:t>
      </w:r>
      <w:r w:rsidRPr="005355E5">
        <w:rPr>
          <w:rFonts w:ascii="Arial" w:hAnsi="Arial" w:cs="Arial"/>
          <w:sz w:val="24"/>
          <w:szCs w:val="24"/>
        </w:rPr>
        <w:t>capabilă</w:t>
      </w:r>
      <w:r w:rsidRPr="005355E5">
        <w:rPr>
          <w:rFonts w:ascii="Arial" w:hAnsi="Arial" w:cs="Arial"/>
          <w:spacing w:val="34"/>
          <w:sz w:val="24"/>
          <w:szCs w:val="24"/>
        </w:rPr>
        <w:t xml:space="preserve"> </w:t>
      </w:r>
      <w:r w:rsidRPr="005355E5">
        <w:rPr>
          <w:rFonts w:ascii="Arial" w:hAnsi="Arial" w:cs="Arial"/>
          <w:sz w:val="24"/>
          <w:szCs w:val="24"/>
        </w:rPr>
        <w:t>de</w:t>
      </w:r>
      <w:r w:rsidRPr="005355E5">
        <w:rPr>
          <w:rFonts w:ascii="Arial" w:hAnsi="Arial" w:cs="Arial"/>
          <w:spacing w:val="33"/>
          <w:sz w:val="24"/>
          <w:szCs w:val="24"/>
        </w:rPr>
        <w:t xml:space="preserve"> </w:t>
      </w:r>
      <w:r w:rsidRPr="005355E5">
        <w:rPr>
          <w:rFonts w:ascii="Arial" w:hAnsi="Arial" w:cs="Arial"/>
          <w:sz w:val="24"/>
          <w:szCs w:val="24"/>
        </w:rPr>
        <w:t>a</w:t>
      </w:r>
      <w:r w:rsidRPr="005355E5">
        <w:rPr>
          <w:rFonts w:ascii="Arial" w:hAnsi="Arial" w:cs="Arial"/>
          <w:spacing w:val="34"/>
          <w:sz w:val="24"/>
          <w:szCs w:val="24"/>
        </w:rPr>
        <w:t xml:space="preserve"> </w:t>
      </w:r>
      <w:r w:rsidRPr="005355E5">
        <w:rPr>
          <w:rFonts w:ascii="Arial" w:hAnsi="Arial" w:cs="Arial"/>
          <w:sz w:val="24"/>
          <w:szCs w:val="24"/>
        </w:rPr>
        <w:t>susţine</w:t>
      </w:r>
      <w:r w:rsidRPr="005355E5">
        <w:rPr>
          <w:rFonts w:ascii="Arial" w:hAnsi="Arial" w:cs="Arial"/>
          <w:spacing w:val="36"/>
          <w:sz w:val="24"/>
          <w:szCs w:val="24"/>
        </w:rPr>
        <w:t xml:space="preserve"> </w:t>
      </w:r>
      <w:r w:rsidRPr="005355E5">
        <w:rPr>
          <w:rFonts w:ascii="Arial" w:hAnsi="Arial" w:cs="Arial"/>
          <w:sz w:val="24"/>
          <w:szCs w:val="24"/>
        </w:rPr>
        <w:t>o</w:t>
      </w:r>
      <w:r w:rsidRPr="005355E5">
        <w:rPr>
          <w:rFonts w:ascii="Arial" w:hAnsi="Arial" w:cs="Arial"/>
          <w:spacing w:val="34"/>
          <w:sz w:val="24"/>
          <w:szCs w:val="24"/>
        </w:rPr>
        <w:t xml:space="preserve"> </w:t>
      </w:r>
      <w:r w:rsidRPr="005355E5">
        <w:rPr>
          <w:rFonts w:ascii="Arial" w:hAnsi="Arial" w:cs="Arial"/>
          <w:sz w:val="24"/>
          <w:szCs w:val="24"/>
        </w:rPr>
        <w:t>producţie</w:t>
      </w:r>
      <w:r w:rsidRPr="005355E5">
        <w:rPr>
          <w:rFonts w:ascii="Arial" w:hAnsi="Arial" w:cs="Arial"/>
          <w:spacing w:val="33"/>
          <w:sz w:val="24"/>
          <w:szCs w:val="24"/>
        </w:rPr>
        <w:t xml:space="preserve"> </w:t>
      </w:r>
      <w:r w:rsidRPr="005355E5">
        <w:rPr>
          <w:rFonts w:ascii="Arial" w:hAnsi="Arial" w:cs="Arial"/>
          <w:sz w:val="24"/>
          <w:szCs w:val="24"/>
        </w:rPr>
        <w:t>industrială.</w:t>
      </w:r>
    </w:p>
    <w:p w:rsidR="0015668D" w:rsidRDefault="0015668D" w:rsidP="00FA2298">
      <w:pPr>
        <w:spacing w:after="0" w:line="240" w:lineRule="auto"/>
        <w:ind w:left="-90"/>
        <w:jc w:val="both"/>
        <w:rPr>
          <w:rFonts w:ascii="Arial" w:hAnsi="Arial" w:cs="Arial"/>
          <w:sz w:val="24"/>
          <w:szCs w:val="24"/>
        </w:rPr>
      </w:pPr>
      <w:r w:rsidRPr="005355E5">
        <w:rPr>
          <w:rFonts w:ascii="Arial" w:hAnsi="Arial" w:cs="Arial"/>
          <w:sz w:val="24"/>
          <w:szCs w:val="24"/>
        </w:rPr>
        <w:t xml:space="preserve">În ceea ce priveşte gradul de ocupare în 2010 în Regiunea Vest sectorul industrie se situa pe locul 1 in România cu 7 p.p. peste medie </w:t>
      </w:r>
      <w:r w:rsidR="008708CC">
        <w:rPr>
          <w:rFonts w:ascii="Arial" w:hAnsi="Arial" w:cs="Arial"/>
          <w:sz w:val="24"/>
          <w:szCs w:val="24"/>
        </w:rPr>
        <w:t>ș</w:t>
      </w:r>
      <w:r w:rsidRPr="005355E5">
        <w:rPr>
          <w:rFonts w:ascii="Arial" w:hAnsi="Arial" w:cs="Arial"/>
          <w:sz w:val="24"/>
          <w:szCs w:val="24"/>
        </w:rPr>
        <w:t>i cu 17 10.2 p.p. peste media UE 27. (</w:t>
      </w:r>
      <w:r w:rsidRPr="00DF7F78">
        <w:rPr>
          <w:rFonts w:ascii="Arial" w:hAnsi="Arial" w:cs="Arial"/>
          <w:i/>
          <w:sz w:val="24"/>
          <w:szCs w:val="24"/>
        </w:rPr>
        <w:t>PDR Regiunea Vest pag. 77-78</w:t>
      </w:r>
      <w:r w:rsidRPr="005355E5">
        <w:rPr>
          <w:rFonts w:ascii="Arial" w:hAnsi="Arial" w:cs="Arial"/>
          <w:sz w:val="24"/>
          <w:szCs w:val="24"/>
        </w:rPr>
        <w:t>).</w:t>
      </w:r>
    </w:p>
    <w:p w:rsidR="00DF7F78" w:rsidRPr="00DF7F78" w:rsidRDefault="00C61857" w:rsidP="00FA2298">
      <w:pPr>
        <w:pStyle w:val="Heading4"/>
        <w:keepNext w:val="0"/>
        <w:keepLines w:val="0"/>
        <w:widowControl w:val="0"/>
        <w:tabs>
          <w:tab w:val="left" w:pos="0"/>
        </w:tabs>
        <w:spacing w:before="0" w:line="240" w:lineRule="auto"/>
        <w:ind w:left="-90"/>
        <w:jc w:val="both"/>
        <w:rPr>
          <w:rFonts w:ascii="Arial" w:hAnsi="Arial" w:cs="Arial"/>
          <w:b w:val="0"/>
          <w:i w:val="0"/>
          <w:color w:val="auto"/>
          <w:sz w:val="24"/>
          <w:szCs w:val="24"/>
        </w:rPr>
      </w:pPr>
      <w:r w:rsidRPr="00DF7F78">
        <w:rPr>
          <w:rFonts w:ascii="Arial" w:hAnsi="Arial" w:cs="Arial"/>
          <w:b w:val="0"/>
          <w:i w:val="0"/>
          <w:color w:val="auto"/>
          <w:sz w:val="24"/>
          <w:szCs w:val="24"/>
        </w:rPr>
        <w:t xml:space="preserve">Poziţia Regiunii Vest cu referire la cuantumul </w:t>
      </w:r>
      <w:r w:rsidR="00FA314C" w:rsidRPr="00DF7F78">
        <w:rPr>
          <w:rFonts w:ascii="Arial" w:hAnsi="Arial" w:cs="Arial"/>
          <w:b w:val="0"/>
          <w:color w:val="auto"/>
          <w:sz w:val="24"/>
          <w:szCs w:val="24"/>
        </w:rPr>
        <w:t>Investiţii străine</w:t>
      </w:r>
      <w:r w:rsidR="00FA314C" w:rsidRPr="00DF7F78">
        <w:rPr>
          <w:rFonts w:ascii="Arial" w:hAnsi="Arial" w:cs="Arial"/>
          <w:b w:val="0"/>
          <w:color w:val="auto"/>
          <w:spacing w:val="-7"/>
          <w:sz w:val="24"/>
          <w:szCs w:val="24"/>
        </w:rPr>
        <w:t xml:space="preserve"> </w:t>
      </w:r>
      <w:r w:rsidR="00FA314C" w:rsidRPr="00DF7F78">
        <w:rPr>
          <w:rFonts w:ascii="Arial" w:hAnsi="Arial" w:cs="Arial"/>
          <w:b w:val="0"/>
          <w:color w:val="auto"/>
          <w:sz w:val="24"/>
          <w:szCs w:val="24"/>
        </w:rPr>
        <w:t>directe</w:t>
      </w:r>
      <w:r w:rsidR="00FA314C" w:rsidRPr="00DF7F78">
        <w:rPr>
          <w:rFonts w:ascii="Arial" w:hAnsi="Arial" w:cs="Arial"/>
          <w:b w:val="0"/>
          <w:i w:val="0"/>
          <w:color w:val="auto"/>
          <w:sz w:val="24"/>
          <w:szCs w:val="24"/>
        </w:rPr>
        <w:t xml:space="preserve"> </w:t>
      </w:r>
      <w:r w:rsidR="00FA314C">
        <w:rPr>
          <w:rFonts w:ascii="Arial" w:hAnsi="Arial" w:cs="Arial"/>
          <w:b w:val="0"/>
          <w:i w:val="0"/>
          <w:color w:val="auto"/>
          <w:sz w:val="24"/>
          <w:szCs w:val="24"/>
        </w:rPr>
        <w:t>(</w:t>
      </w:r>
      <w:r w:rsidRPr="00DF7F78">
        <w:rPr>
          <w:rFonts w:ascii="Arial" w:hAnsi="Arial" w:cs="Arial"/>
          <w:b w:val="0"/>
          <w:i w:val="0"/>
          <w:color w:val="auto"/>
          <w:sz w:val="24"/>
          <w:szCs w:val="24"/>
        </w:rPr>
        <w:t>ISD</w:t>
      </w:r>
      <w:r w:rsidR="00FA314C">
        <w:rPr>
          <w:rFonts w:ascii="Arial" w:hAnsi="Arial" w:cs="Arial"/>
          <w:b w:val="0"/>
          <w:i w:val="0"/>
          <w:color w:val="auto"/>
          <w:sz w:val="24"/>
          <w:szCs w:val="24"/>
        </w:rPr>
        <w:t>)</w:t>
      </w:r>
      <w:r w:rsidRPr="00DF7F78">
        <w:rPr>
          <w:rFonts w:ascii="Arial" w:hAnsi="Arial" w:cs="Arial"/>
          <w:b w:val="0"/>
          <w:i w:val="0"/>
          <w:color w:val="auto"/>
          <w:sz w:val="24"/>
          <w:szCs w:val="24"/>
        </w:rPr>
        <w:t xml:space="preserve"> este relativ slabă. Valoarea totală a ISD în Regiunea Vest la nivelul anului 2011</w:t>
      </w:r>
      <w:r w:rsidRPr="00DF7F78">
        <w:rPr>
          <w:rFonts w:ascii="Arial" w:hAnsi="Arial" w:cs="Arial"/>
          <w:b w:val="0"/>
          <w:i w:val="0"/>
          <w:color w:val="auto"/>
          <w:position w:val="9"/>
          <w:sz w:val="24"/>
          <w:szCs w:val="24"/>
        </w:rPr>
        <w:t xml:space="preserve"> </w:t>
      </w:r>
      <w:r w:rsidRPr="00DF7F78">
        <w:rPr>
          <w:rFonts w:ascii="Arial" w:hAnsi="Arial" w:cs="Arial"/>
          <w:b w:val="0"/>
          <w:i w:val="0"/>
          <w:color w:val="auto"/>
          <w:sz w:val="24"/>
          <w:szCs w:val="24"/>
        </w:rPr>
        <w:t>era de 3,987 miliarde EUR, 7,2% din totalul ISD în</w:t>
      </w:r>
      <w:r w:rsidRPr="00DF7F78">
        <w:rPr>
          <w:rFonts w:ascii="Arial" w:hAnsi="Arial" w:cs="Arial"/>
          <w:b w:val="0"/>
          <w:i w:val="0"/>
          <w:color w:val="auto"/>
          <w:spacing w:val="-7"/>
          <w:sz w:val="24"/>
          <w:szCs w:val="24"/>
        </w:rPr>
        <w:t xml:space="preserve"> </w:t>
      </w:r>
      <w:r w:rsidRPr="00DF7F78">
        <w:rPr>
          <w:rFonts w:ascii="Arial" w:hAnsi="Arial" w:cs="Arial"/>
          <w:b w:val="0"/>
          <w:i w:val="0"/>
          <w:color w:val="auto"/>
          <w:sz w:val="24"/>
          <w:szCs w:val="24"/>
        </w:rPr>
        <w:t>România,</w:t>
      </w:r>
      <w:r w:rsidRPr="00DF7F78">
        <w:rPr>
          <w:rFonts w:ascii="Arial" w:hAnsi="Arial" w:cs="Arial"/>
          <w:b w:val="0"/>
          <w:i w:val="0"/>
          <w:color w:val="auto"/>
          <w:spacing w:val="-7"/>
          <w:sz w:val="24"/>
          <w:szCs w:val="24"/>
        </w:rPr>
        <w:t xml:space="preserve"> </w:t>
      </w:r>
      <w:r w:rsidRPr="00DF7F78">
        <w:rPr>
          <w:rFonts w:ascii="Arial" w:hAnsi="Arial" w:cs="Arial"/>
          <w:b w:val="0"/>
          <w:i w:val="0"/>
          <w:color w:val="auto"/>
          <w:sz w:val="24"/>
          <w:szCs w:val="24"/>
        </w:rPr>
        <w:t>situând</w:t>
      </w:r>
      <w:r w:rsidRPr="00DF7F78">
        <w:rPr>
          <w:rFonts w:ascii="Arial" w:hAnsi="Arial" w:cs="Arial"/>
          <w:b w:val="0"/>
          <w:i w:val="0"/>
          <w:color w:val="auto"/>
          <w:spacing w:val="-7"/>
          <w:sz w:val="24"/>
          <w:szCs w:val="24"/>
        </w:rPr>
        <w:t xml:space="preserve"> </w:t>
      </w:r>
      <w:r w:rsidRPr="00DF7F78">
        <w:rPr>
          <w:rFonts w:ascii="Arial" w:hAnsi="Arial" w:cs="Arial"/>
          <w:b w:val="0"/>
          <w:i w:val="0"/>
          <w:color w:val="auto"/>
          <w:sz w:val="24"/>
          <w:szCs w:val="24"/>
        </w:rPr>
        <w:t>regiunea</w:t>
      </w:r>
      <w:r w:rsidRPr="00DF7F78">
        <w:rPr>
          <w:rFonts w:ascii="Arial" w:hAnsi="Arial" w:cs="Arial"/>
          <w:b w:val="0"/>
          <w:i w:val="0"/>
          <w:color w:val="auto"/>
          <w:spacing w:val="-7"/>
          <w:sz w:val="24"/>
          <w:szCs w:val="24"/>
        </w:rPr>
        <w:t xml:space="preserve"> </w:t>
      </w:r>
      <w:r w:rsidRPr="00DF7F78">
        <w:rPr>
          <w:rFonts w:ascii="Arial" w:hAnsi="Arial" w:cs="Arial"/>
          <w:b w:val="0"/>
          <w:i w:val="0"/>
          <w:color w:val="auto"/>
          <w:sz w:val="24"/>
          <w:szCs w:val="24"/>
        </w:rPr>
        <w:t>pe</w:t>
      </w:r>
      <w:r w:rsidRPr="00DF7F78">
        <w:rPr>
          <w:rFonts w:ascii="Arial" w:hAnsi="Arial" w:cs="Arial"/>
          <w:b w:val="0"/>
          <w:i w:val="0"/>
          <w:color w:val="auto"/>
          <w:spacing w:val="-7"/>
          <w:sz w:val="24"/>
          <w:szCs w:val="24"/>
        </w:rPr>
        <w:t xml:space="preserve"> </w:t>
      </w:r>
      <w:r w:rsidRPr="00DF7F78">
        <w:rPr>
          <w:rFonts w:ascii="Arial" w:hAnsi="Arial" w:cs="Arial"/>
          <w:b w:val="0"/>
          <w:i w:val="0"/>
          <w:color w:val="auto"/>
          <w:sz w:val="24"/>
          <w:szCs w:val="24"/>
        </w:rPr>
        <w:t>locul</w:t>
      </w:r>
      <w:r w:rsidRPr="00DF7F78">
        <w:rPr>
          <w:rFonts w:ascii="Arial" w:hAnsi="Arial" w:cs="Arial"/>
          <w:b w:val="0"/>
          <w:i w:val="0"/>
          <w:color w:val="auto"/>
          <w:spacing w:val="-7"/>
          <w:sz w:val="24"/>
          <w:szCs w:val="24"/>
        </w:rPr>
        <w:t xml:space="preserve"> </w:t>
      </w:r>
      <w:r w:rsidRPr="00DF7F78">
        <w:rPr>
          <w:rFonts w:ascii="Arial" w:hAnsi="Arial" w:cs="Arial"/>
          <w:b w:val="0"/>
          <w:i w:val="0"/>
          <w:color w:val="auto"/>
          <w:sz w:val="24"/>
          <w:szCs w:val="24"/>
        </w:rPr>
        <w:t>4</w:t>
      </w:r>
      <w:r w:rsidRPr="00DF7F78">
        <w:rPr>
          <w:rFonts w:ascii="Arial" w:hAnsi="Arial" w:cs="Arial"/>
          <w:b w:val="0"/>
          <w:i w:val="0"/>
          <w:color w:val="auto"/>
          <w:spacing w:val="-7"/>
          <w:sz w:val="24"/>
          <w:szCs w:val="24"/>
        </w:rPr>
        <w:t xml:space="preserve"> </w:t>
      </w:r>
      <w:r w:rsidRPr="00DF7F78">
        <w:rPr>
          <w:rFonts w:ascii="Arial" w:hAnsi="Arial" w:cs="Arial"/>
          <w:b w:val="0"/>
          <w:i w:val="0"/>
          <w:color w:val="auto"/>
          <w:sz w:val="24"/>
          <w:szCs w:val="24"/>
        </w:rPr>
        <w:t>la</w:t>
      </w:r>
      <w:r w:rsidRPr="00DF7F78">
        <w:rPr>
          <w:rFonts w:ascii="Arial" w:hAnsi="Arial" w:cs="Arial"/>
          <w:b w:val="0"/>
          <w:i w:val="0"/>
          <w:color w:val="auto"/>
          <w:spacing w:val="-7"/>
          <w:sz w:val="24"/>
          <w:szCs w:val="24"/>
        </w:rPr>
        <w:t xml:space="preserve"> </w:t>
      </w:r>
      <w:r w:rsidRPr="00DF7F78">
        <w:rPr>
          <w:rFonts w:ascii="Arial" w:hAnsi="Arial" w:cs="Arial"/>
          <w:b w:val="0"/>
          <w:i w:val="0"/>
          <w:color w:val="auto"/>
          <w:sz w:val="24"/>
          <w:szCs w:val="24"/>
        </w:rPr>
        <w:t>nivel</w:t>
      </w:r>
      <w:r w:rsidRPr="00DF7F78">
        <w:rPr>
          <w:rFonts w:ascii="Arial" w:hAnsi="Arial" w:cs="Arial"/>
          <w:b w:val="0"/>
          <w:i w:val="0"/>
          <w:color w:val="auto"/>
          <w:spacing w:val="-8"/>
          <w:sz w:val="24"/>
          <w:szCs w:val="24"/>
        </w:rPr>
        <w:t xml:space="preserve"> </w:t>
      </w:r>
      <w:r w:rsidRPr="00DF7F78">
        <w:rPr>
          <w:rFonts w:ascii="Arial" w:hAnsi="Arial" w:cs="Arial"/>
          <w:b w:val="0"/>
          <w:i w:val="0"/>
          <w:color w:val="auto"/>
          <w:sz w:val="24"/>
          <w:szCs w:val="24"/>
        </w:rPr>
        <w:t>naţional</w:t>
      </w:r>
      <w:r w:rsidRPr="00DF7F78">
        <w:rPr>
          <w:rFonts w:ascii="Arial" w:hAnsi="Arial" w:cs="Arial"/>
          <w:b w:val="0"/>
          <w:i w:val="0"/>
          <w:color w:val="auto"/>
          <w:spacing w:val="-7"/>
          <w:sz w:val="24"/>
          <w:szCs w:val="24"/>
        </w:rPr>
        <w:t xml:space="preserve"> </w:t>
      </w:r>
      <w:r w:rsidRPr="00DF7F78">
        <w:rPr>
          <w:rFonts w:ascii="Arial" w:hAnsi="Arial" w:cs="Arial"/>
          <w:b w:val="0"/>
          <w:i w:val="0"/>
          <w:color w:val="auto"/>
          <w:sz w:val="24"/>
          <w:szCs w:val="24"/>
        </w:rPr>
        <w:t>după</w:t>
      </w:r>
      <w:r w:rsidRPr="00DF7F78">
        <w:rPr>
          <w:rFonts w:ascii="Arial" w:hAnsi="Arial" w:cs="Arial"/>
          <w:b w:val="0"/>
          <w:i w:val="0"/>
          <w:color w:val="auto"/>
          <w:spacing w:val="-7"/>
          <w:sz w:val="24"/>
          <w:szCs w:val="24"/>
        </w:rPr>
        <w:t xml:space="preserve"> </w:t>
      </w:r>
      <w:r w:rsidRPr="00DF7F78">
        <w:rPr>
          <w:rFonts w:ascii="Arial" w:hAnsi="Arial" w:cs="Arial"/>
          <w:b w:val="0"/>
          <w:i w:val="0"/>
          <w:color w:val="auto"/>
          <w:sz w:val="24"/>
          <w:szCs w:val="24"/>
        </w:rPr>
        <w:t>Bucureşti-Ilfov,</w:t>
      </w:r>
      <w:r w:rsidRPr="00DF7F78">
        <w:rPr>
          <w:rFonts w:ascii="Arial" w:hAnsi="Arial" w:cs="Arial"/>
          <w:b w:val="0"/>
          <w:i w:val="0"/>
          <w:color w:val="auto"/>
          <w:spacing w:val="-7"/>
          <w:sz w:val="24"/>
          <w:szCs w:val="24"/>
        </w:rPr>
        <w:t xml:space="preserve"> </w:t>
      </w:r>
      <w:r w:rsidRPr="00DF7F78">
        <w:rPr>
          <w:rFonts w:ascii="Arial" w:hAnsi="Arial" w:cs="Arial"/>
          <w:b w:val="0"/>
          <w:i w:val="0"/>
          <w:color w:val="auto"/>
          <w:sz w:val="24"/>
          <w:szCs w:val="24"/>
        </w:rPr>
        <w:t>Centru</w:t>
      </w:r>
      <w:r w:rsidRPr="00DF7F78">
        <w:rPr>
          <w:rFonts w:ascii="Arial" w:hAnsi="Arial" w:cs="Arial"/>
          <w:b w:val="0"/>
          <w:i w:val="0"/>
          <w:color w:val="auto"/>
          <w:spacing w:val="-6"/>
          <w:sz w:val="24"/>
          <w:szCs w:val="24"/>
        </w:rPr>
        <w:t xml:space="preserve"> </w:t>
      </w:r>
      <w:r w:rsidRPr="00DF7F78">
        <w:rPr>
          <w:rFonts w:ascii="Arial" w:hAnsi="Arial" w:cs="Arial"/>
          <w:b w:val="0"/>
          <w:i w:val="0"/>
          <w:color w:val="auto"/>
          <w:sz w:val="24"/>
          <w:szCs w:val="24"/>
        </w:rPr>
        <w:t>şi</w:t>
      </w:r>
      <w:r w:rsidRPr="00DF7F78">
        <w:rPr>
          <w:rFonts w:ascii="Arial" w:hAnsi="Arial" w:cs="Arial"/>
          <w:b w:val="0"/>
          <w:i w:val="0"/>
          <w:color w:val="auto"/>
          <w:spacing w:val="-8"/>
          <w:sz w:val="24"/>
          <w:szCs w:val="24"/>
        </w:rPr>
        <w:t xml:space="preserve"> </w:t>
      </w:r>
      <w:r w:rsidRPr="00DF7F78">
        <w:rPr>
          <w:rFonts w:ascii="Arial" w:hAnsi="Arial" w:cs="Arial"/>
          <w:b w:val="0"/>
          <w:i w:val="0"/>
          <w:color w:val="auto"/>
          <w:sz w:val="24"/>
          <w:szCs w:val="24"/>
        </w:rPr>
        <w:t>Sud- Muntenia. În pofida aprecierii semnificative din 2003 (cu 311%, respectiv de peste 4 ori), ponderea regiunii a scăzut uşor cu 0,2 p.p. (de la 7,4 la 7,2%). Poziţia specifică a regiunii capitalei</w:t>
      </w:r>
      <w:r w:rsidRPr="00DF7F78">
        <w:rPr>
          <w:rFonts w:ascii="Arial" w:hAnsi="Arial" w:cs="Arial"/>
          <w:b w:val="0"/>
          <w:i w:val="0"/>
          <w:color w:val="auto"/>
          <w:spacing w:val="-8"/>
          <w:sz w:val="24"/>
          <w:szCs w:val="24"/>
        </w:rPr>
        <w:t xml:space="preserve"> </w:t>
      </w:r>
      <w:r w:rsidRPr="00DF7F78">
        <w:rPr>
          <w:rFonts w:ascii="Arial" w:hAnsi="Arial" w:cs="Arial"/>
          <w:b w:val="0"/>
          <w:i w:val="0"/>
          <w:color w:val="auto"/>
          <w:sz w:val="24"/>
          <w:szCs w:val="24"/>
        </w:rPr>
        <w:t>trebuie</w:t>
      </w:r>
      <w:r w:rsidRPr="00DF7F78">
        <w:rPr>
          <w:rFonts w:ascii="Arial" w:hAnsi="Arial" w:cs="Arial"/>
          <w:b w:val="0"/>
          <w:i w:val="0"/>
          <w:color w:val="auto"/>
          <w:spacing w:val="-4"/>
          <w:sz w:val="24"/>
          <w:szCs w:val="24"/>
        </w:rPr>
        <w:t xml:space="preserve"> </w:t>
      </w:r>
      <w:r w:rsidRPr="00DF7F78">
        <w:rPr>
          <w:rFonts w:ascii="Arial" w:hAnsi="Arial" w:cs="Arial"/>
          <w:b w:val="0"/>
          <w:i w:val="0"/>
          <w:color w:val="auto"/>
          <w:sz w:val="24"/>
          <w:szCs w:val="24"/>
        </w:rPr>
        <w:t>subliniată</w:t>
      </w:r>
      <w:r w:rsidRPr="00DF7F78">
        <w:rPr>
          <w:rFonts w:ascii="Arial" w:hAnsi="Arial" w:cs="Arial"/>
          <w:b w:val="0"/>
          <w:i w:val="0"/>
          <w:color w:val="auto"/>
          <w:spacing w:val="-5"/>
          <w:sz w:val="24"/>
          <w:szCs w:val="24"/>
        </w:rPr>
        <w:t xml:space="preserve"> </w:t>
      </w:r>
      <w:r w:rsidRPr="00DF7F78">
        <w:rPr>
          <w:rFonts w:ascii="Arial" w:hAnsi="Arial" w:cs="Arial"/>
          <w:b w:val="0"/>
          <w:i w:val="0"/>
          <w:color w:val="auto"/>
          <w:sz w:val="24"/>
          <w:szCs w:val="24"/>
        </w:rPr>
        <w:t>–</w:t>
      </w:r>
      <w:r w:rsidRPr="00DF7F78">
        <w:rPr>
          <w:rFonts w:ascii="Arial" w:hAnsi="Arial" w:cs="Arial"/>
          <w:b w:val="0"/>
          <w:i w:val="0"/>
          <w:color w:val="auto"/>
          <w:spacing w:val="-5"/>
          <w:sz w:val="24"/>
          <w:szCs w:val="24"/>
        </w:rPr>
        <w:t xml:space="preserve"> </w:t>
      </w:r>
      <w:r w:rsidRPr="00DF7F78">
        <w:rPr>
          <w:rFonts w:ascii="Arial" w:hAnsi="Arial" w:cs="Arial"/>
          <w:b w:val="0"/>
          <w:i w:val="0"/>
          <w:color w:val="auto"/>
          <w:sz w:val="24"/>
          <w:szCs w:val="24"/>
        </w:rPr>
        <w:t>în</w:t>
      </w:r>
      <w:r w:rsidRPr="00DF7F78">
        <w:rPr>
          <w:rFonts w:ascii="Arial" w:hAnsi="Arial" w:cs="Arial"/>
          <w:b w:val="0"/>
          <w:i w:val="0"/>
          <w:color w:val="auto"/>
          <w:spacing w:val="-7"/>
          <w:sz w:val="24"/>
          <w:szCs w:val="24"/>
        </w:rPr>
        <w:t xml:space="preserve"> </w:t>
      </w:r>
      <w:r w:rsidRPr="00DF7F78">
        <w:rPr>
          <w:rFonts w:ascii="Arial" w:hAnsi="Arial" w:cs="Arial"/>
          <w:b w:val="0"/>
          <w:i w:val="0"/>
          <w:color w:val="auto"/>
          <w:sz w:val="24"/>
          <w:szCs w:val="24"/>
        </w:rPr>
        <w:t>2011</w:t>
      </w:r>
      <w:r w:rsidRPr="00DF7F78">
        <w:rPr>
          <w:rFonts w:ascii="Arial" w:hAnsi="Arial" w:cs="Arial"/>
          <w:b w:val="0"/>
          <w:i w:val="0"/>
          <w:color w:val="auto"/>
          <w:spacing w:val="-5"/>
          <w:sz w:val="24"/>
          <w:szCs w:val="24"/>
        </w:rPr>
        <w:t xml:space="preserve"> </w:t>
      </w:r>
      <w:r w:rsidRPr="00DF7F78">
        <w:rPr>
          <w:rFonts w:ascii="Arial" w:hAnsi="Arial" w:cs="Arial"/>
          <w:b w:val="0"/>
          <w:i w:val="0"/>
          <w:color w:val="auto"/>
          <w:sz w:val="24"/>
          <w:szCs w:val="24"/>
        </w:rPr>
        <w:t>aceasta</w:t>
      </w:r>
      <w:r w:rsidRPr="00DF7F78">
        <w:rPr>
          <w:rFonts w:ascii="Arial" w:hAnsi="Arial" w:cs="Arial"/>
          <w:b w:val="0"/>
          <w:i w:val="0"/>
          <w:color w:val="auto"/>
          <w:spacing w:val="-5"/>
          <w:sz w:val="24"/>
          <w:szCs w:val="24"/>
        </w:rPr>
        <w:t xml:space="preserve"> </w:t>
      </w:r>
      <w:r w:rsidRPr="00DF7F78">
        <w:rPr>
          <w:rFonts w:ascii="Arial" w:hAnsi="Arial" w:cs="Arial"/>
          <w:b w:val="0"/>
          <w:i w:val="0"/>
          <w:color w:val="auto"/>
          <w:sz w:val="24"/>
          <w:szCs w:val="24"/>
        </w:rPr>
        <w:t>deţinea</w:t>
      </w:r>
      <w:r w:rsidRPr="00DF7F78">
        <w:rPr>
          <w:rFonts w:ascii="Arial" w:hAnsi="Arial" w:cs="Arial"/>
          <w:b w:val="0"/>
          <w:i w:val="0"/>
          <w:color w:val="auto"/>
          <w:spacing w:val="-7"/>
          <w:sz w:val="24"/>
          <w:szCs w:val="24"/>
        </w:rPr>
        <w:t xml:space="preserve"> </w:t>
      </w:r>
      <w:r w:rsidRPr="00DF7F78">
        <w:rPr>
          <w:rFonts w:ascii="Arial" w:hAnsi="Arial" w:cs="Arial"/>
          <w:b w:val="0"/>
          <w:i w:val="0"/>
          <w:color w:val="auto"/>
          <w:sz w:val="24"/>
          <w:szCs w:val="24"/>
        </w:rPr>
        <w:t>61,7%</w:t>
      </w:r>
      <w:r w:rsidRPr="00DF7F78">
        <w:rPr>
          <w:rFonts w:ascii="Arial" w:hAnsi="Arial" w:cs="Arial"/>
          <w:b w:val="0"/>
          <w:i w:val="0"/>
          <w:color w:val="auto"/>
          <w:spacing w:val="-7"/>
          <w:sz w:val="24"/>
          <w:szCs w:val="24"/>
        </w:rPr>
        <w:t xml:space="preserve"> </w:t>
      </w:r>
      <w:r w:rsidRPr="00DF7F78">
        <w:rPr>
          <w:rFonts w:ascii="Arial" w:hAnsi="Arial" w:cs="Arial"/>
          <w:b w:val="0"/>
          <w:i w:val="0"/>
          <w:color w:val="auto"/>
          <w:sz w:val="24"/>
          <w:szCs w:val="24"/>
        </w:rPr>
        <w:t>din</w:t>
      </w:r>
      <w:r w:rsidRPr="00DF7F78">
        <w:rPr>
          <w:rFonts w:ascii="Arial" w:hAnsi="Arial" w:cs="Arial"/>
          <w:b w:val="0"/>
          <w:i w:val="0"/>
          <w:color w:val="auto"/>
          <w:spacing w:val="-4"/>
          <w:sz w:val="24"/>
          <w:szCs w:val="24"/>
        </w:rPr>
        <w:t xml:space="preserve"> </w:t>
      </w:r>
      <w:r w:rsidRPr="00DF7F78">
        <w:rPr>
          <w:rFonts w:ascii="Arial" w:hAnsi="Arial" w:cs="Arial"/>
          <w:b w:val="0"/>
          <w:i w:val="0"/>
          <w:color w:val="auto"/>
          <w:sz w:val="24"/>
          <w:szCs w:val="24"/>
        </w:rPr>
        <w:t>cuantumul</w:t>
      </w:r>
      <w:r w:rsidRPr="00DF7F78">
        <w:rPr>
          <w:rFonts w:ascii="Arial" w:hAnsi="Arial" w:cs="Arial"/>
          <w:b w:val="0"/>
          <w:i w:val="0"/>
          <w:color w:val="auto"/>
          <w:spacing w:val="-7"/>
          <w:sz w:val="24"/>
          <w:szCs w:val="24"/>
        </w:rPr>
        <w:t xml:space="preserve"> </w:t>
      </w:r>
      <w:r w:rsidRPr="00DF7F78">
        <w:rPr>
          <w:rFonts w:ascii="Arial" w:hAnsi="Arial" w:cs="Arial"/>
          <w:b w:val="0"/>
          <w:i w:val="0"/>
          <w:color w:val="auto"/>
          <w:sz w:val="24"/>
          <w:szCs w:val="24"/>
        </w:rPr>
        <w:t>total</w:t>
      </w:r>
      <w:r w:rsidRPr="00DF7F78">
        <w:rPr>
          <w:rFonts w:ascii="Arial" w:hAnsi="Arial" w:cs="Arial"/>
          <w:b w:val="0"/>
          <w:i w:val="0"/>
          <w:color w:val="auto"/>
          <w:spacing w:val="-7"/>
          <w:sz w:val="24"/>
          <w:szCs w:val="24"/>
        </w:rPr>
        <w:t xml:space="preserve"> </w:t>
      </w:r>
      <w:r w:rsidRPr="00DF7F78">
        <w:rPr>
          <w:rFonts w:ascii="Arial" w:hAnsi="Arial" w:cs="Arial"/>
          <w:b w:val="0"/>
          <w:i w:val="0"/>
          <w:color w:val="auto"/>
          <w:sz w:val="24"/>
          <w:szCs w:val="24"/>
        </w:rPr>
        <w:t>de</w:t>
      </w:r>
      <w:r w:rsidRPr="00DF7F78">
        <w:rPr>
          <w:rFonts w:ascii="Arial" w:hAnsi="Arial" w:cs="Arial"/>
          <w:b w:val="0"/>
          <w:i w:val="0"/>
          <w:color w:val="auto"/>
          <w:spacing w:val="-6"/>
          <w:sz w:val="24"/>
          <w:szCs w:val="24"/>
        </w:rPr>
        <w:t xml:space="preserve"> </w:t>
      </w:r>
      <w:r w:rsidRPr="00DF7F78">
        <w:rPr>
          <w:rFonts w:ascii="Arial" w:hAnsi="Arial" w:cs="Arial"/>
          <w:b w:val="0"/>
          <w:i w:val="0"/>
          <w:color w:val="auto"/>
          <w:sz w:val="24"/>
          <w:szCs w:val="24"/>
        </w:rPr>
        <w:t xml:space="preserve">ISD </w:t>
      </w:r>
    </w:p>
    <w:p w:rsidR="00C61857" w:rsidRPr="00DF7F78" w:rsidRDefault="00C61857" w:rsidP="00FA2298">
      <w:pPr>
        <w:pStyle w:val="Heading4"/>
        <w:keepNext w:val="0"/>
        <w:keepLines w:val="0"/>
        <w:widowControl w:val="0"/>
        <w:tabs>
          <w:tab w:val="left" w:pos="0"/>
        </w:tabs>
        <w:spacing w:before="0" w:line="240" w:lineRule="auto"/>
        <w:ind w:left="-90"/>
        <w:jc w:val="both"/>
        <w:rPr>
          <w:rFonts w:ascii="Arial" w:hAnsi="Arial" w:cs="Arial"/>
          <w:b w:val="0"/>
          <w:i w:val="0"/>
          <w:color w:val="auto"/>
          <w:sz w:val="24"/>
          <w:szCs w:val="24"/>
        </w:rPr>
      </w:pPr>
      <w:r w:rsidRPr="00DF7F78">
        <w:rPr>
          <w:rFonts w:ascii="Arial" w:hAnsi="Arial" w:cs="Arial"/>
          <w:b w:val="0"/>
          <w:i w:val="0"/>
          <w:color w:val="auto"/>
          <w:sz w:val="24"/>
          <w:szCs w:val="24"/>
        </w:rPr>
        <w:t>În Regiunea Vest 30 de ţări au realizat investiţii directe. În fruntea listei se află Germania cu 47 ISD</w:t>
      </w:r>
      <w:r w:rsidR="00B70ADE">
        <w:rPr>
          <w:rFonts w:ascii="Arial" w:hAnsi="Arial" w:cs="Arial"/>
          <w:b w:val="0"/>
          <w:i w:val="0"/>
          <w:color w:val="auto"/>
          <w:sz w:val="24"/>
          <w:szCs w:val="24"/>
        </w:rPr>
        <w:t>.</w:t>
      </w:r>
      <w:r w:rsidRPr="00DF7F78">
        <w:rPr>
          <w:rFonts w:ascii="Arial" w:hAnsi="Arial" w:cs="Arial"/>
          <w:b w:val="0"/>
          <w:i w:val="0"/>
          <w:color w:val="auto"/>
          <w:sz w:val="24"/>
          <w:szCs w:val="24"/>
        </w:rPr>
        <w:t xml:space="preserve"> După anul 1990, investiţiile directe au înregistrat o perioadă de intensificare în 1997 – 2002 (64 ISD), respectiv un declin între 2003 – 2007 (52 ISD). În perioada 2007–2008 s-au înregistrat numai 3 cazuri de ISD, ceea ce denotă o tendinţă descrescătoare continuă. (PDR Regiunea Vest pag. 7</w:t>
      </w:r>
      <w:r w:rsidR="005355E5" w:rsidRPr="00DF7F78">
        <w:rPr>
          <w:rFonts w:ascii="Arial" w:hAnsi="Arial" w:cs="Arial"/>
          <w:b w:val="0"/>
          <w:i w:val="0"/>
          <w:color w:val="auto"/>
          <w:sz w:val="24"/>
          <w:szCs w:val="24"/>
        </w:rPr>
        <w:t>8</w:t>
      </w:r>
      <w:r w:rsidRPr="00DF7F78">
        <w:rPr>
          <w:rFonts w:ascii="Arial" w:hAnsi="Arial" w:cs="Arial"/>
          <w:b w:val="0"/>
          <w:i w:val="0"/>
          <w:color w:val="auto"/>
          <w:sz w:val="24"/>
          <w:szCs w:val="24"/>
        </w:rPr>
        <w:t>-7</w:t>
      </w:r>
      <w:r w:rsidR="005355E5" w:rsidRPr="00DF7F78">
        <w:rPr>
          <w:rFonts w:ascii="Arial" w:hAnsi="Arial" w:cs="Arial"/>
          <w:b w:val="0"/>
          <w:i w:val="0"/>
          <w:color w:val="auto"/>
          <w:sz w:val="24"/>
          <w:szCs w:val="24"/>
        </w:rPr>
        <w:t>9</w:t>
      </w:r>
      <w:r w:rsidRPr="00DF7F78">
        <w:rPr>
          <w:rFonts w:ascii="Arial" w:hAnsi="Arial" w:cs="Arial"/>
          <w:b w:val="0"/>
          <w:i w:val="0"/>
          <w:color w:val="auto"/>
          <w:sz w:val="24"/>
          <w:szCs w:val="24"/>
        </w:rPr>
        <w:t>).</w:t>
      </w:r>
    </w:p>
    <w:p w:rsidR="00FA2298" w:rsidRDefault="00F158BD" w:rsidP="00FA2298">
      <w:pPr>
        <w:pStyle w:val="BodyText"/>
        <w:spacing w:after="0" w:line="240" w:lineRule="auto"/>
        <w:ind w:left="-90" w:hanging="152"/>
        <w:jc w:val="both"/>
        <w:rPr>
          <w:rFonts w:ascii="Arial" w:hAnsi="Arial" w:cs="Arial"/>
          <w:sz w:val="24"/>
          <w:szCs w:val="24"/>
        </w:rPr>
      </w:pPr>
      <w:r>
        <w:rPr>
          <w:rFonts w:ascii="Arial" w:hAnsi="Arial" w:cs="Arial"/>
          <w:sz w:val="24"/>
          <w:szCs w:val="24"/>
        </w:rPr>
        <w:tab/>
      </w:r>
      <w:r w:rsidR="00C61857" w:rsidRPr="005355E5">
        <w:rPr>
          <w:rFonts w:ascii="Arial" w:hAnsi="Arial" w:cs="Arial"/>
          <w:sz w:val="24"/>
          <w:szCs w:val="24"/>
        </w:rPr>
        <w:t>Investiţiile în infrastructura de afaceri existente la nivel region</w:t>
      </w:r>
      <w:r w:rsidR="00133749">
        <w:rPr>
          <w:rFonts w:ascii="Arial" w:hAnsi="Arial" w:cs="Arial"/>
          <w:sz w:val="24"/>
          <w:szCs w:val="24"/>
        </w:rPr>
        <w:t>al au ca principal scop crearea</w:t>
      </w:r>
      <w:r w:rsidR="00FA2298">
        <w:rPr>
          <w:rFonts w:ascii="Arial" w:hAnsi="Arial" w:cs="Arial"/>
          <w:sz w:val="24"/>
          <w:szCs w:val="24"/>
        </w:rPr>
        <w:t xml:space="preserve"> </w:t>
      </w:r>
      <w:r w:rsidR="00C61857" w:rsidRPr="005355E5">
        <w:rPr>
          <w:rFonts w:ascii="Arial" w:hAnsi="Arial" w:cs="Arial"/>
          <w:sz w:val="24"/>
          <w:szCs w:val="24"/>
        </w:rPr>
        <w:t>unui cadru de atragere a investiţiilor locale şi/sau externe şi de creare de noi locuri de muncă. Proiectele de acest tip au în vedere nevoile de dezvoltare economică regională durabilă.</w:t>
      </w:r>
      <w:r w:rsidR="00FA2298">
        <w:rPr>
          <w:rFonts w:ascii="Arial" w:hAnsi="Arial" w:cs="Arial"/>
          <w:sz w:val="24"/>
          <w:szCs w:val="24"/>
        </w:rPr>
        <w:t xml:space="preserve"> </w:t>
      </w:r>
      <w:r w:rsidR="00C61857" w:rsidRPr="005355E5">
        <w:rPr>
          <w:rFonts w:ascii="Arial" w:hAnsi="Arial" w:cs="Arial"/>
          <w:sz w:val="24"/>
          <w:szCs w:val="24"/>
        </w:rPr>
        <w:t xml:space="preserve">În regiune se găsesc numeroase structuri de sprijinire a afacerilor, </w:t>
      </w:r>
      <w:r>
        <w:rPr>
          <w:rFonts w:ascii="Arial" w:hAnsi="Arial" w:cs="Arial"/>
          <w:sz w:val="24"/>
          <w:szCs w:val="24"/>
        </w:rPr>
        <w:t>acestea fiind de mai multe</w:t>
      </w:r>
      <w:r w:rsidR="00FA2298">
        <w:rPr>
          <w:rFonts w:ascii="Arial" w:hAnsi="Arial" w:cs="Arial"/>
          <w:sz w:val="24"/>
          <w:szCs w:val="24"/>
        </w:rPr>
        <w:t xml:space="preserve"> </w:t>
      </w:r>
      <w:r w:rsidR="00C61857" w:rsidRPr="005355E5">
        <w:rPr>
          <w:rFonts w:ascii="Arial" w:hAnsi="Arial" w:cs="Arial"/>
          <w:sz w:val="24"/>
          <w:szCs w:val="24"/>
        </w:rPr>
        <w:t>tipuri şi anume:</w:t>
      </w:r>
    </w:p>
    <w:p w:rsidR="00FA2298" w:rsidRDefault="00C61857" w:rsidP="00445724">
      <w:pPr>
        <w:pStyle w:val="BodyText"/>
        <w:numPr>
          <w:ilvl w:val="0"/>
          <w:numId w:val="36"/>
        </w:numPr>
        <w:spacing w:after="0" w:line="240" w:lineRule="auto"/>
        <w:jc w:val="both"/>
        <w:rPr>
          <w:rFonts w:ascii="Arial" w:hAnsi="Arial" w:cs="Arial"/>
          <w:sz w:val="24"/>
          <w:szCs w:val="24"/>
        </w:rPr>
      </w:pPr>
      <w:r w:rsidRPr="005355E5">
        <w:rPr>
          <w:rFonts w:ascii="Arial" w:hAnsi="Arial" w:cs="Arial"/>
          <w:sz w:val="24"/>
          <w:szCs w:val="24"/>
        </w:rPr>
        <w:t>parcuri industria</w:t>
      </w:r>
      <w:r w:rsidR="00FA2298">
        <w:rPr>
          <w:rFonts w:ascii="Arial" w:hAnsi="Arial" w:cs="Arial"/>
          <w:sz w:val="24"/>
          <w:szCs w:val="24"/>
        </w:rPr>
        <w:t>le, ştiinţifice şi tehnologice,</w:t>
      </w:r>
    </w:p>
    <w:p w:rsidR="00FA2298" w:rsidRDefault="00C61857" w:rsidP="00445724">
      <w:pPr>
        <w:pStyle w:val="BodyText"/>
        <w:numPr>
          <w:ilvl w:val="0"/>
          <w:numId w:val="36"/>
        </w:numPr>
        <w:spacing w:after="0" w:line="240" w:lineRule="auto"/>
        <w:jc w:val="both"/>
        <w:rPr>
          <w:rFonts w:ascii="Arial" w:hAnsi="Arial" w:cs="Arial"/>
          <w:sz w:val="24"/>
          <w:szCs w:val="24"/>
        </w:rPr>
      </w:pPr>
      <w:r w:rsidRPr="005355E5">
        <w:rPr>
          <w:rFonts w:ascii="Arial" w:hAnsi="Arial" w:cs="Arial"/>
          <w:sz w:val="24"/>
          <w:szCs w:val="24"/>
        </w:rPr>
        <w:t>parcuri</w:t>
      </w:r>
      <w:r w:rsidRPr="005355E5">
        <w:rPr>
          <w:rFonts w:ascii="Arial" w:hAnsi="Arial" w:cs="Arial"/>
          <w:spacing w:val="-16"/>
          <w:sz w:val="24"/>
          <w:szCs w:val="24"/>
        </w:rPr>
        <w:t xml:space="preserve"> </w:t>
      </w:r>
      <w:r w:rsidRPr="005355E5">
        <w:rPr>
          <w:rFonts w:ascii="Arial" w:hAnsi="Arial" w:cs="Arial"/>
          <w:sz w:val="24"/>
          <w:szCs w:val="24"/>
        </w:rPr>
        <w:t>logistice;</w:t>
      </w:r>
      <w:r w:rsidRPr="00FA2298">
        <w:rPr>
          <w:rFonts w:ascii="Arial" w:hAnsi="Arial" w:cs="Arial"/>
          <w:sz w:val="24"/>
          <w:szCs w:val="24"/>
        </w:rPr>
        <w:t>incubatoare şi centre de</w:t>
      </w:r>
      <w:r w:rsidRPr="00FA2298">
        <w:rPr>
          <w:rFonts w:ascii="Arial" w:hAnsi="Arial" w:cs="Arial"/>
          <w:spacing w:val="-12"/>
          <w:sz w:val="24"/>
          <w:szCs w:val="24"/>
        </w:rPr>
        <w:t xml:space="preserve"> </w:t>
      </w:r>
      <w:r w:rsidRPr="00FA2298">
        <w:rPr>
          <w:rFonts w:ascii="Arial" w:hAnsi="Arial" w:cs="Arial"/>
          <w:sz w:val="24"/>
          <w:szCs w:val="24"/>
        </w:rPr>
        <w:t>afaceri;</w:t>
      </w:r>
    </w:p>
    <w:p w:rsidR="00FA2298" w:rsidRPr="00FA2298" w:rsidRDefault="00C61857" w:rsidP="00445724">
      <w:pPr>
        <w:pStyle w:val="BodyText"/>
        <w:numPr>
          <w:ilvl w:val="0"/>
          <w:numId w:val="36"/>
        </w:numPr>
        <w:spacing w:after="0" w:line="240" w:lineRule="auto"/>
        <w:jc w:val="both"/>
        <w:rPr>
          <w:rFonts w:ascii="Arial" w:hAnsi="Arial" w:cs="Arial"/>
          <w:sz w:val="24"/>
          <w:szCs w:val="24"/>
        </w:rPr>
      </w:pPr>
      <w:r w:rsidRPr="00FA2298">
        <w:rPr>
          <w:rFonts w:ascii="Arial" w:hAnsi="Arial" w:cs="Arial"/>
          <w:sz w:val="24"/>
          <w:szCs w:val="24"/>
        </w:rPr>
        <w:t>locaţii</w:t>
      </w:r>
      <w:r w:rsidRPr="00FA2298">
        <w:rPr>
          <w:rFonts w:ascii="Arial" w:hAnsi="Arial" w:cs="Arial"/>
          <w:spacing w:val="-4"/>
          <w:sz w:val="24"/>
          <w:szCs w:val="24"/>
        </w:rPr>
        <w:t xml:space="preserve"> </w:t>
      </w:r>
      <w:r w:rsidRPr="00FA2298">
        <w:rPr>
          <w:rFonts w:ascii="Arial" w:hAnsi="Arial" w:cs="Arial"/>
          <w:sz w:val="24"/>
          <w:szCs w:val="24"/>
        </w:rPr>
        <w:t>individuale;</w:t>
      </w:r>
      <w:r w:rsidR="00FA2298">
        <w:rPr>
          <w:rFonts w:ascii="Arial" w:hAnsi="Arial" w:cs="Arial"/>
          <w:sz w:val="24"/>
          <w:szCs w:val="24"/>
        </w:rPr>
        <w:t xml:space="preserve"> </w:t>
      </w:r>
      <w:r w:rsidRPr="00FA2298">
        <w:rPr>
          <w:rFonts w:ascii="Arial" w:hAnsi="Arial" w:cs="Arial"/>
          <w:sz w:val="24"/>
          <w:szCs w:val="24"/>
        </w:rPr>
        <w:t>spaţii / clădiri de</w:t>
      </w:r>
      <w:r w:rsidRPr="00FA2298">
        <w:rPr>
          <w:rFonts w:ascii="Arial" w:hAnsi="Arial" w:cs="Arial"/>
          <w:spacing w:val="-3"/>
          <w:sz w:val="24"/>
          <w:szCs w:val="24"/>
        </w:rPr>
        <w:t xml:space="preserve"> </w:t>
      </w:r>
      <w:r w:rsidRPr="00FA2298">
        <w:rPr>
          <w:rFonts w:ascii="Arial" w:hAnsi="Arial" w:cs="Arial"/>
          <w:sz w:val="24"/>
          <w:szCs w:val="24"/>
        </w:rPr>
        <w:t>birouri. (</w:t>
      </w:r>
      <w:r w:rsidRPr="00FA2298">
        <w:rPr>
          <w:rFonts w:ascii="Arial" w:hAnsi="Arial" w:cs="Arial"/>
          <w:i/>
          <w:sz w:val="24"/>
          <w:szCs w:val="24"/>
        </w:rPr>
        <w:t>PDR Regiunea Vest pag. 79-80</w:t>
      </w:r>
      <w:r w:rsidRPr="00FA2298">
        <w:rPr>
          <w:rFonts w:ascii="Arial" w:hAnsi="Arial" w:cs="Arial"/>
          <w:sz w:val="24"/>
          <w:szCs w:val="24"/>
        </w:rPr>
        <w:t>).</w:t>
      </w:r>
      <w:bookmarkStart w:id="50" w:name="_Toc465489992"/>
      <w:bookmarkStart w:id="51" w:name="_Toc488066031"/>
    </w:p>
    <w:p w:rsidR="00FA2298" w:rsidRDefault="00FA2298" w:rsidP="00FA2298">
      <w:pPr>
        <w:pStyle w:val="BodyText"/>
        <w:spacing w:after="0" w:line="240" w:lineRule="auto"/>
        <w:ind w:left="-90"/>
        <w:jc w:val="both"/>
        <w:rPr>
          <w:rFonts w:ascii="Arial" w:hAnsi="Arial" w:cs="Arial"/>
          <w:sz w:val="24"/>
          <w:szCs w:val="24"/>
        </w:rPr>
      </w:pPr>
    </w:p>
    <w:p w:rsidR="005E2AB8" w:rsidRDefault="005E2AB8" w:rsidP="00FA2298">
      <w:pPr>
        <w:pStyle w:val="BodyText"/>
        <w:spacing w:after="0" w:line="240" w:lineRule="auto"/>
        <w:ind w:left="-90"/>
        <w:jc w:val="both"/>
        <w:rPr>
          <w:rFonts w:ascii="Arial" w:hAnsi="Arial" w:cs="Arial"/>
          <w:sz w:val="24"/>
          <w:szCs w:val="24"/>
        </w:rPr>
      </w:pPr>
    </w:p>
    <w:p w:rsidR="00FA2298" w:rsidRDefault="00B268A2" w:rsidP="00FA2298">
      <w:pPr>
        <w:pStyle w:val="BodyText"/>
        <w:spacing w:after="0" w:line="240" w:lineRule="auto"/>
        <w:ind w:left="-90"/>
        <w:jc w:val="both"/>
        <w:rPr>
          <w:rFonts w:ascii="Arial" w:eastAsia="TimesNewRomanPSMT" w:hAnsi="Arial" w:cs="Arial"/>
          <w:i/>
          <w:iCs/>
          <w:sz w:val="24"/>
          <w:szCs w:val="24"/>
          <w:lang w:val="en-US"/>
        </w:rPr>
      </w:pPr>
      <w:r w:rsidRPr="00FA2298">
        <w:rPr>
          <w:rFonts w:ascii="Arial" w:hAnsi="Arial" w:cs="Arial"/>
          <w:sz w:val="24"/>
          <w:szCs w:val="24"/>
        </w:rPr>
        <w:lastRenderedPageBreak/>
        <w:t>4.3.3. Infrastructura de transport, tehnică, edilitară, de comunicaţii şi de mediu</w:t>
      </w:r>
      <w:bookmarkEnd w:id="50"/>
      <w:bookmarkEnd w:id="51"/>
      <w:r w:rsidRPr="00FA2298">
        <w:rPr>
          <w:rFonts w:ascii="TimesNewRomanPSMT" w:eastAsia="TimesNewRomanPSMT" w:cs="TimesNewRomanPSMT"/>
          <w:sz w:val="23"/>
          <w:szCs w:val="23"/>
          <w:lang w:val="en-US"/>
        </w:rPr>
        <w:t>(</w:t>
      </w:r>
      <w:r w:rsidRPr="00FA2298">
        <w:rPr>
          <w:rFonts w:ascii="Arial" w:eastAsia="TimesNewRomanPSMT" w:hAnsi="Arial" w:cs="Arial"/>
          <w:i/>
          <w:sz w:val="24"/>
          <w:szCs w:val="24"/>
          <w:lang w:val="en-US"/>
        </w:rPr>
        <w:t>informa</w:t>
      </w:r>
      <w:r w:rsidRPr="00FA2298">
        <w:rPr>
          <w:rFonts w:ascii="Arial" w:eastAsia="TimesNewRomanPSMT" w:hAnsi="Arial" w:cs="Arial"/>
          <w:i/>
          <w:sz w:val="24"/>
          <w:szCs w:val="24"/>
        </w:rPr>
        <w:t xml:space="preserve">ții preluate din </w:t>
      </w:r>
      <w:r w:rsidRPr="00FA2298">
        <w:rPr>
          <w:rFonts w:ascii="Arial" w:eastAsia="TimesNewRomanPSMT" w:hAnsi="Arial" w:cs="Arial"/>
          <w:i/>
          <w:iCs/>
          <w:sz w:val="24"/>
          <w:szCs w:val="24"/>
          <w:lang w:val="en-US"/>
        </w:rPr>
        <w:t>PDR Regiunea Vest 2014-2020, pag. 67- 80)</w:t>
      </w:r>
      <w:r w:rsidR="00FA2298">
        <w:rPr>
          <w:rFonts w:ascii="Arial" w:eastAsia="TimesNewRomanPSMT" w:hAnsi="Arial" w:cs="Arial"/>
          <w:i/>
          <w:iCs/>
          <w:sz w:val="24"/>
          <w:szCs w:val="24"/>
          <w:lang w:val="en-US"/>
        </w:rPr>
        <w:t>.</w:t>
      </w:r>
    </w:p>
    <w:p w:rsidR="00FA2298" w:rsidRDefault="00FA2298" w:rsidP="00FA2298">
      <w:pPr>
        <w:pStyle w:val="BodyText"/>
        <w:spacing w:after="0" w:line="240" w:lineRule="auto"/>
        <w:ind w:left="-90"/>
        <w:jc w:val="both"/>
        <w:rPr>
          <w:rFonts w:ascii="Arial" w:eastAsia="TimesNewRomanPSMT" w:hAnsi="Arial" w:cs="Arial"/>
          <w:i/>
          <w:iCs/>
          <w:sz w:val="24"/>
          <w:szCs w:val="24"/>
          <w:lang w:val="en-US"/>
        </w:rPr>
      </w:pPr>
    </w:p>
    <w:p w:rsidR="00376BF9" w:rsidRDefault="009E272E" w:rsidP="00FA2298">
      <w:pPr>
        <w:pStyle w:val="BodyText"/>
        <w:spacing w:after="0" w:line="240" w:lineRule="auto"/>
        <w:ind w:left="-90"/>
        <w:jc w:val="both"/>
        <w:rPr>
          <w:rFonts w:ascii="Arial" w:eastAsia="TimesNewRomanPSMT" w:hAnsi="Arial" w:cs="Arial"/>
          <w:i/>
          <w:iCs/>
          <w:sz w:val="24"/>
          <w:szCs w:val="24"/>
          <w:lang w:val="en-US"/>
        </w:rPr>
      </w:pPr>
      <w:r w:rsidRPr="00FA2298">
        <w:rPr>
          <w:rFonts w:ascii="Arial" w:hAnsi="Arial" w:cs="Arial"/>
          <w:i/>
          <w:sz w:val="24"/>
          <w:szCs w:val="24"/>
        </w:rPr>
        <w:t>Infrastructura rutieră</w:t>
      </w:r>
      <w:r w:rsidRPr="00FA2298">
        <w:rPr>
          <w:rFonts w:ascii="Arial" w:hAnsi="Arial" w:cs="Arial"/>
          <w:sz w:val="24"/>
          <w:szCs w:val="24"/>
        </w:rPr>
        <w:t xml:space="preserve"> a Regiunii Vest este printre cele mai slab dezvoltate din România. Acest fapt se evidenţiază atât prin lungimea redusă a drumurilor publice, 10.428 km</w:t>
      </w:r>
      <w:r w:rsidRPr="00FA2298">
        <w:rPr>
          <w:rFonts w:ascii="Arial" w:hAnsi="Arial" w:cs="Arial"/>
          <w:spacing w:val="-13"/>
          <w:sz w:val="24"/>
          <w:szCs w:val="24"/>
        </w:rPr>
        <w:t xml:space="preserve"> </w:t>
      </w:r>
      <w:r w:rsidRPr="00FA2298">
        <w:rPr>
          <w:rFonts w:ascii="Arial" w:hAnsi="Arial" w:cs="Arial"/>
          <w:sz w:val="24"/>
          <w:szCs w:val="24"/>
        </w:rPr>
        <w:t>la</w:t>
      </w:r>
      <w:r w:rsidRPr="00FA2298">
        <w:rPr>
          <w:rFonts w:ascii="Arial" w:hAnsi="Arial" w:cs="Arial"/>
          <w:spacing w:val="-14"/>
          <w:sz w:val="24"/>
          <w:szCs w:val="24"/>
        </w:rPr>
        <w:t xml:space="preserve"> </w:t>
      </w:r>
      <w:r w:rsidRPr="00FA2298">
        <w:rPr>
          <w:rFonts w:ascii="Arial" w:hAnsi="Arial" w:cs="Arial"/>
          <w:sz w:val="24"/>
          <w:szCs w:val="24"/>
        </w:rPr>
        <w:t>începutul</w:t>
      </w:r>
      <w:r w:rsidRPr="00FA2298">
        <w:rPr>
          <w:rFonts w:ascii="Arial" w:hAnsi="Arial" w:cs="Arial"/>
          <w:spacing w:val="-14"/>
          <w:sz w:val="24"/>
          <w:szCs w:val="24"/>
        </w:rPr>
        <w:t xml:space="preserve"> </w:t>
      </w:r>
      <w:r w:rsidRPr="00FA2298">
        <w:rPr>
          <w:rFonts w:ascii="Arial" w:hAnsi="Arial" w:cs="Arial"/>
          <w:sz w:val="24"/>
          <w:szCs w:val="24"/>
        </w:rPr>
        <w:t>anului</w:t>
      </w:r>
      <w:r w:rsidRPr="00FA2298">
        <w:rPr>
          <w:rFonts w:ascii="Arial" w:hAnsi="Arial" w:cs="Arial"/>
          <w:spacing w:val="-13"/>
          <w:sz w:val="24"/>
          <w:szCs w:val="24"/>
        </w:rPr>
        <w:t xml:space="preserve"> </w:t>
      </w:r>
      <w:r w:rsidRPr="00FA2298">
        <w:rPr>
          <w:rFonts w:ascii="Arial" w:hAnsi="Arial" w:cs="Arial"/>
          <w:sz w:val="24"/>
          <w:szCs w:val="24"/>
        </w:rPr>
        <w:t>2011</w:t>
      </w:r>
      <w:r w:rsidRPr="00FA2298">
        <w:rPr>
          <w:rFonts w:ascii="Arial" w:hAnsi="Arial" w:cs="Arial"/>
          <w:spacing w:val="-13"/>
          <w:sz w:val="24"/>
          <w:szCs w:val="24"/>
        </w:rPr>
        <w:t xml:space="preserve"> </w:t>
      </w:r>
      <w:r w:rsidRPr="00FA2298">
        <w:rPr>
          <w:rFonts w:ascii="Arial" w:hAnsi="Arial" w:cs="Arial"/>
          <w:sz w:val="24"/>
          <w:szCs w:val="24"/>
        </w:rPr>
        <w:t>(ultima</w:t>
      </w:r>
      <w:r w:rsidRPr="00FA2298">
        <w:rPr>
          <w:rFonts w:ascii="Arial" w:hAnsi="Arial" w:cs="Arial"/>
          <w:spacing w:val="-14"/>
          <w:sz w:val="24"/>
          <w:szCs w:val="24"/>
        </w:rPr>
        <w:t xml:space="preserve"> </w:t>
      </w:r>
      <w:r w:rsidRPr="00FA2298">
        <w:rPr>
          <w:rFonts w:ascii="Arial" w:hAnsi="Arial" w:cs="Arial"/>
          <w:sz w:val="24"/>
          <w:szCs w:val="24"/>
        </w:rPr>
        <w:t>regiune</w:t>
      </w:r>
      <w:r w:rsidRPr="00FA2298">
        <w:rPr>
          <w:rFonts w:ascii="Arial" w:hAnsi="Arial" w:cs="Arial"/>
          <w:spacing w:val="-14"/>
          <w:sz w:val="24"/>
          <w:szCs w:val="24"/>
        </w:rPr>
        <w:t xml:space="preserve"> </w:t>
      </w:r>
      <w:r w:rsidRPr="00FA2298">
        <w:rPr>
          <w:rFonts w:ascii="Arial" w:hAnsi="Arial" w:cs="Arial"/>
          <w:sz w:val="24"/>
          <w:szCs w:val="24"/>
        </w:rPr>
        <w:t>din</w:t>
      </w:r>
      <w:r w:rsidRPr="00FA2298">
        <w:rPr>
          <w:rFonts w:ascii="Arial" w:hAnsi="Arial" w:cs="Arial"/>
          <w:spacing w:val="-13"/>
          <w:sz w:val="24"/>
          <w:szCs w:val="24"/>
        </w:rPr>
        <w:t xml:space="preserve"> </w:t>
      </w:r>
      <w:r w:rsidRPr="00FA2298">
        <w:rPr>
          <w:rFonts w:ascii="Arial" w:hAnsi="Arial" w:cs="Arial"/>
          <w:sz w:val="24"/>
          <w:szCs w:val="24"/>
        </w:rPr>
        <w:t>România,</w:t>
      </w:r>
      <w:r w:rsidRPr="00FA2298">
        <w:rPr>
          <w:rFonts w:ascii="Arial" w:hAnsi="Arial" w:cs="Arial"/>
          <w:spacing w:val="-13"/>
          <w:sz w:val="24"/>
          <w:szCs w:val="24"/>
        </w:rPr>
        <w:t xml:space="preserve"> </w:t>
      </w:r>
      <w:r w:rsidRPr="00FA2298">
        <w:rPr>
          <w:rFonts w:ascii="Arial" w:hAnsi="Arial" w:cs="Arial"/>
          <w:sz w:val="24"/>
          <w:szCs w:val="24"/>
        </w:rPr>
        <w:t>din</w:t>
      </w:r>
      <w:r w:rsidRPr="00FA2298">
        <w:rPr>
          <w:rFonts w:ascii="Arial" w:hAnsi="Arial" w:cs="Arial"/>
          <w:spacing w:val="-13"/>
          <w:sz w:val="24"/>
          <w:szCs w:val="24"/>
        </w:rPr>
        <w:t xml:space="preserve"> </w:t>
      </w:r>
      <w:r w:rsidRPr="00FA2298">
        <w:rPr>
          <w:rFonts w:ascii="Arial" w:hAnsi="Arial" w:cs="Arial"/>
          <w:sz w:val="24"/>
          <w:szCs w:val="24"/>
        </w:rPr>
        <w:t>acest</w:t>
      </w:r>
      <w:r w:rsidRPr="00FA2298">
        <w:rPr>
          <w:rFonts w:ascii="Arial" w:hAnsi="Arial" w:cs="Arial"/>
          <w:spacing w:val="-13"/>
          <w:sz w:val="24"/>
          <w:szCs w:val="24"/>
        </w:rPr>
        <w:t xml:space="preserve"> </w:t>
      </w:r>
      <w:r w:rsidRPr="00FA2298">
        <w:rPr>
          <w:rFonts w:ascii="Arial" w:hAnsi="Arial" w:cs="Arial"/>
          <w:sz w:val="24"/>
          <w:szCs w:val="24"/>
        </w:rPr>
        <w:t>punct</w:t>
      </w:r>
      <w:r w:rsidRPr="00FA2298">
        <w:rPr>
          <w:rFonts w:ascii="Arial" w:hAnsi="Arial" w:cs="Arial"/>
          <w:spacing w:val="-14"/>
          <w:sz w:val="24"/>
          <w:szCs w:val="24"/>
        </w:rPr>
        <w:t xml:space="preserve"> </w:t>
      </w:r>
      <w:r w:rsidRPr="00FA2298">
        <w:rPr>
          <w:rFonts w:ascii="Arial" w:hAnsi="Arial" w:cs="Arial"/>
          <w:sz w:val="24"/>
          <w:szCs w:val="24"/>
        </w:rPr>
        <w:t>de</w:t>
      </w:r>
      <w:r w:rsidRPr="00FA2298">
        <w:rPr>
          <w:rFonts w:ascii="Arial" w:hAnsi="Arial" w:cs="Arial"/>
          <w:spacing w:val="-14"/>
          <w:sz w:val="24"/>
          <w:szCs w:val="24"/>
        </w:rPr>
        <w:t xml:space="preserve"> </w:t>
      </w:r>
      <w:r w:rsidRPr="00FA2298">
        <w:rPr>
          <w:rFonts w:ascii="Arial" w:hAnsi="Arial" w:cs="Arial"/>
          <w:sz w:val="24"/>
          <w:szCs w:val="24"/>
        </w:rPr>
        <w:t>vedere,</w:t>
      </w:r>
      <w:r w:rsidRPr="00FA2298">
        <w:rPr>
          <w:rFonts w:ascii="Arial" w:hAnsi="Arial" w:cs="Arial"/>
          <w:spacing w:val="-13"/>
          <w:sz w:val="24"/>
          <w:szCs w:val="24"/>
        </w:rPr>
        <w:t xml:space="preserve"> </w:t>
      </w:r>
      <w:r w:rsidRPr="00FA2298">
        <w:rPr>
          <w:rFonts w:ascii="Arial" w:hAnsi="Arial" w:cs="Arial"/>
          <w:sz w:val="24"/>
          <w:szCs w:val="24"/>
        </w:rPr>
        <w:t>neluând în</w:t>
      </w:r>
      <w:r w:rsidRPr="00FA2298">
        <w:rPr>
          <w:rFonts w:ascii="Arial" w:hAnsi="Arial" w:cs="Arial"/>
          <w:spacing w:val="-12"/>
          <w:sz w:val="24"/>
          <w:szCs w:val="24"/>
        </w:rPr>
        <w:t xml:space="preserve"> </w:t>
      </w:r>
      <w:r w:rsidRPr="00FA2298">
        <w:rPr>
          <w:rFonts w:ascii="Arial" w:hAnsi="Arial" w:cs="Arial"/>
          <w:sz w:val="24"/>
          <w:szCs w:val="24"/>
        </w:rPr>
        <w:t>calcul</w:t>
      </w:r>
      <w:r w:rsidRPr="00FA2298">
        <w:rPr>
          <w:rFonts w:ascii="Arial" w:hAnsi="Arial" w:cs="Arial"/>
          <w:spacing w:val="-12"/>
          <w:sz w:val="24"/>
          <w:szCs w:val="24"/>
        </w:rPr>
        <w:t xml:space="preserve"> </w:t>
      </w:r>
      <w:r w:rsidRPr="00FA2298">
        <w:rPr>
          <w:rFonts w:ascii="Arial" w:hAnsi="Arial" w:cs="Arial"/>
          <w:sz w:val="24"/>
          <w:szCs w:val="24"/>
        </w:rPr>
        <w:t>Regiunea</w:t>
      </w:r>
      <w:r w:rsidRPr="00FA2298">
        <w:rPr>
          <w:rFonts w:ascii="Arial" w:hAnsi="Arial" w:cs="Arial"/>
          <w:spacing w:val="-12"/>
          <w:sz w:val="24"/>
          <w:szCs w:val="24"/>
        </w:rPr>
        <w:t xml:space="preserve"> </w:t>
      </w:r>
      <w:r w:rsidRPr="00FA2298">
        <w:rPr>
          <w:rFonts w:ascii="Arial" w:hAnsi="Arial" w:cs="Arial"/>
          <w:sz w:val="24"/>
          <w:szCs w:val="24"/>
        </w:rPr>
        <w:t>Bucureşti-Ilfov,</w:t>
      </w:r>
      <w:r w:rsidRPr="00FA2298">
        <w:rPr>
          <w:rFonts w:ascii="Arial" w:hAnsi="Arial" w:cs="Arial"/>
          <w:spacing w:val="-11"/>
          <w:sz w:val="24"/>
          <w:szCs w:val="24"/>
        </w:rPr>
        <w:t xml:space="preserve"> </w:t>
      </w:r>
      <w:r w:rsidRPr="00FA2298">
        <w:rPr>
          <w:rFonts w:ascii="Arial" w:hAnsi="Arial" w:cs="Arial"/>
          <w:sz w:val="24"/>
          <w:szCs w:val="24"/>
        </w:rPr>
        <w:t>care</w:t>
      </w:r>
      <w:r w:rsidRPr="00FA2298">
        <w:rPr>
          <w:rFonts w:ascii="Arial" w:hAnsi="Arial" w:cs="Arial"/>
          <w:spacing w:val="-13"/>
          <w:sz w:val="24"/>
          <w:szCs w:val="24"/>
        </w:rPr>
        <w:t xml:space="preserve"> </w:t>
      </w:r>
      <w:r w:rsidRPr="00FA2298">
        <w:rPr>
          <w:rFonts w:ascii="Arial" w:hAnsi="Arial" w:cs="Arial"/>
          <w:sz w:val="24"/>
          <w:szCs w:val="24"/>
        </w:rPr>
        <w:t>are</w:t>
      </w:r>
      <w:r w:rsidRPr="00FA2298">
        <w:rPr>
          <w:rFonts w:ascii="Arial" w:hAnsi="Arial" w:cs="Arial"/>
          <w:spacing w:val="-13"/>
          <w:sz w:val="24"/>
          <w:szCs w:val="24"/>
        </w:rPr>
        <w:t xml:space="preserve"> </w:t>
      </w:r>
      <w:r w:rsidRPr="00FA2298">
        <w:rPr>
          <w:rFonts w:ascii="Arial" w:hAnsi="Arial" w:cs="Arial"/>
          <w:sz w:val="24"/>
          <w:szCs w:val="24"/>
        </w:rPr>
        <w:t>un</w:t>
      </w:r>
      <w:r w:rsidRPr="00FA2298">
        <w:rPr>
          <w:rFonts w:ascii="Arial" w:hAnsi="Arial" w:cs="Arial"/>
          <w:spacing w:val="-14"/>
          <w:sz w:val="24"/>
          <w:szCs w:val="24"/>
        </w:rPr>
        <w:t xml:space="preserve"> </w:t>
      </w:r>
      <w:r w:rsidRPr="00FA2298">
        <w:rPr>
          <w:rFonts w:ascii="Arial" w:hAnsi="Arial" w:cs="Arial"/>
          <w:sz w:val="24"/>
          <w:szCs w:val="24"/>
        </w:rPr>
        <w:t>statut</w:t>
      </w:r>
      <w:r w:rsidRPr="00FA2298">
        <w:rPr>
          <w:rFonts w:ascii="Arial" w:hAnsi="Arial" w:cs="Arial"/>
          <w:spacing w:val="-12"/>
          <w:sz w:val="24"/>
          <w:szCs w:val="24"/>
        </w:rPr>
        <w:t xml:space="preserve"> </w:t>
      </w:r>
      <w:r w:rsidRPr="00FA2298">
        <w:rPr>
          <w:rFonts w:ascii="Arial" w:hAnsi="Arial" w:cs="Arial"/>
          <w:sz w:val="24"/>
          <w:szCs w:val="24"/>
        </w:rPr>
        <w:t>aparte),</w:t>
      </w:r>
      <w:r w:rsidRPr="00FA2298">
        <w:rPr>
          <w:rFonts w:ascii="Arial" w:hAnsi="Arial" w:cs="Arial"/>
          <w:spacing w:val="-11"/>
          <w:sz w:val="24"/>
          <w:szCs w:val="24"/>
        </w:rPr>
        <w:t xml:space="preserve"> </w:t>
      </w:r>
      <w:r w:rsidRPr="00FA2298">
        <w:rPr>
          <w:rFonts w:ascii="Arial" w:hAnsi="Arial" w:cs="Arial"/>
          <w:sz w:val="24"/>
          <w:szCs w:val="24"/>
        </w:rPr>
        <w:t>cât</w:t>
      </w:r>
      <w:r w:rsidRPr="00FA2298">
        <w:rPr>
          <w:rFonts w:ascii="Arial" w:hAnsi="Arial" w:cs="Arial"/>
          <w:spacing w:val="-12"/>
          <w:sz w:val="24"/>
          <w:szCs w:val="24"/>
        </w:rPr>
        <w:t xml:space="preserve"> </w:t>
      </w:r>
      <w:r w:rsidRPr="00FA2298">
        <w:rPr>
          <w:rFonts w:ascii="Arial" w:hAnsi="Arial" w:cs="Arial"/>
          <w:sz w:val="24"/>
          <w:szCs w:val="24"/>
        </w:rPr>
        <w:t>şi</w:t>
      </w:r>
      <w:r w:rsidRPr="00FA2298">
        <w:rPr>
          <w:rFonts w:ascii="Arial" w:hAnsi="Arial" w:cs="Arial"/>
          <w:spacing w:val="-13"/>
          <w:sz w:val="24"/>
          <w:szCs w:val="24"/>
        </w:rPr>
        <w:t xml:space="preserve"> </w:t>
      </w:r>
      <w:r w:rsidRPr="00FA2298">
        <w:rPr>
          <w:rFonts w:ascii="Arial" w:hAnsi="Arial" w:cs="Arial"/>
          <w:sz w:val="24"/>
          <w:szCs w:val="24"/>
        </w:rPr>
        <w:t>prin</w:t>
      </w:r>
      <w:r w:rsidRPr="00FA2298">
        <w:rPr>
          <w:rFonts w:ascii="Arial" w:hAnsi="Arial" w:cs="Arial"/>
          <w:spacing w:val="-12"/>
          <w:sz w:val="24"/>
          <w:szCs w:val="24"/>
        </w:rPr>
        <w:t xml:space="preserve"> </w:t>
      </w:r>
      <w:r w:rsidRPr="00FA2298">
        <w:rPr>
          <w:rFonts w:ascii="Arial" w:hAnsi="Arial" w:cs="Arial"/>
          <w:sz w:val="24"/>
          <w:szCs w:val="24"/>
        </w:rPr>
        <w:t>densitatea</w:t>
      </w:r>
      <w:r w:rsidRPr="00FA2298">
        <w:rPr>
          <w:rFonts w:ascii="Arial" w:hAnsi="Arial" w:cs="Arial"/>
          <w:spacing w:val="-12"/>
          <w:sz w:val="24"/>
          <w:szCs w:val="24"/>
        </w:rPr>
        <w:t xml:space="preserve"> </w:t>
      </w:r>
      <w:r w:rsidRPr="00FA2298">
        <w:rPr>
          <w:rFonts w:ascii="Arial" w:hAnsi="Arial" w:cs="Arial"/>
          <w:sz w:val="24"/>
          <w:szCs w:val="24"/>
        </w:rPr>
        <w:t>drumurilor publice la 100km</w:t>
      </w:r>
      <w:r w:rsidRPr="00FA2298">
        <w:rPr>
          <w:rFonts w:ascii="Arial" w:hAnsi="Arial" w:cs="Arial"/>
          <w:position w:val="9"/>
          <w:sz w:val="24"/>
          <w:szCs w:val="24"/>
        </w:rPr>
        <w:t xml:space="preserve">2 </w:t>
      </w:r>
      <w:r w:rsidRPr="00FA2298">
        <w:rPr>
          <w:rFonts w:ascii="Arial" w:hAnsi="Arial" w:cs="Arial"/>
          <w:sz w:val="24"/>
          <w:szCs w:val="24"/>
        </w:rPr>
        <w:t>teritoriu, de 32,6% , ceea ce o plasează doar înaintea Regiunilor Centru şi Sud-Est şi sub media naţională, de 34,6%. Analizând, la nivel judeţean, din punctual de vedere al lungimii reţelelor de drumuri, cel mai bine sunt dezvoltate infrastructurile din judeţele Hunedoara şi Timiş, cu 3.289 km, respectiv 2.930 km având densităţi care sunt apropiate sau chiar depăşesc media naţională (46,6% respectiv 33,7%). Calitatea drumurilor în Regiunea Vest este relativ scăzută în comparaţie cu regiunile de dezvoltare (locul V), doar 3.420 km (32,7%) din toate drumurile fiind modernizate, valoarea fiind uşor peste media naţională.</w:t>
      </w:r>
      <w:r w:rsidR="00A460EA" w:rsidRPr="00FA2298">
        <w:rPr>
          <w:rFonts w:ascii="Arial" w:hAnsi="Arial" w:cs="Arial"/>
          <w:sz w:val="24"/>
          <w:szCs w:val="24"/>
        </w:rPr>
        <w:t>(</w:t>
      </w:r>
      <w:r w:rsidRPr="00FA2298">
        <w:rPr>
          <w:rFonts w:ascii="Arial" w:eastAsia="TimesNewRomanPSMT" w:hAnsi="Arial" w:cs="Arial"/>
          <w:i/>
          <w:sz w:val="24"/>
          <w:szCs w:val="24"/>
          <w:lang w:val="en-US"/>
        </w:rPr>
        <w:t xml:space="preserve"> informa</w:t>
      </w:r>
      <w:r w:rsidRPr="00FA2298">
        <w:rPr>
          <w:rFonts w:ascii="Arial" w:eastAsia="TimesNewRomanPSMT" w:hAnsi="Arial" w:cs="Arial"/>
          <w:i/>
          <w:sz w:val="24"/>
          <w:szCs w:val="24"/>
        </w:rPr>
        <w:t xml:space="preserve">ții preluate din </w:t>
      </w:r>
      <w:r w:rsidRPr="00FA2298">
        <w:rPr>
          <w:rFonts w:ascii="Arial" w:eastAsia="TimesNewRomanPSMT" w:hAnsi="Arial" w:cs="Arial"/>
          <w:i/>
          <w:iCs/>
          <w:sz w:val="24"/>
          <w:szCs w:val="24"/>
          <w:lang w:val="en-US"/>
        </w:rPr>
        <w:t>PDR Regiunea Vest 2014-2020, pag. 45-46</w:t>
      </w:r>
      <w:r w:rsidR="00A460EA" w:rsidRPr="00FA2298">
        <w:rPr>
          <w:rFonts w:ascii="Arial" w:eastAsia="TimesNewRomanPSMT" w:hAnsi="Arial" w:cs="Arial"/>
          <w:i/>
          <w:iCs/>
          <w:sz w:val="24"/>
          <w:szCs w:val="24"/>
          <w:lang w:val="en-US"/>
        </w:rPr>
        <w:t>)</w:t>
      </w:r>
      <w:r w:rsidR="00376BF9">
        <w:rPr>
          <w:rFonts w:ascii="Arial" w:eastAsia="TimesNewRomanPSMT" w:hAnsi="Arial" w:cs="Arial"/>
          <w:i/>
          <w:iCs/>
          <w:sz w:val="24"/>
          <w:szCs w:val="24"/>
          <w:lang w:val="en-US"/>
        </w:rPr>
        <w:t>.</w:t>
      </w:r>
    </w:p>
    <w:p w:rsidR="00FA2298" w:rsidRPr="00FA2298" w:rsidRDefault="009E272E" w:rsidP="00FA2298">
      <w:pPr>
        <w:pStyle w:val="BodyText"/>
        <w:spacing w:after="0" w:line="240" w:lineRule="auto"/>
        <w:ind w:left="-90"/>
        <w:jc w:val="both"/>
        <w:rPr>
          <w:rFonts w:ascii="Arial" w:hAnsi="Arial" w:cs="Arial"/>
          <w:sz w:val="24"/>
          <w:szCs w:val="24"/>
        </w:rPr>
      </w:pPr>
      <w:r w:rsidRPr="00FA2298">
        <w:rPr>
          <w:rFonts w:ascii="Arial" w:hAnsi="Arial" w:cs="Arial"/>
          <w:i/>
          <w:sz w:val="24"/>
          <w:szCs w:val="24"/>
        </w:rPr>
        <w:t>Infrastructura feroviară</w:t>
      </w:r>
      <w:r w:rsidRPr="00FA2298">
        <w:rPr>
          <w:rFonts w:ascii="Arial" w:hAnsi="Arial" w:cs="Arial"/>
          <w:sz w:val="24"/>
          <w:szCs w:val="24"/>
        </w:rPr>
        <w:t xml:space="preserve"> este dată, în general, de totalitatea lucrărilor care susţin suprastructura căii ferate, asigurând legătura cu terenul şi transmiterea către acesta a eforturilor statice şi dinamice. Cu o lungime a liniilor de cale ferată de 1.894 km (anul</w:t>
      </w:r>
      <w:r w:rsidRPr="00FA2298">
        <w:rPr>
          <w:rFonts w:ascii="Arial" w:hAnsi="Arial" w:cs="Arial"/>
          <w:spacing w:val="-38"/>
          <w:sz w:val="24"/>
          <w:szCs w:val="24"/>
        </w:rPr>
        <w:t xml:space="preserve"> </w:t>
      </w:r>
      <w:r w:rsidRPr="00FA2298">
        <w:rPr>
          <w:rFonts w:ascii="Arial" w:hAnsi="Arial" w:cs="Arial"/>
          <w:sz w:val="24"/>
          <w:szCs w:val="24"/>
        </w:rPr>
        <w:t>2011), Regiunea Vest rămâne, ca şi în anii precedenţi zona cu cea mai întinsă reţea feroviară, de pe teritoriul României (aproximativ 17,6% din totalul reţelei la nivel</w:t>
      </w:r>
      <w:r w:rsidRPr="00FA2298">
        <w:rPr>
          <w:rFonts w:ascii="Arial" w:hAnsi="Arial" w:cs="Arial"/>
          <w:spacing w:val="-25"/>
          <w:sz w:val="24"/>
          <w:szCs w:val="24"/>
        </w:rPr>
        <w:t xml:space="preserve"> </w:t>
      </w:r>
      <w:r w:rsidRPr="00FA2298">
        <w:rPr>
          <w:rFonts w:ascii="Arial" w:hAnsi="Arial" w:cs="Arial"/>
          <w:sz w:val="24"/>
          <w:szCs w:val="24"/>
        </w:rPr>
        <w:t>naţional).</w:t>
      </w:r>
      <w:r w:rsidR="00A460EA" w:rsidRPr="00FA2298">
        <w:rPr>
          <w:rFonts w:ascii="Arial" w:hAnsi="Arial" w:cs="Arial"/>
          <w:sz w:val="24"/>
          <w:szCs w:val="24"/>
        </w:rPr>
        <w:t>Cu o densitate de cale ferată de 59 km/1000 km</w:t>
      </w:r>
      <w:r w:rsidR="00A460EA" w:rsidRPr="00FA2298">
        <w:rPr>
          <w:rFonts w:ascii="Arial" w:hAnsi="Arial" w:cs="Arial"/>
          <w:position w:val="9"/>
          <w:sz w:val="24"/>
          <w:szCs w:val="24"/>
        </w:rPr>
        <w:t xml:space="preserve">2 </w:t>
      </w:r>
      <w:r w:rsidR="00A460EA" w:rsidRPr="00FA2298">
        <w:rPr>
          <w:rFonts w:ascii="Arial" w:hAnsi="Arial" w:cs="Arial"/>
          <w:sz w:val="24"/>
          <w:szCs w:val="24"/>
        </w:rPr>
        <w:t>(130,8% din media naţională), regiunea</w:t>
      </w:r>
      <w:r w:rsidR="00A460EA" w:rsidRPr="00FA2298">
        <w:rPr>
          <w:rFonts w:ascii="Arial" w:hAnsi="Arial" w:cs="Arial"/>
          <w:spacing w:val="-7"/>
          <w:sz w:val="24"/>
          <w:szCs w:val="24"/>
        </w:rPr>
        <w:t xml:space="preserve"> </w:t>
      </w:r>
      <w:r w:rsidR="00A460EA" w:rsidRPr="00FA2298">
        <w:rPr>
          <w:rFonts w:ascii="Arial" w:hAnsi="Arial" w:cs="Arial"/>
          <w:sz w:val="24"/>
          <w:szCs w:val="24"/>
        </w:rPr>
        <w:t>ocupă</w:t>
      </w:r>
      <w:r w:rsidR="00A460EA" w:rsidRPr="00FA2298">
        <w:rPr>
          <w:rFonts w:ascii="Arial" w:hAnsi="Arial" w:cs="Arial"/>
          <w:spacing w:val="-7"/>
          <w:sz w:val="24"/>
          <w:szCs w:val="24"/>
        </w:rPr>
        <w:t xml:space="preserve"> </w:t>
      </w:r>
      <w:r w:rsidR="00A460EA" w:rsidRPr="00FA2298">
        <w:rPr>
          <w:rFonts w:ascii="Arial" w:hAnsi="Arial" w:cs="Arial"/>
          <w:sz w:val="24"/>
          <w:szCs w:val="24"/>
        </w:rPr>
        <w:t>locul</w:t>
      </w:r>
      <w:r w:rsidR="00A460EA" w:rsidRPr="00FA2298">
        <w:rPr>
          <w:rFonts w:ascii="Arial" w:hAnsi="Arial" w:cs="Arial"/>
          <w:spacing w:val="-7"/>
          <w:sz w:val="24"/>
          <w:szCs w:val="24"/>
        </w:rPr>
        <w:t xml:space="preserve"> </w:t>
      </w:r>
      <w:r w:rsidR="00A460EA" w:rsidRPr="00FA2298">
        <w:rPr>
          <w:rFonts w:ascii="Arial" w:hAnsi="Arial" w:cs="Arial"/>
          <w:sz w:val="24"/>
          <w:szCs w:val="24"/>
        </w:rPr>
        <w:t>2</w:t>
      </w:r>
      <w:r w:rsidR="00A460EA" w:rsidRPr="00FA2298">
        <w:rPr>
          <w:rFonts w:ascii="Arial" w:hAnsi="Arial" w:cs="Arial"/>
          <w:spacing w:val="-7"/>
          <w:sz w:val="24"/>
          <w:szCs w:val="24"/>
        </w:rPr>
        <w:t xml:space="preserve"> </w:t>
      </w:r>
      <w:r w:rsidR="00A460EA" w:rsidRPr="00FA2298">
        <w:rPr>
          <w:rFonts w:ascii="Arial" w:hAnsi="Arial" w:cs="Arial"/>
          <w:sz w:val="24"/>
          <w:szCs w:val="24"/>
        </w:rPr>
        <w:t>în</w:t>
      </w:r>
      <w:r w:rsidR="00A460EA" w:rsidRPr="00FA2298">
        <w:rPr>
          <w:rFonts w:ascii="Arial" w:hAnsi="Arial" w:cs="Arial"/>
          <w:spacing w:val="-7"/>
          <w:sz w:val="24"/>
          <w:szCs w:val="24"/>
        </w:rPr>
        <w:t xml:space="preserve"> </w:t>
      </w:r>
      <w:r w:rsidR="00A460EA" w:rsidRPr="00FA2298">
        <w:rPr>
          <w:rFonts w:ascii="Arial" w:hAnsi="Arial" w:cs="Arial"/>
          <w:sz w:val="24"/>
          <w:szCs w:val="24"/>
        </w:rPr>
        <w:t>România</w:t>
      </w:r>
      <w:r w:rsidR="00A460EA" w:rsidRPr="00FA2298">
        <w:rPr>
          <w:rFonts w:ascii="Arial" w:hAnsi="Arial" w:cs="Arial"/>
          <w:spacing w:val="-7"/>
          <w:sz w:val="24"/>
          <w:szCs w:val="24"/>
        </w:rPr>
        <w:t xml:space="preserve"> </w:t>
      </w:r>
      <w:r w:rsidR="00A460EA" w:rsidRPr="00FA2298">
        <w:rPr>
          <w:rFonts w:ascii="Arial" w:hAnsi="Arial" w:cs="Arial"/>
          <w:sz w:val="24"/>
          <w:szCs w:val="24"/>
        </w:rPr>
        <w:t>şi</w:t>
      </w:r>
      <w:r w:rsidR="00A460EA" w:rsidRPr="00FA2298">
        <w:rPr>
          <w:rFonts w:ascii="Arial" w:hAnsi="Arial" w:cs="Arial"/>
          <w:spacing w:val="-6"/>
          <w:sz w:val="24"/>
          <w:szCs w:val="24"/>
        </w:rPr>
        <w:t xml:space="preserve"> </w:t>
      </w:r>
      <w:r w:rsidR="00A460EA" w:rsidRPr="00FA2298">
        <w:rPr>
          <w:rFonts w:ascii="Arial" w:hAnsi="Arial" w:cs="Arial"/>
          <w:sz w:val="24"/>
          <w:szCs w:val="24"/>
        </w:rPr>
        <w:t>are</w:t>
      </w:r>
      <w:r w:rsidR="00A460EA" w:rsidRPr="00FA2298">
        <w:rPr>
          <w:rFonts w:ascii="Arial" w:hAnsi="Arial" w:cs="Arial"/>
          <w:spacing w:val="-6"/>
          <w:sz w:val="24"/>
          <w:szCs w:val="24"/>
        </w:rPr>
        <w:t xml:space="preserve"> </w:t>
      </w:r>
      <w:r w:rsidR="00A460EA" w:rsidRPr="00FA2298">
        <w:rPr>
          <w:rFonts w:ascii="Arial" w:hAnsi="Arial" w:cs="Arial"/>
          <w:sz w:val="24"/>
          <w:szCs w:val="24"/>
        </w:rPr>
        <w:t>o</w:t>
      </w:r>
      <w:r w:rsidR="00A460EA" w:rsidRPr="00FA2298">
        <w:rPr>
          <w:rFonts w:ascii="Arial" w:hAnsi="Arial" w:cs="Arial"/>
          <w:spacing w:val="-6"/>
          <w:sz w:val="24"/>
          <w:szCs w:val="24"/>
        </w:rPr>
        <w:t xml:space="preserve"> </w:t>
      </w:r>
      <w:r w:rsidR="00A460EA" w:rsidRPr="00FA2298">
        <w:rPr>
          <w:rFonts w:ascii="Arial" w:hAnsi="Arial" w:cs="Arial"/>
          <w:sz w:val="24"/>
          <w:szCs w:val="24"/>
        </w:rPr>
        <w:t>valoare</w:t>
      </w:r>
      <w:r w:rsidR="00A460EA" w:rsidRPr="00FA2298">
        <w:rPr>
          <w:rFonts w:ascii="Arial" w:hAnsi="Arial" w:cs="Arial"/>
          <w:spacing w:val="-7"/>
          <w:sz w:val="24"/>
          <w:szCs w:val="24"/>
        </w:rPr>
        <w:t xml:space="preserve"> </w:t>
      </w:r>
      <w:r w:rsidR="00A460EA" w:rsidRPr="00FA2298">
        <w:rPr>
          <w:rFonts w:ascii="Arial" w:hAnsi="Arial" w:cs="Arial"/>
          <w:sz w:val="24"/>
          <w:szCs w:val="24"/>
        </w:rPr>
        <w:t>semnificativ</w:t>
      </w:r>
      <w:r w:rsidR="00A460EA" w:rsidRPr="00FA2298">
        <w:rPr>
          <w:rFonts w:ascii="Arial" w:hAnsi="Arial" w:cs="Arial"/>
          <w:spacing w:val="-7"/>
          <w:sz w:val="24"/>
          <w:szCs w:val="24"/>
        </w:rPr>
        <w:t xml:space="preserve"> </w:t>
      </w:r>
      <w:r w:rsidR="00A460EA" w:rsidRPr="00FA2298">
        <w:rPr>
          <w:rFonts w:ascii="Arial" w:hAnsi="Arial" w:cs="Arial"/>
          <w:sz w:val="24"/>
          <w:szCs w:val="24"/>
        </w:rPr>
        <w:t>mai</w:t>
      </w:r>
      <w:r w:rsidR="00A460EA" w:rsidRPr="00FA2298">
        <w:rPr>
          <w:rFonts w:ascii="Arial" w:hAnsi="Arial" w:cs="Arial"/>
          <w:spacing w:val="-3"/>
          <w:sz w:val="24"/>
          <w:szCs w:val="24"/>
        </w:rPr>
        <w:t xml:space="preserve"> </w:t>
      </w:r>
      <w:r w:rsidR="00A460EA" w:rsidRPr="00FA2298">
        <w:rPr>
          <w:rFonts w:ascii="Arial" w:hAnsi="Arial" w:cs="Arial"/>
          <w:sz w:val="24"/>
          <w:szCs w:val="24"/>
        </w:rPr>
        <w:t>mare</w:t>
      </w:r>
      <w:r w:rsidR="00A460EA" w:rsidRPr="00FA2298">
        <w:rPr>
          <w:rFonts w:ascii="Arial" w:hAnsi="Arial" w:cs="Arial"/>
          <w:spacing w:val="-7"/>
          <w:sz w:val="24"/>
          <w:szCs w:val="24"/>
        </w:rPr>
        <w:t xml:space="preserve"> </w:t>
      </w:r>
      <w:r w:rsidR="00A460EA" w:rsidRPr="00FA2298">
        <w:rPr>
          <w:rFonts w:ascii="Arial" w:hAnsi="Arial" w:cs="Arial"/>
          <w:sz w:val="24"/>
          <w:szCs w:val="24"/>
        </w:rPr>
        <w:t>decât</w:t>
      </w:r>
      <w:r w:rsidR="00A460EA" w:rsidRPr="00FA2298">
        <w:rPr>
          <w:rFonts w:ascii="Arial" w:hAnsi="Arial" w:cs="Arial"/>
          <w:spacing w:val="-7"/>
          <w:sz w:val="24"/>
          <w:szCs w:val="24"/>
        </w:rPr>
        <w:t xml:space="preserve"> </w:t>
      </w:r>
      <w:r w:rsidR="00A460EA" w:rsidRPr="00FA2298">
        <w:rPr>
          <w:rFonts w:ascii="Arial" w:hAnsi="Arial" w:cs="Arial"/>
          <w:sz w:val="24"/>
          <w:szCs w:val="24"/>
        </w:rPr>
        <w:t>următoarele regiuni româneşti (Nord-Vest, Sud-Est – 48,8 şi Nord-Est – 44).</w:t>
      </w:r>
      <w:r w:rsidR="00FA2298">
        <w:rPr>
          <w:rFonts w:ascii="Arial" w:hAnsi="Arial" w:cs="Arial"/>
          <w:sz w:val="24"/>
          <w:szCs w:val="24"/>
        </w:rPr>
        <w:t xml:space="preserve"> </w:t>
      </w:r>
      <w:r w:rsidR="00A460EA" w:rsidRPr="00FA2298">
        <w:rPr>
          <w:rFonts w:ascii="Arial" w:hAnsi="Arial" w:cs="Arial"/>
          <w:sz w:val="24"/>
          <w:szCs w:val="24"/>
        </w:rPr>
        <w:t>Cu toate acestea, densitatea de cale ferată este de aproximativ de 2,5 ori mai mică decât</w:t>
      </w:r>
      <w:r w:rsidR="00A460EA" w:rsidRPr="00FA2298">
        <w:rPr>
          <w:rFonts w:ascii="Arial" w:hAnsi="Arial" w:cs="Arial"/>
          <w:spacing w:val="-15"/>
          <w:sz w:val="24"/>
          <w:szCs w:val="24"/>
        </w:rPr>
        <w:t xml:space="preserve"> </w:t>
      </w:r>
      <w:r w:rsidR="00A460EA" w:rsidRPr="00FA2298">
        <w:rPr>
          <w:rFonts w:ascii="Arial" w:hAnsi="Arial" w:cs="Arial"/>
          <w:sz w:val="24"/>
          <w:szCs w:val="24"/>
        </w:rPr>
        <w:t>în</w:t>
      </w:r>
      <w:r w:rsidR="00A460EA" w:rsidRPr="00FA2298">
        <w:rPr>
          <w:rFonts w:ascii="Arial" w:hAnsi="Arial" w:cs="Arial"/>
          <w:spacing w:val="-15"/>
          <w:sz w:val="24"/>
          <w:szCs w:val="24"/>
        </w:rPr>
        <w:t xml:space="preserve"> </w:t>
      </w:r>
      <w:r w:rsidR="00A460EA" w:rsidRPr="00FA2298">
        <w:rPr>
          <w:rFonts w:ascii="Arial" w:hAnsi="Arial" w:cs="Arial"/>
          <w:sz w:val="24"/>
          <w:szCs w:val="24"/>
        </w:rPr>
        <w:t>regiunea</w:t>
      </w:r>
      <w:r w:rsidR="00A460EA" w:rsidRPr="00FA2298">
        <w:rPr>
          <w:rFonts w:ascii="Arial" w:hAnsi="Arial" w:cs="Arial"/>
          <w:spacing w:val="-16"/>
          <w:sz w:val="24"/>
          <w:szCs w:val="24"/>
        </w:rPr>
        <w:t xml:space="preserve"> </w:t>
      </w:r>
      <w:r w:rsidR="00A460EA" w:rsidRPr="00FA2298">
        <w:rPr>
          <w:rFonts w:ascii="Arial" w:hAnsi="Arial" w:cs="Arial"/>
          <w:sz w:val="24"/>
          <w:szCs w:val="24"/>
        </w:rPr>
        <w:t>capitalei</w:t>
      </w:r>
      <w:r w:rsidR="00A460EA" w:rsidRPr="00FA2298">
        <w:rPr>
          <w:rFonts w:ascii="Arial" w:hAnsi="Arial" w:cs="Arial"/>
          <w:spacing w:val="-16"/>
          <w:sz w:val="24"/>
          <w:szCs w:val="24"/>
        </w:rPr>
        <w:t xml:space="preserve"> </w:t>
      </w:r>
      <w:r w:rsidR="00A460EA" w:rsidRPr="00FA2298">
        <w:rPr>
          <w:rFonts w:ascii="Arial" w:hAnsi="Arial" w:cs="Arial"/>
          <w:sz w:val="24"/>
          <w:szCs w:val="24"/>
        </w:rPr>
        <w:t>(153).</w:t>
      </w:r>
      <w:r w:rsidR="00A460EA" w:rsidRPr="00FA2298">
        <w:rPr>
          <w:rFonts w:ascii="Arial" w:hAnsi="Arial" w:cs="Arial"/>
          <w:spacing w:val="-15"/>
          <w:sz w:val="24"/>
          <w:szCs w:val="24"/>
        </w:rPr>
        <w:t xml:space="preserve"> </w:t>
      </w:r>
      <w:r w:rsidR="00A460EA" w:rsidRPr="00FA2298">
        <w:rPr>
          <w:rFonts w:ascii="Arial" w:hAnsi="Arial" w:cs="Arial"/>
          <w:sz w:val="24"/>
          <w:szCs w:val="24"/>
        </w:rPr>
        <w:t>Dotarea</w:t>
      </w:r>
      <w:r w:rsidR="00A460EA" w:rsidRPr="00FA2298">
        <w:rPr>
          <w:rFonts w:ascii="Arial" w:hAnsi="Arial" w:cs="Arial"/>
          <w:spacing w:val="-16"/>
          <w:sz w:val="24"/>
          <w:szCs w:val="24"/>
        </w:rPr>
        <w:t xml:space="preserve"> </w:t>
      </w:r>
      <w:r w:rsidR="00A460EA" w:rsidRPr="00FA2298">
        <w:rPr>
          <w:rFonts w:ascii="Arial" w:hAnsi="Arial" w:cs="Arial"/>
          <w:sz w:val="24"/>
          <w:szCs w:val="24"/>
        </w:rPr>
        <w:t>căilor</w:t>
      </w:r>
      <w:r w:rsidR="00A460EA" w:rsidRPr="00FA2298">
        <w:rPr>
          <w:rFonts w:ascii="Arial" w:hAnsi="Arial" w:cs="Arial"/>
          <w:spacing w:val="-15"/>
          <w:sz w:val="24"/>
          <w:szCs w:val="24"/>
        </w:rPr>
        <w:t xml:space="preserve"> </w:t>
      </w:r>
      <w:r w:rsidR="00A460EA" w:rsidRPr="00FA2298">
        <w:rPr>
          <w:rFonts w:ascii="Arial" w:hAnsi="Arial" w:cs="Arial"/>
          <w:sz w:val="24"/>
          <w:szCs w:val="24"/>
        </w:rPr>
        <w:t>ferate</w:t>
      </w:r>
      <w:r w:rsidR="00A460EA" w:rsidRPr="00FA2298">
        <w:rPr>
          <w:rFonts w:ascii="Arial" w:hAnsi="Arial" w:cs="Arial"/>
          <w:spacing w:val="-16"/>
          <w:sz w:val="24"/>
          <w:szCs w:val="24"/>
        </w:rPr>
        <w:t xml:space="preserve"> </w:t>
      </w:r>
      <w:r w:rsidR="00A460EA" w:rsidRPr="00FA2298">
        <w:rPr>
          <w:rFonts w:ascii="Arial" w:hAnsi="Arial" w:cs="Arial"/>
          <w:sz w:val="24"/>
          <w:szCs w:val="24"/>
        </w:rPr>
        <w:t>este</w:t>
      </w:r>
      <w:r w:rsidR="00A460EA" w:rsidRPr="00FA2298">
        <w:rPr>
          <w:rFonts w:ascii="Arial" w:hAnsi="Arial" w:cs="Arial"/>
          <w:spacing w:val="-16"/>
          <w:sz w:val="24"/>
          <w:szCs w:val="24"/>
        </w:rPr>
        <w:t xml:space="preserve"> </w:t>
      </w:r>
      <w:r w:rsidR="00A460EA" w:rsidRPr="00FA2298">
        <w:rPr>
          <w:rFonts w:ascii="Arial" w:hAnsi="Arial" w:cs="Arial"/>
          <w:sz w:val="24"/>
          <w:szCs w:val="24"/>
        </w:rPr>
        <w:t>mai</w:t>
      </w:r>
      <w:r w:rsidR="00A460EA" w:rsidRPr="00FA2298">
        <w:rPr>
          <w:rFonts w:ascii="Arial" w:hAnsi="Arial" w:cs="Arial"/>
          <w:spacing w:val="-16"/>
          <w:sz w:val="24"/>
          <w:szCs w:val="24"/>
        </w:rPr>
        <w:t xml:space="preserve"> </w:t>
      </w:r>
      <w:r w:rsidR="00A460EA" w:rsidRPr="00FA2298">
        <w:rPr>
          <w:rFonts w:ascii="Arial" w:hAnsi="Arial" w:cs="Arial"/>
          <w:sz w:val="24"/>
          <w:szCs w:val="24"/>
        </w:rPr>
        <w:t>mare</w:t>
      </w:r>
      <w:r w:rsidR="00A460EA" w:rsidRPr="00FA2298">
        <w:rPr>
          <w:rFonts w:ascii="Arial" w:hAnsi="Arial" w:cs="Arial"/>
          <w:spacing w:val="-16"/>
          <w:sz w:val="24"/>
          <w:szCs w:val="24"/>
        </w:rPr>
        <w:t xml:space="preserve"> </w:t>
      </w:r>
      <w:r w:rsidR="00A460EA" w:rsidRPr="00FA2298">
        <w:rPr>
          <w:rFonts w:ascii="Arial" w:hAnsi="Arial" w:cs="Arial"/>
          <w:sz w:val="24"/>
          <w:szCs w:val="24"/>
        </w:rPr>
        <w:t>decât</w:t>
      </w:r>
      <w:r w:rsidR="00A460EA" w:rsidRPr="00FA2298">
        <w:rPr>
          <w:rFonts w:ascii="Arial" w:hAnsi="Arial" w:cs="Arial"/>
          <w:spacing w:val="-16"/>
          <w:sz w:val="24"/>
          <w:szCs w:val="24"/>
        </w:rPr>
        <w:t xml:space="preserve"> </w:t>
      </w:r>
      <w:r w:rsidR="00A460EA" w:rsidRPr="00FA2298">
        <w:rPr>
          <w:rFonts w:ascii="Arial" w:hAnsi="Arial" w:cs="Arial"/>
          <w:sz w:val="24"/>
          <w:szCs w:val="24"/>
        </w:rPr>
        <w:t>media</w:t>
      </w:r>
      <w:r w:rsidR="00A460EA" w:rsidRPr="00FA2298">
        <w:rPr>
          <w:rFonts w:ascii="Arial" w:hAnsi="Arial" w:cs="Arial"/>
          <w:spacing w:val="-16"/>
          <w:sz w:val="24"/>
          <w:szCs w:val="24"/>
        </w:rPr>
        <w:t xml:space="preserve"> </w:t>
      </w:r>
      <w:r w:rsidR="00A460EA" w:rsidRPr="00FA2298">
        <w:rPr>
          <w:rFonts w:ascii="Arial" w:hAnsi="Arial" w:cs="Arial"/>
          <w:sz w:val="24"/>
          <w:szCs w:val="24"/>
        </w:rPr>
        <w:t>UE</w:t>
      </w:r>
      <w:r w:rsidR="00A460EA" w:rsidRPr="00FA2298">
        <w:rPr>
          <w:rFonts w:ascii="Arial" w:hAnsi="Arial" w:cs="Arial"/>
          <w:spacing w:val="-15"/>
          <w:sz w:val="24"/>
          <w:szCs w:val="24"/>
        </w:rPr>
        <w:t xml:space="preserve"> </w:t>
      </w:r>
      <w:r w:rsidR="00A460EA" w:rsidRPr="00FA2298">
        <w:rPr>
          <w:rFonts w:ascii="Arial" w:hAnsi="Arial" w:cs="Arial"/>
          <w:sz w:val="24"/>
          <w:szCs w:val="24"/>
        </w:rPr>
        <w:t>(118,7% din UE-27 şi 124,9% din UE15) şi similară cu media pentru noile state membre</w:t>
      </w:r>
      <w:r w:rsidR="00A460EA" w:rsidRPr="00FA2298">
        <w:rPr>
          <w:rFonts w:ascii="Arial" w:hAnsi="Arial" w:cs="Arial"/>
          <w:spacing w:val="-13"/>
          <w:sz w:val="24"/>
          <w:szCs w:val="24"/>
        </w:rPr>
        <w:t xml:space="preserve"> </w:t>
      </w:r>
      <w:r w:rsidR="00A460EA" w:rsidRPr="00FA2298">
        <w:rPr>
          <w:rFonts w:ascii="Arial" w:hAnsi="Arial" w:cs="Arial"/>
          <w:sz w:val="24"/>
          <w:szCs w:val="24"/>
        </w:rPr>
        <w:t>(103,1%).</w:t>
      </w:r>
      <w:r w:rsidR="00FA2298" w:rsidRPr="00FA2298">
        <w:rPr>
          <w:rFonts w:ascii="Arial" w:hAnsi="Arial" w:cs="Arial"/>
          <w:sz w:val="24"/>
          <w:szCs w:val="24"/>
        </w:rPr>
        <w:t xml:space="preserve"> </w:t>
      </w:r>
    </w:p>
    <w:p w:rsidR="00A460EA" w:rsidRPr="00FA2298" w:rsidRDefault="00A460EA" w:rsidP="00FA2298">
      <w:pPr>
        <w:pStyle w:val="BodyText"/>
        <w:spacing w:after="0" w:line="240" w:lineRule="auto"/>
        <w:ind w:left="-90"/>
        <w:jc w:val="both"/>
        <w:rPr>
          <w:rFonts w:ascii="Arial" w:eastAsia="TimesNewRomanPSMT" w:hAnsi="Arial" w:cs="Arial"/>
          <w:i/>
          <w:iCs/>
          <w:sz w:val="24"/>
          <w:szCs w:val="24"/>
          <w:lang w:val="en-US"/>
        </w:rPr>
      </w:pPr>
      <w:r w:rsidRPr="00A460EA">
        <w:rPr>
          <w:rFonts w:ascii="Arial" w:hAnsi="Arial" w:cs="Arial"/>
          <w:sz w:val="24"/>
          <w:szCs w:val="24"/>
        </w:rPr>
        <w:t>Analizând situaţia liniilor electrificate, din total, Regiunea Vest se situează pe locul</w:t>
      </w:r>
      <w:r w:rsidRPr="00A460EA">
        <w:rPr>
          <w:rFonts w:ascii="Arial" w:hAnsi="Arial" w:cs="Arial"/>
          <w:spacing w:val="-16"/>
          <w:sz w:val="24"/>
          <w:szCs w:val="24"/>
        </w:rPr>
        <w:t xml:space="preserve"> </w:t>
      </w:r>
      <w:r w:rsidRPr="00A460EA">
        <w:rPr>
          <w:rFonts w:ascii="Arial" w:hAnsi="Arial" w:cs="Arial"/>
          <w:sz w:val="24"/>
          <w:szCs w:val="24"/>
        </w:rPr>
        <w:t>6</w:t>
      </w:r>
      <w:r w:rsidRPr="00A460EA">
        <w:rPr>
          <w:rFonts w:ascii="Arial" w:hAnsi="Arial" w:cs="Arial"/>
          <w:spacing w:val="-13"/>
          <w:sz w:val="24"/>
          <w:szCs w:val="24"/>
        </w:rPr>
        <w:t xml:space="preserve"> </w:t>
      </w:r>
      <w:r w:rsidRPr="00A460EA">
        <w:rPr>
          <w:rFonts w:ascii="Arial" w:hAnsi="Arial" w:cs="Arial"/>
          <w:sz w:val="24"/>
          <w:szCs w:val="24"/>
        </w:rPr>
        <w:t>în</w:t>
      </w:r>
      <w:r w:rsidRPr="00A460EA">
        <w:rPr>
          <w:rFonts w:ascii="Arial" w:hAnsi="Arial" w:cs="Arial"/>
          <w:spacing w:val="-15"/>
          <w:sz w:val="24"/>
          <w:szCs w:val="24"/>
        </w:rPr>
        <w:t xml:space="preserve"> </w:t>
      </w:r>
      <w:r w:rsidRPr="00A460EA">
        <w:rPr>
          <w:rFonts w:ascii="Arial" w:hAnsi="Arial" w:cs="Arial"/>
          <w:sz w:val="24"/>
          <w:szCs w:val="24"/>
        </w:rPr>
        <w:t>România</w:t>
      </w:r>
      <w:r w:rsidRPr="00A460EA">
        <w:rPr>
          <w:rFonts w:ascii="Arial" w:hAnsi="Arial" w:cs="Arial"/>
          <w:spacing w:val="-16"/>
          <w:sz w:val="24"/>
          <w:szCs w:val="24"/>
        </w:rPr>
        <w:t xml:space="preserve"> </w:t>
      </w:r>
      <w:r w:rsidRPr="00A460EA">
        <w:rPr>
          <w:rFonts w:ascii="Arial" w:hAnsi="Arial" w:cs="Arial"/>
          <w:sz w:val="24"/>
          <w:szCs w:val="24"/>
        </w:rPr>
        <w:t>cu</w:t>
      </w:r>
      <w:r w:rsidRPr="00A460EA">
        <w:rPr>
          <w:rFonts w:ascii="Arial" w:hAnsi="Arial" w:cs="Arial"/>
          <w:spacing w:val="-15"/>
          <w:sz w:val="24"/>
          <w:szCs w:val="24"/>
        </w:rPr>
        <w:t xml:space="preserve"> </w:t>
      </w:r>
      <w:r w:rsidRPr="00A460EA">
        <w:rPr>
          <w:rFonts w:ascii="Arial" w:hAnsi="Arial" w:cs="Arial"/>
          <w:sz w:val="24"/>
          <w:szCs w:val="24"/>
        </w:rPr>
        <w:t>34,3%,</w:t>
      </w:r>
      <w:r w:rsidRPr="00A460EA">
        <w:rPr>
          <w:rFonts w:ascii="Arial" w:hAnsi="Arial" w:cs="Arial"/>
          <w:spacing w:val="-15"/>
          <w:sz w:val="24"/>
          <w:szCs w:val="24"/>
        </w:rPr>
        <w:t xml:space="preserve"> </w:t>
      </w:r>
      <w:r w:rsidRPr="00A460EA">
        <w:rPr>
          <w:rFonts w:ascii="Arial" w:hAnsi="Arial" w:cs="Arial"/>
          <w:sz w:val="24"/>
          <w:szCs w:val="24"/>
        </w:rPr>
        <w:t>înainte</w:t>
      </w:r>
      <w:r w:rsidRPr="00A460EA">
        <w:rPr>
          <w:rFonts w:ascii="Arial" w:hAnsi="Arial" w:cs="Arial"/>
          <w:spacing w:val="-17"/>
          <w:sz w:val="24"/>
          <w:szCs w:val="24"/>
        </w:rPr>
        <w:t xml:space="preserve"> </w:t>
      </w:r>
      <w:r w:rsidRPr="00A460EA">
        <w:rPr>
          <w:rFonts w:ascii="Arial" w:hAnsi="Arial" w:cs="Arial"/>
          <w:sz w:val="24"/>
          <w:szCs w:val="24"/>
        </w:rPr>
        <w:t>de</w:t>
      </w:r>
      <w:r w:rsidRPr="00A460EA">
        <w:rPr>
          <w:rFonts w:ascii="Arial" w:hAnsi="Arial" w:cs="Arial"/>
          <w:spacing w:val="-16"/>
          <w:sz w:val="24"/>
          <w:szCs w:val="24"/>
        </w:rPr>
        <w:t xml:space="preserve"> </w:t>
      </w:r>
      <w:r w:rsidRPr="00A460EA">
        <w:rPr>
          <w:rFonts w:ascii="Arial" w:hAnsi="Arial" w:cs="Arial"/>
          <w:sz w:val="24"/>
          <w:szCs w:val="24"/>
        </w:rPr>
        <w:t>Sud-Est</w:t>
      </w:r>
      <w:r w:rsidRPr="00A460EA">
        <w:rPr>
          <w:rFonts w:ascii="Arial" w:hAnsi="Arial" w:cs="Arial"/>
          <w:spacing w:val="-16"/>
          <w:sz w:val="24"/>
          <w:szCs w:val="24"/>
        </w:rPr>
        <w:t xml:space="preserve"> </w:t>
      </w:r>
      <w:r w:rsidRPr="00A460EA">
        <w:rPr>
          <w:rFonts w:ascii="Arial" w:hAnsi="Arial" w:cs="Arial"/>
          <w:sz w:val="24"/>
          <w:szCs w:val="24"/>
        </w:rPr>
        <w:t>(29,9%)</w:t>
      </w:r>
      <w:r w:rsidRPr="00A460EA">
        <w:rPr>
          <w:rFonts w:ascii="Arial" w:hAnsi="Arial" w:cs="Arial"/>
          <w:spacing w:val="-14"/>
          <w:sz w:val="24"/>
          <w:szCs w:val="24"/>
        </w:rPr>
        <w:t xml:space="preserve"> </w:t>
      </w:r>
      <w:r w:rsidRPr="00A460EA">
        <w:rPr>
          <w:rFonts w:ascii="Arial" w:hAnsi="Arial" w:cs="Arial"/>
          <w:sz w:val="24"/>
          <w:szCs w:val="24"/>
        </w:rPr>
        <w:t>şi</w:t>
      </w:r>
      <w:r w:rsidRPr="00A460EA">
        <w:rPr>
          <w:rFonts w:ascii="Arial" w:hAnsi="Arial" w:cs="Arial"/>
          <w:spacing w:val="-14"/>
          <w:sz w:val="24"/>
          <w:szCs w:val="24"/>
        </w:rPr>
        <w:t xml:space="preserve"> </w:t>
      </w:r>
      <w:r w:rsidRPr="00A460EA">
        <w:rPr>
          <w:rFonts w:ascii="Arial" w:hAnsi="Arial" w:cs="Arial"/>
          <w:sz w:val="24"/>
          <w:szCs w:val="24"/>
        </w:rPr>
        <w:t>Nord-Vest</w:t>
      </w:r>
      <w:r w:rsidRPr="00A460EA">
        <w:rPr>
          <w:rFonts w:ascii="Arial" w:hAnsi="Arial" w:cs="Arial"/>
          <w:spacing w:val="-16"/>
          <w:sz w:val="24"/>
          <w:szCs w:val="24"/>
        </w:rPr>
        <w:t xml:space="preserve"> </w:t>
      </w:r>
      <w:r w:rsidRPr="00A460EA">
        <w:rPr>
          <w:rFonts w:ascii="Arial" w:hAnsi="Arial" w:cs="Arial"/>
          <w:sz w:val="24"/>
          <w:szCs w:val="24"/>
        </w:rPr>
        <w:t>(18,7%),</w:t>
      </w:r>
      <w:r w:rsidRPr="00A460EA">
        <w:rPr>
          <w:rFonts w:ascii="Arial" w:hAnsi="Arial" w:cs="Arial"/>
          <w:spacing w:val="-16"/>
          <w:sz w:val="24"/>
          <w:szCs w:val="24"/>
        </w:rPr>
        <w:t xml:space="preserve"> </w:t>
      </w:r>
      <w:r w:rsidRPr="00A460EA">
        <w:rPr>
          <w:rFonts w:ascii="Arial" w:hAnsi="Arial" w:cs="Arial"/>
          <w:sz w:val="24"/>
          <w:szCs w:val="24"/>
        </w:rPr>
        <w:t>uşor</w:t>
      </w:r>
      <w:r w:rsidRPr="00A460EA">
        <w:rPr>
          <w:rFonts w:ascii="Arial" w:hAnsi="Arial" w:cs="Arial"/>
          <w:spacing w:val="-15"/>
          <w:sz w:val="24"/>
          <w:szCs w:val="24"/>
        </w:rPr>
        <w:t xml:space="preserve"> </w:t>
      </w:r>
      <w:r w:rsidRPr="00A460EA">
        <w:rPr>
          <w:rFonts w:ascii="Arial" w:hAnsi="Arial" w:cs="Arial"/>
          <w:sz w:val="24"/>
          <w:szCs w:val="24"/>
        </w:rPr>
        <w:t>sub</w:t>
      </w:r>
      <w:r w:rsidRPr="00A460EA">
        <w:rPr>
          <w:rFonts w:ascii="Arial" w:hAnsi="Arial" w:cs="Arial"/>
          <w:spacing w:val="-15"/>
          <w:sz w:val="24"/>
          <w:szCs w:val="24"/>
        </w:rPr>
        <w:t xml:space="preserve"> </w:t>
      </w:r>
      <w:r w:rsidRPr="00A460EA">
        <w:rPr>
          <w:rFonts w:ascii="Arial" w:hAnsi="Arial" w:cs="Arial"/>
          <w:sz w:val="24"/>
          <w:szCs w:val="24"/>
        </w:rPr>
        <w:t>media naţională (37,3%) şi semnificativ sub Bucureşti-Ilfov (93 %), dar pe locul 3 în funcţie de lungimea acestor linii electrificate.Principalele  caracteristici ale reţelei  feroviare din  Regiunea  Vest  pot  fi  sintetizate astfel:</w:t>
      </w:r>
    </w:p>
    <w:p w:rsidR="00A604C1" w:rsidRDefault="00A460EA" w:rsidP="00445724">
      <w:pPr>
        <w:pStyle w:val="ListParagraph"/>
        <w:widowControl w:val="0"/>
        <w:numPr>
          <w:ilvl w:val="0"/>
          <w:numId w:val="37"/>
        </w:numPr>
        <w:tabs>
          <w:tab w:val="left" w:pos="1434"/>
          <w:tab w:val="left" w:pos="1434"/>
        </w:tabs>
        <w:spacing w:before="48"/>
        <w:ind w:right="712"/>
        <w:jc w:val="both"/>
        <w:rPr>
          <w:rFonts w:ascii="Arial" w:hAnsi="Arial" w:cs="Arial"/>
          <w:sz w:val="24"/>
          <w:szCs w:val="24"/>
        </w:rPr>
      </w:pPr>
      <w:r w:rsidRPr="00A460EA">
        <w:rPr>
          <w:rFonts w:ascii="Arial" w:hAnsi="Arial" w:cs="Arial"/>
          <w:sz w:val="24"/>
          <w:szCs w:val="24"/>
        </w:rPr>
        <w:t>Existenţa unui număr de trei puncte transf</w:t>
      </w:r>
      <w:r w:rsidR="00A604C1">
        <w:rPr>
          <w:rFonts w:ascii="Arial" w:hAnsi="Arial" w:cs="Arial"/>
          <w:sz w:val="24"/>
          <w:szCs w:val="24"/>
        </w:rPr>
        <w:t>rontaliere de cale ferată, unul</w:t>
      </w:r>
      <w:r w:rsidRPr="00A460EA">
        <w:rPr>
          <w:rFonts w:ascii="Arial" w:hAnsi="Arial" w:cs="Arial"/>
          <w:sz w:val="24"/>
          <w:szCs w:val="24"/>
        </w:rPr>
        <w:t xml:space="preserve">la graniţa cu Ungaria (Curtici din judeţul Arad) şi două la </w:t>
      </w:r>
      <w:r w:rsidR="00A604C1">
        <w:rPr>
          <w:rFonts w:ascii="Arial" w:hAnsi="Arial" w:cs="Arial"/>
          <w:sz w:val="24"/>
          <w:szCs w:val="24"/>
        </w:rPr>
        <w:t xml:space="preserve">graniţa cu Serbia </w:t>
      </w:r>
      <w:r w:rsidRPr="00A460EA">
        <w:rPr>
          <w:rFonts w:ascii="Arial" w:hAnsi="Arial" w:cs="Arial"/>
          <w:sz w:val="24"/>
          <w:szCs w:val="24"/>
        </w:rPr>
        <w:t>Moraviţa şi Jimbolia (judeţul</w:t>
      </w:r>
      <w:r w:rsidRPr="00A460EA">
        <w:rPr>
          <w:rFonts w:ascii="Arial" w:hAnsi="Arial" w:cs="Arial"/>
          <w:spacing w:val="-6"/>
          <w:sz w:val="24"/>
          <w:szCs w:val="24"/>
        </w:rPr>
        <w:t xml:space="preserve"> </w:t>
      </w:r>
      <w:r w:rsidRPr="00A460EA">
        <w:rPr>
          <w:rFonts w:ascii="Arial" w:hAnsi="Arial" w:cs="Arial"/>
          <w:sz w:val="24"/>
          <w:szCs w:val="24"/>
        </w:rPr>
        <w:t>Timiş)</w:t>
      </w:r>
    </w:p>
    <w:p w:rsidR="004C529C" w:rsidRPr="00A604C1" w:rsidRDefault="00A460EA" w:rsidP="00445724">
      <w:pPr>
        <w:pStyle w:val="ListParagraph"/>
        <w:widowControl w:val="0"/>
        <w:numPr>
          <w:ilvl w:val="0"/>
          <w:numId w:val="37"/>
        </w:numPr>
        <w:tabs>
          <w:tab w:val="left" w:pos="1434"/>
          <w:tab w:val="left" w:pos="1434"/>
        </w:tabs>
        <w:spacing w:before="48"/>
        <w:ind w:right="712"/>
        <w:jc w:val="both"/>
        <w:rPr>
          <w:rFonts w:ascii="Arial" w:hAnsi="Arial" w:cs="Arial"/>
          <w:sz w:val="24"/>
          <w:szCs w:val="24"/>
        </w:rPr>
      </w:pPr>
      <w:r w:rsidRPr="00A604C1">
        <w:rPr>
          <w:rFonts w:ascii="Arial" w:hAnsi="Arial" w:cs="Arial"/>
          <w:sz w:val="24"/>
          <w:szCs w:val="24"/>
        </w:rPr>
        <w:t>Existenţa a trei rute internaţionale şi</w:t>
      </w:r>
      <w:r w:rsidRPr="00A604C1">
        <w:rPr>
          <w:rFonts w:ascii="Arial" w:hAnsi="Arial" w:cs="Arial"/>
          <w:spacing w:val="-12"/>
          <w:sz w:val="24"/>
          <w:szCs w:val="24"/>
        </w:rPr>
        <w:t xml:space="preserve"> </w:t>
      </w:r>
      <w:r w:rsidRPr="00A604C1">
        <w:rPr>
          <w:rFonts w:ascii="Arial" w:hAnsi="Arial" w:cs="Arial"/>
          <w:sz w:val="24"/>
          <w:szCs w:val="24"/>
        </w:rPr>
        <w:t>anume:</w:t>
      </w:r>
      <w:r w:rsidR="00C7414A" w:rsidRPr="00A604C1">
        <w:rPr>
          <w:rFonts w:ascii="Arial" w:hAnsi="Arial" w:cs="Arial"/>
          <w:sz w:val="24"/>
          <w:szCs w:val="24"/>
        </w:rPr>
        <w:t xml:space="preserve">  </w:t>
      </w:r>
      <w:r w:rsidRPr="00A604C1">
        <w:rPr>
          <w:rFonts w:ascii="Arial" w:hAnsi="Arial" w:cs="Arial"/>
          <w:sz w:val="24"/>
          <w:szCs w:val="24"/>
        </w:rPr>
        <w:t>(România) - Bucureşti – Craiova – Timişoara – Jimbolia –</w:t>
      </w:r>
      <w:r w:rsidRPr="00A604C1">
        <w:rPr>
          <w:rFonts w:ascii="Arial" w:hAnsi="Arial" w:cs="Arial"/>
          <w:spacing w:val="-15"/>
          <w:sz w:val="24"/>
          <w:szCs w:val="24"/>
        </w:rPr>
        <w:t xml:space="preserve"> </w:t>
      </w:r>
      <w:r w:rsidRPr="00A604C1">
        <w:rPr>
          <w:rFonts w:ascii="Arial" w:hAnsi="Arial" w:cs="Arial"/>
          <w:sz w:val="24"/>
          <w:szCs w:val="24"/>
        </w:rPr>
        <w:t>(Serbia);</w:t>
      </w:r>
      <w:r w:rsidR="00C7414A" w:rsidRPr="00A604C1">
        <w:rPr>
          <w:rFonts w:ascii="Arial" w:hAnsi="Arial" w:cs="Arial"/>
          <w:sz w:val="24"/>
          <w:szCs w:val="24"/>
        </w:rPr>
        <w:t xml:space="preserve">  </w:t>
      </w:r>
      <w:r w:rsidRPr="00A604C1">
        <w:rPr>
          <w:rFonts w:ascii="Arial" w:hAnsi="Arial" w:cs="Arial"/>
          <w:sz w:val="24"/>
          <w:szCs w:val="24"/>
        </w:rPr>
        <w:t>(România) - Bucureşti – Timişoara – Stamora-Moraviţa –</w:t>
      </w:r>
      <w:r w:rsidRPr="00A604C1">
        <w:rPr>
          <w:rFonts w:ascii="Arial" w:hAnsi="Arial" w:cs="Arial"/>
          <w:spacing w:val="-17"/>
          <w:sz w:val="24"/>
          <w:szCs w:val="24"/>
        </w:rPr>
        <w:t xml:space="preserve"> </w:t>
      </w:r>
      <w:r w:rsidRPr="00A604C1">
        <w:rPr>
          <w:rFonts w:ascii="Arial" w:hAnsi="Arial" w:cs="Arial"/>
          <w:sz w:val="24"/>
          <w:szCs w:val="24"/>
        </w:rPr>
        <w:t>(Serbia);</w:t>
      </w:r>
      <w:r w:rsidR="00C7414A" w:rsidRPr="00A604C1">
        <w:rPr>
          <w:rFonts w:ascii="Arial" w:hAnsi="Arial" w:cs="Arial"/>
          <w:sz w:val="24"/>
          <w:szCs w:val="24"/>
        </w:rPr>
        <w:t xml:space="preserve"> </w:t>
      </w:r>
      <w:r w:rsidRPr="00A604C1">
        <w:rPr>
          <w:rFonts w:ascii="Arial" w:hAnsi="Arial" w:cs="Arial"/>
          <w:sz w:val="24"/>
          <w:szCs w:val="24"/>
        </w:rPr>
        <w:t>(România) - Bucureşti – Braşov – Sibiu – Deva – Arad – Curtici –</w:t>
      </w:r>
      <w:r w:rsidRPr="00A604C1">
        <w:rPr>
          <w:rFonts w:ascii="Arial" w:hAnsi="Arial" w:cs="Arial"/>
          <w:spacing w:val="-18"/>
          <w:sz w:val="24"/>
          <w:szCs w:val="24"/>
        </w:rPr>
        <w:t xml:space="preserve"> </w:t>
      </w:r>
      <w:r w:rsidRPr="00A604C1">
        <w:rPr>
          <w:rFonts w:ascii="Arial" w:hAnsi="Arial" w:cs="Arial"/>
          <w:sz w:val="24"/>
          <w:szCs w:val="24"/>
        </w:rPr>
        <w:t>(Ungaria)</w:t>
      </w:r>
      <w:r w:rsidRPr="00A604C1">
        <w:rPr>
          <w:rFonts w:ascii="Arial" w:eastAsia="TimesNewRomanPSMT" w:hAnsi="Arial" w:cs="Arial"/>
          <w:i/>
          <w:sz w:val="24"/>
          <w:szCs w:val="24"/>
        </w:rPr>
        <w:t xml:space="preserve"> (informații preluate din </w:t>
      </w:r>
      <w:r w:rsidRPr="00A604C1">
        <w:rPr>
          <w:rFonts w:ascii="Arial" w:eastAsia="TimesNewRomanPSMT" w:hAnsi="Arial" w:cs="Arial"/>
          <w:i/>
          <w:iCs/>
          <w:sz w:val="24"/>
          <w:szCs w:val="24"/>
        </w:rPr>
        <w:t>PDR Regiunea Vest 2014-2020, pag. 46-49)</w:t>
      </w:r>
      <w:r w:rsidR="004C529C" w:rsidRPr="00A604C1">
        <w:rPr>
          <w:rFonts w:ascii="Arial" w:eastAsia="TimesNewRomanPSMT" w:hAnsi="Arial" w:cs="Arial"/>
          <w:i/>
          <w:iCs/>
          <w:sz w:val="24"/>
          <w:szCs w:val="24"/>
        </w:rPr>
        <w:t>.</w:t>
      </w:r>
    </w:p>
    <w:p w:rsidR="009E272E" w:rsidRPr="00FA2298" w:rsidRDefault="004C529C" w:rsidP="00FA2298">
      <w:pPr>
        <w:pStyle w:val="ListParagraph"/>
        <w:widowControl w:val="0"/>
        <w:tabs>
          <w:tab w:val="left" w:pos="0"/>
        </w:tabs>
        <w:spacing w:before="48"/>
        <w:ind w:left="-90"/>
        <w:jc w:val="both"/>
        <w:rPr>
          <w:rFonts w:ascii="Arial" w:eastAsia="TimesNewRomanPSMT" w:hAnsi="Arial" w:cs="Arial"/>
          <w:i/>
          <w:sz w:val="24"/>
          <w:szCs w:val="24"/>
        </w:rPr>
      </w:pPr>
      <w:r w:rsidRPr="004C529C">
        <w:rPr>
          <w:rFonts w:ascii="Arial" w:hAnsi="Arial" w:cs="Arial"/>
          <w:sz w:val="24"/>
          <w:szCs w:val="24"/>
        </w:rPr>
        <w:t>În</w:t>
      </w:r>
      <w:r w:rsidRPr="004C529C">
        <w:rPr>
          <w:rFonts w:ascii="Arial" w:hAnsi="Arial" w:cs="Arial"/>
          <w:spacing w:val="-16"/>
          <w:sz w:val="24"/>
          <w:szCs w:val="24"/>
        </w:rPr>
        <w:t xml:space="preserve"> </w:t>
      </w:r>
      <w:r w:rsidRPr="004C529C">
        <w:rPr>
          <w:rFonts w:ascii="Arial" w:hAnsi="Arial" w:cs="Arial"/>
          <w:sz w:val="24"/>
          <w:szCs w:val="24"/>
        </w:rPr>
        <w:t>cadrul</w:t>
      </w:r>
      <w:r w:rsidRPr="004C529C">
        <w:rPr>
          <w:rFonts w:ascii="Arial" w:hAnsi="Arial" w:cs="Arial"/>
          <w:spacing w:val="-17"/>
          <w:sz w:val="24"/>
          <w:szCs w:val="24"/>
        </w:rPr>
        <w:t xml:space="preserve"> </w:t>
      </w:r>
      <w:r w:rsidRPr="004C529C">
        <w:rPr>
          <w:rFonts w:ascii="Arial" w:hAnsi="Arial" w:cs="Arial"/>
          <w:sz w:val="24"/>
          <w:szCs w:val="24"/>
        </w:rPr>
        <w:t>Regiunii</w:t>
      </w:r>
      <w:r w:rsidRPr="004C529C">
        <w:rPr>
          <w:rFonts w:ascii="Arial" w:hAnsi="Arial" w:cs="Arial"/>
          <w:spacing w:val="-18"/>
          <w:sz w:val="24"/>
          <w:szCs w:val="24"/>
        </w:rPr>
        <w:t xml:space="preserve"> </w:t>
      </w:r>
      <w:r w:rsidRPr="004C529C">
        <w:rPr>
          <w:rFonts w:ascii="Arial" w:hAnsi="Arial" w:cs="Arial"/>
          <w:sz w:val="24"/>
          <w:szCs w:val="24"/>
        </w:rPr>
        <w:t>Vest,</w:t>
      </w:r>
      <w:r w:rsidRPr="004C529C">
        <w:rPr>
          <w:rFonts w:ascii="Arial" w:hAnsi="Arial" w:cs="Arial"/>
          <w:spacing w:val="-14"/>
          <w:sz w:val="24"/>
          <w:szCs w:val="24"/>
        </w:rPr>
        <w:t xml:space="preserve"> </w:t>
      </w:r>
      <w:r w:rsidRPr="004C529C">
        <w:rPr>
          <w:rFonts w:ascii="Arial" w:hAnsi="Arial" w:cs="Arial"/>
          <w:sz w:val="24"/>
          <w:szCs w:val="24"/>
        </w:rPr>
        <w:t>există</w:t>
      </w:r>
      <w:r w:rsidRPr="004C529C">
        <w:rPr>
          <w:rFonts w:ascii="Arial" w:hAnsi="Arial" w:cs="Arial"/>
          <w:spacing w:val="-16"/>
          <w:sz w:val="24"/>
          <w:szCs w:val="24"/>
        </w:rPr>
        <w:t xml:space="preserve"> </w:t>
      </w:r>
      <w:r w:rsidRPr="004C529C">
        <w:rPr>
          <w:rFonts w:ascii="Arial" w:hAnsi="Arial" w:cs="Arial"/>
          <w:sz w:val="24"/>
          <w:szCs w:val="24"/>
        </w:rPr>
        <w:t>un</w:t>
      </w:r>
      <w:r w:rsidRPr="004C529C">
        <w:rPr>
          <w:rFonts w:ascii="Arial" w:hAnsi="Arial" w:cs="Arial"/>
          <w:spacing w:val="-16"/>
          <w:sz w:val="24"/>
          <w:szCs w:val="24"/>
        </w:rPr>
        <w:t xml:space="preserve"> </w:t>
      </w:r>
      <w:r w:rsidRPr="004C529C">
        <w:rPr>
          <w:rFonts w:ascii="Arial" w:hAnsi="Arial" w:cs="Arial"/>
          <w:sz w:val="24"/>
          <w:szCs w:val="24"/>
        </w:rPr>
        <w:t>număr</w:t>
      </w:r>
      <w:r w:rsidRPr="004C529C">
        <w:rPr>
          <w:rFonts w:ascii="Arial" w:hAnsi="Arial" w:cs="Arial"/>
          <w:spacing w:val="-16"/>
          <w:sz w:val="24"/>
          <w:szCs w:val="24"/>
        </w:rPr>
        <w:t xml:space="preserve"> </w:t>
      </w:r>
      <w:r w:rsidRPr="004C529C">
        <w:rPr>
          <w:rFonts w:ascii="Arial" w:hAnsi="Arial" w:cs="Arial"/>
          <w:sz w:val="24"/>
          <w:szCs w:val="24"/>
        </w:rPr>
        <w:t>de</w:t>
      </w:r>
      <w:r w:rsidRPr="004C529C">
        <w:rPr>
          <w:rFonts w:ascii="Arial" w:hAnsi="Arial" w:cs="Arial"/>
          <w:spacing w:val="-15"/>
          <w:sz w:val="24"/>
          <w:szCs w:val="24"/>
        </w:rPr>
        <w:t xml:space="preserve"> </w:t>
      </w:r>
      <w:r w:rsidRPr="004C529C">
        <w:rPr>
          <w:rFonts w:ascii="Arial" w:hAnsi="Arial" w:cs="Arial"/>
          <w:i/>
          <w:sz w:val="24"/>
          <w:szCs w:val="24"/>
        </w:rPr>
        <w:t>trei</w:t>
      </w:r>
      <w:r w:rsidRPr="004C529C">
        <w:rPr>
          <w:rFonts w:ascii="Arial" w:hAnsi="Arial" w:cs="Arial"/>
          <w:i/>
          <w:spacing w:val="-13"/>
          <w:sz w:val="24"/>
          <w:szCs w:val="24"/>
        </w:rPr>
        <w:t xml:space="preserve"> </w:t>
      </w:r>
      <w:r w:rsidRPr="004C529C">
        <w:rPr>
          <w:rFonts w:ascii="Arial" w:hAnsi="Arial" w:cs="Arial"/>
          <w:i/>
          <w:sz w:val="24"/>
          <w:szCs w:val="24"/>
        </w:rPr>
        <w:t>aerogări</w:t>
      </w:r>
      <w:r w:rsidRPr="004C529C">
        <w:rPr>
          <w:rFonts w:ascii="Arial" w:hAnsi="Arial" w:cs="Arial"/>
          <w:sz w:val="24"/>
          <w:szCs w:val="24"/>
        </w:rPr>
        <w:t>.</w:t>
      </w:r>
      <w:r w:rsidRPr="004C529C">
        <w:rPr>
          <w:rFonts w:ascii="Arial" w:hAnsi="Arial" w:cs="Arial"/>
          <w:spacing w:val="-12"/>
          <w:sz w:val="24"/>
          <w:szCs w:val="24"/>
        </w:rPr>
        <w:t xml:space="preserve"> </w:t>
      </w:r>
      <w:r w:rsidRPr="004C529C">
        <w:rPr>
          <w:rFonts w:ascii="Arial" w:hAnsi="Arial" w:cs="Arial"/>
          <w:sz w:val="24"/>
          <w:szCs w:val="24"/>
        </w:rPr>
        <w:t>Din</w:t>
      </w:r>
      <w:r w:rsidRPr="004C529C">
        <w:rPr>
          <w:rFonts w:ascii="Arial" w:hAnsi="Arial" w:cs="Arial"/>
          <w:spacing w:val="-17"/>
          <w:sz w:val="24"/>
          <w:szCs w:val="24"/>
        </w:rPr>
        <w:t xml:space="preserve"> </w:t>
      </w:r>
      <w:r w:rsidRPr="004C529C">
        <w:rPr>
          <w:rFonts w:ascii="Arial" w:hAnsi="Arial" w:cs="Arial"/>
          <w:sz w:val="24"/>
          <w:szCs w:val="24"/>
        </w:rPr>
        <w:t>cele</w:t>
      </w:r>
      <w:r w:rsidRPr="004C529C">
        <w:rPr>
          <w:rFonts w:ascii="Arial" w:hAnsi="Arial" w:cs="Arial"/>
          <w:spacing w:val="-16"/>
          <w:sz w:val="24"/>
          <w:szCs w:val="24"/>
        </w:rPr>
        <w:t xml:space="preserve"> </w:t>
      </w:r>
      <w:r w:rsidRPr="004C529C">
        <w:rPr>
          <w:rFonts w:ascii="Arial" w:hAnsi="Arial" w:cs="Arial"/>
          <w:sz w:val="24"/>
          <w:szCs w:val="24"/>
        </w:rPr>
        <w:t>trei</w:t>
      </w:r>
      <w:r w:rsidRPr="004C529C">
        <w:rPr>
          <w:rFonts w:ascii="Arial" w:hAnsi="Arial" w:cs="Arial"/>
          <w:spacing w:val="-15"/>
          <w:sz w:val="24"/>
          <w:szCs w:val="24"/>
        </w:rPr>
        <w:t xml:space="preserve"> </w:t>
      </w:r>
      <w:r w:rsidRPr="004C529C">
        <w:rPr>
          <w:rFonts w:ascii="Arial" w:hAnsi="Arial" w:cs="Arial"/>
          <w:sz w:val="24"/>
          <w:szCs w:val="24"/>
        </w:rPr>
        <w:t>aeroporturi</w:t>
      </w:r>
      <w:r w:rsidRPr="004C529C">
        <w:rPr>
          <w:rFonts w:ascii="Arial" w:hAnsi="Arial" w:cs="Arial"/>
          <w:spacing w:val="-17"/>
          <w:sz w:val="24"/>
          <w:szCs w:val="24"/>
        </w:rPr>
        <w:t xml:space="preserve"> </w:t>
      </w:r>
      <w:r w:rsidRPr="004C529C">
        <w:rPr>
          <w:rFonts w:ascii="Arial" w:hAnsi="Arial" w:cs="Arial"/>
          <w:sz w:val="24"/>
          <w:szCs w:val="24"/>
        </w:rPr>
        <w:t>două sunt</w:t>
      </w:r>
      <w:r w:rsidRPr="004C529C">
        <w:rPr>
          <w:rFonts w:ascii="Arial" w:hAnsi="Arial" w:cs="Arial"/>
          <w:spacing w:val="-17"/>
          <w:sz w:val="24"/>
          <w:szCs w:val="24"/>
        </w:rPr>
        <w:t xml:space="preserve"> </w:t>
      </w:r>
      <w:r w:rsidRPr="004C529C">
        <w:rPr>
          <w:rFonts w:ascii="Arial" w:hAnsi="Arial" w:cs="Arial"/>
          <w:sz w:val="24"/>
          <w:szCs w:val="24"/>
        </w:rPr>
        <w:t>internaţionale</w:t>
      </w:r>
      <w:r w:rsidRPr="004C529C">
        <w:rPr>
          <w:rFonts w:ascii="Arial" w:hAnsi="Arial" w:cs="Arial"/>
          <w:spacing w:val="-18"/>
          <w:sz w:val="24"/>
          <w:szCs w:val="24"/>
        </w:rPr>
        <w:t xml:space="preserve"> </w:t>
      </w:r>
      <w:r w:rsidRPr="004C529C">
        <w:rPr>
          <w:rFonts w:ascii="Arial" w:hAnsi="Arial" w:cs="Arial"/>
          <w:sz w:val="24"/>
          <w:szCs w:val="24"/>
        </w:rPr>
        <w:t>(Timişoara</w:t>
      </w:r>
      <w:r w:rsidRPr="004C529C">
        <w:rPr>
          <w:rFonts w:ascii="Arial" w:hAnsi="Arial" w:cs="Arial"/>
          <w:spacing w:val="-17"/>
          <w:sz w:val="24"/>
          <w:szCs w:val="24"/>
        </w:rPr>
        <w:t xml:space="preserve"> </w:t>
      </w:r>
      <w:r w:rsidRPr="004C529C">
        <w:rPr>
          <w:rFonts w:ascii="Arial" w:hAnsi="Arial" w:cs="Arial"/>
          <w:sz w:val="24"/>
          <w:szCs w:val="24"/>
        </w:rPr>
        <w:t>şi</w:t>
      </w:r>
      <w:r w:rsidRPr="004C529C">
        <w:rPr>
          <w:rFonts w:ascii="Arial" w:hAnsi="Arial" w:cs="Arial"/>
          <w:spacing w:val="-15"/>
          <w:sz w:val="24"/>
          <w:szCs w:val="24"/>
        </w:rPr>
        <w:t xml:space="preserve"> </w:t>
      </w:r>
      <w:r w:rsidRPr="004C529C">
        <w:rPr>
          <w:rFonts w:ascii="Arial" w:hAnsi="Arial" w:cs="Arial"/>
          <w:sz w:val="24"/>
          <w:szCs w:val="24"/>
        </w:rPr>
        <w:t>Arad)</w:t>
      </w:r>
      <w:r w:rsidRPr="004C529C">
        <w:rPr>
          <w:rFonts w:ascii="Arial" w:hAnsi="Arial" w:cs="Arial"/>
          <w:spacing w:val="-15"/>
          <w:sz w:val="24"/>
          <w:szCs w:val="24"/>
        </w:rPr>
        <w:t xml:space="preserve"> </w:t>
      </w:r>
      <w:r w:rsidRPr="004C529C">
        <w:rPr>
          <w:rFonts w:ascii="Arial" w:hAnsi="Arial" w:cs="Arial"/>
          <w:sz w:val="24"/>
          <w:szCs w:val="24"/>
        </w:rPr>
        <w:t>şi</w:t>
      </w:r>
      <w:r w:rsidRPr="004C529C">
        <w:rPr>
          <w:rFonts w:ascii="Arial" w:hAnsi="Arial" w:cs="Arial"/>
          <w:spacing w:val="-15"/>
          <w:sz w:val="24"/>
          <w:szCs w:val="24"/>
        </w:rPr>
        <w:t xml:space="preserve"> </w:t>
      </w:r>
      <w:r w:rsidRPr="004C529C">
        <w:rPr>
          <w:rFonts w:ascii="Arial" w:hAnsi="Arial" w:cs="Arial"/>
          <w:sz w:val="24"/>
          <w:szCs w:val="24"/>
        </w:rPr>
        <w:t>unul</w:t>
      </w:r>
      <w:r w:rsidRPr="004C529C">
        <w:rPr>
          <w:rFonts w:ascii="Arial" w:hAnsi="Arial" w:cs="Arial"/>
          <w:spacing w:val="-17"/>
          <w:sz w:val="24"/>
          <w:szCs w:val="24"/>
        </w:rPr>
        <w:t xml:space="preserve"> </w:t>
      </w:r>
      <w:r w:rsidRPr="004C529C">
        <w:rPr>
          <w:rFonts w:ascii="Arial" w:hAnsi="Arial" w:cs="Arial"/>
          <w:sz w:val="24"/>
          <w:szCs w:val="24"/>
        </w:rPr>
        <w:t>doar</w:t>
      </w:r>
      <w:r w:rsidRPr="004C529C">
        <w:rPr>
          <w:rFonts w:ascii="Arial" w:hAnsi="Arial" w:cs="Arial"/>
          <w:spacing w:val="-16"/>
          <w:sz w:val="24"/>
          <w:szCs w:val="24"/>
        </w:rPr>
        <w:t xml:space="preserve"> </w:t>
      </w:r>
      <w:r w:rsidRPr="004C529C">
        <w:rPr>
          <w:rFonts w:ascii="Arial" w:hAnsi="Arial" w:cs="Arial"/>
          <w:sz w:val="24"/>
          <w:szCs w:val="24"/>
        </w:rPr>
        <w:t>pentru</w:t>
      </w:r>
      <w:r w:rsidRPr="004C529C">
        <w:rPr>
          <w:rFonts w:ascii="Arial" w:hAnsi="Arial" w:cs="Arial"/>
          <w:spacing w:val="-16"/>
          <w:sz w:val="24"/>
          <w:szCs w:val="24"/>
        </w:rPr>
        <w:t xml:space="preserve"> </w:t>
      </w:r>
      <w:r w:rsidRPr="004C529C">
        <w:rPr>
          <w:rFonts w:ascii="Arial" w:hAnsi="Arial" w:cs="Arial"/>
          <w:sz w:val="24"/>
          <w:szCs w:val="24"/>
        </w:rPr>
        <w:t>traficul</w:t>
      </w:r>
      <w:r w:rsidRPr="004C529C">
        <w:rPr>
          <w:rFonts w:ascii="Arial" w:hAnsi="Arial" w:cs="Arial"/>
          <w:spacing w:val="-17"/>
          <w:sz w:val="24"/>
          <w:szCs w:val="24"/>
        </w:rPr>
        <w:t xml:space="preserve"> </w:t>
      </w:r>
      <w:r w:rsidRPr="004C529C">
        <w:rPr>
          <w:rFonts w:ascii="Arial" w:hAnsi="Arial" w:cs="Arial"/>
          <w:sz w:val="24"/>
          <w:szCs w:val="24"/>
        </w:rPr>
        <w:t>intern</w:t>
      </w:r>
      <w:r w:rsidRPr="004C529C">
        <w:rPr>
          <w:rFonts w:ascii="Arial" w:hAnsi="Arial" w:cs="Arial"/>
          <w:spacing w:val="-16"/>
          <w:sz w:val="24"/>
          <w:szCs w:val="24"/>
        </w:rPr>
        <w:t xml:space="preserve"> </w:t>
      </w:r>
      <w:r w:rsidRPr="004C529C">
        <w:rPr>
          <w:rFonts w:ascii="Arial" w:hAnsi="Arial" w:cs="Arial"/>
          <w:sz w:val="24"/>
          <w:szCs w:val="24"/>
        </w:rPr>
        <w:t>(Caransebeş).</w:t>
      </w:r>
      <w:r w:rsidRPr="004C529C">
        <w:rPr>
          <w:rFonts w:ascii="Arial" w:hAnsi="Arial" w:cs="Arial"/>
          <w:spacing w:val="-14"/>
          <w:sz w:val="24"/>
          <w:szCs w:val="24"/>
        </w:rPr>
        <w:t xml:space="preserve"> </w:t>
      </w:r>
      <w:r w:rsidRPr="004C529C">
        <w:rPr>
          <w:rFonts w:ascii="Arial" w:hAnsi="Arial" w:cs="Arial"/>
          <w:sz w:val="24"/>
          <w:szCs w:val="24"/>
        </w:rPr>
        <w:t>Totuşi, în cadrul Regiunii mai există şi o a patra aerogară, la Deva, specializată doar pe activităţi de aviaţie</w:t>
      </w:r>
      <w:r w:rsidRPr="004C529C">
        <w:rPr>
          <w:rFonts w:ascii="Arial" w:hAnsi="Arial" w:cs="Arial"/>
          <w:spacing w:val="-2"/>
          <w:sz w:val="24"/>
          <w:szCs w:val="24"/>
        </w:rPr>
        <w:t xml:space="preserve"> </w:t>
      </w:r>
      <w:r w:rsidRPr="004C529C">
        <w:rPr>
          <w:rFonts w:ascii="Arial" w:hAnsi="Arial" w:cs="Arial"/>
          <w:sz w:val="24"/>
          <w:szCs w:val="24"/>
        </w:rPr>
        <w:t xml:space="preserve">sportivă.De departe, cel mai important aeroport este, însă, cel de la Timişoara, fiind al treilea aeroport ca mărime din România, după aeroporturile „Henri Coandă” şi „Aurel Vlaicu” din Bucureşti, şi deserveşte o populaţie de peste 2,5 milioane de locuitori, acesta asigurând legături cu cele mai mari şi îndepărtate oraşe din România, dar și cu importante centre urbane din Europa </w:t>
      </w:r>
      <w:r>
        <w:rPr>
          <w:rFonts w:ascii="Arial" w:hAnsi="Arial" w:cs="Arial"/>
          <w:sz w:val="24"/>
          <w:szCs w:val="24"/>
        </w:rPr>
        <w:t xml:space="preserve">. </w:t>
      </w:r>
      <w:r w:rsidRPr="004C529C">
        <w:rPr>
          <w:rFonts w:ascii="Arial" w:hAnsi="Arial" w:cs="Arial"/>
          <w:sz w:val="24"/>
          <w:szCs w:val="24"/>
        </w:rPr>
        <w:t>Un alt aeroport important, internaţional, al Regiunii Vest este cel din Arad, aflat la doar patru kilometri de centrul oraşului şi cu acces la drumul european E68 (Budapesta- Arad-Deva-</w:t>
      </w:r>
      <w:r w:rsidRPr="004C529C">
        <w:rPr>
          <w:rFonts w:ascii="Arial" w:hAnsi="Arial" w:cs="Arial"/>
          <w:sz w:val="24"/>
          <w:szCs w:val="24"/>
        </w:rPr>
        <w:lastRenderedPageBreak/>
        <w:t>Bucureşti) şi la axa feroviară internaţională Budapesta-Curtici-Arad-Bucureşti</w:t>
      </w:r>
      <w:r>
        <w:t>. (</w:t>
      </w:r>
      <w:r w:rsidRPr="00A460EA">
        <w:rPr>
          <w:rFonts w:ascii="Arial" w:eastAsia="TimesNewRomanPSMT" w:hAnsi="Arial" w:cs="Arial"/>
          <w:i/>
          <w:sz w:val="24"/>
          <w:szCs w:val="24"/>
        </w:rPr>
        <w:t>informații</w:t>
      </w:r>
      <w:r w:rsidR="00FA2298">
        <w:rPr>
          <w:rFonts w:ascii="Arial" w:eastAsia="TimesNewRomanPSMT" w:hAnsi="Arial" w:cs="Arial"/>
          <w:i/>
          <w:sz w:val="24"/>
          <w:szCs w:val="24"/>
        </w:rPr>
        <w:t xml:space="preserve"> </w:t>
      </w:r>
      <w:r w:rsidRPr="00A460EA">
        <w:rPr>
          <w:rFonts w:ascii="Arial" w:eastAsia="TimesNewRomanPSMT" w:hAnsi="Arial" w:cs="Arial"/>
          <w:i/>
          <w:sz w:val="24"/>
          <w:szCs w:val="24"/>
        </w:rPr>
        <w:t xml:space="preserve">preluate din </w:t>
      </w:r>
      <w:r w:rsidRPr="00A460EA">
        <w:rPr>
          <w:rFonts w:ascii="Arial" w:eastAsia="TimesNewRomanPSMT" w:hAnsi="Arial" w:cs="Arial"/>
          <w:i/>
          <w:iCs/>
          <w:sz w:val="24"/>
          <w:szCs w:val="24"/>
        </w:rPr>
        <w:t>PDR Regiunea Vest 2014-2020, pag. 49</w:t>
      </w:r>
      <w:r>
        <w:t>).</w:t>
      </w:r>
    </w:p>
    <w:p w:rsidR="00444E7D" w:rsidRPr="00444E7D" w:rsidRDefault="00444E7D" w:rsidP="00FA2298">
      <w:pPr>
        <w:pStyle w:val="BodyText"/>
        <w:spacing w:after="0" w:line="240" w:lineRule="auto"/>
        <w:ind w:left="-90"/>
        <w:jc w:val="both"/>
        <w:rPr>
          <w:rFonts w:ascii="Arial" w:hAnsi="Arial" w:cs="Arial"/>
          <w:sz w:val="24"/>
          <w:szCs w:val="24"/>
        </w:rPr>
      </w:pPr>
      <w:r w:rsidRPr="00444E7D">
        <w:rPr>
          <w:rFonts w:ascii="Arial" w:hAnsi="Arial" w:cs="Arial"/>
          <w:sz w:val="24"/>
          <w:szCs w:val="24"/>
        </w:rPr>
        <w:t xml:space="preserve">Dunărea constituie principala cale </w:t>
      </w:r>
      <w:r w:rsidRPr="00444E7D">
        <w:rPr>
          <w:rFonts w:ascii="Arial" w:hAnsi="Arial" w:cs="Arial"/>
          <w:i/>
          <w:sz w:val="24"/>
          <w:szCs w:val="24"/>
        </w:rPr>
        <w:t>navigabilă interioară</w:t>
      </w:r>
      <w:r w:rsidRPr="00444E7D">
        <w:rPr>
          <w:rFonts w:ascii="Arial" w:hAnsi="Arial" w:cs="Arial"/>
          <w:sz w:val="24"/>
          <w:szCs w:val="24"/>
        </w:rPr>
        <w:t xml:space="preserve"> a României, împreună cu canalele</w:t>
      </w:r>
      <w:r w:rsidRPr="00444E7D">
        <w:rPr>
          <w:rFonts w:ascii="Arial" w:hAnsi="Arial" w:cs="Arial"/>
          <w:spacing w:val="-13"/>
          <w:sz w:val="24"/>
          <w:szCs w:val="24"/>
        </w:rPr>
        <w:t xml:space="preserve"> </w:t>
      </w:r>
      <w:r w:rsidRPr="00444E7D">
        <w:rPr>
          <w:rFonts w:ascii="Arial" w:hAnsi="Arial" w:cs="Arial"/>
          <w:sz w:val="24"/>
          <w:szCs w:val="24"/>
        </w:rPr>
        <w:t>Dunăre</w:t>
      </w:r>
      <w:r w:rsidRPr="00444E7D">
        <w:rPr>
          <w:rFonts w:ascii="Arial" w:hAnsi="Arial" w:cs="Arial"/>
          <w:spacing w:val="-14"/>
          <w:sz w:val="24"/>
          <w:szCs w:val="24"/>
        </w:rPr>
        <w:t xml:space="preserve"> </w:t>
      </w:r>
      <w:r w:rsidRPr="00444E7D">
        <w:rPr>
          <w:rFonts w:ascii="Arial" w:hAnsi="Arial" w:cs="Arial"/>
          <w:sz w:val="24"/>
          <w:szCs w:val="24"/>
        </w:rPr>
        <w:t>-</w:t>
      </w:r>
      <w:r w:rsidRPr="00444E7D">
        <w:rPr>
          <w:rFonts w:ascii="Arial" w:hAnsi="Arial" w:cs="Arial"/>
          <w:spacing w:val="-14"/>
          <w:sz w:val="24"/>
          <w:szCs w:val="24"/>
        </w:rPr>
        <w:t xml:space="preserve"> </w:t>
      </w:r>
      <w:r w:rsidRPr="00444E7D">
        <w:rPr>
          <w:rFonts w:ascii="Arial" w:hAnsi="Arial" w:cs="Arial"/>
          <w:sz w:val="24"/>
          <w:szCs w:val="24"/>
        </w:rPr>
        <w:t>Marea</w:t>
      </w:r>
      <w:r w:rsidRPr="00444E7D">
        <w:rPr>
          <w:rFonts w:ascii="Arial" w:hAnsi="Arial" w:cs="Arial"/>
          <w:spacing w:val="-14"/>
          <w:sz w:val="24"/>
          <w:szCs w:val="24"/>
        </w:rPr>
        <w:t xml:space="preserve"> </w:t>
      </w:r>
      <w:r w:rsidRPr="00444E7D">
        <w:rPr>
          <w:rFonts w:ascii="Arial" w:hAnsi="Arial" w:cs="Arial"/>
          <w:sz w:val="24"/>
          <w:szCs w:val="24"/>
        </w:rPr>
        <w:t>Neagră</w:t>
      </w:r>
      <w:r w:rsidRPr="00444E7D">
        <w:rPr>
          <w:rFonts w:ascii="Arial" w:hAnsi="Arial" w:cs="Arial"/>
          <w:spacing w:val="-11"/>
          <w:sz w:val="24"/>
          <w:szCs w:val="24"/>
        </w:rPr>
        <w:t xml:space="preserve"> </w:t>
      </w:r>
      <w:r w:rsidRPr="00444E7D">
        <w:rPr>
          <w:rFonts w:ascii="Arial" w:hAnsi="Arial" w:cs="Arial"/>
          <w:sz w:val="24"/>
          <w:szCs w:val="24"/>
        </w:rPr>
        <w:t>şi</w:t>
      </w:r>
      <w:r w:rsidRPr="00444E7D">
        <w:rPr>
          <w:rFonts w:ascii="Arial" w:hAnsi="Arial" w:cs="Arial"/>
          <w:spacing w:val="-13"/>
          <w:sz w:val="24"/>
          <w:szCs w:val="24"/>
        </w:rPr>
        <w:t xml:space="preserve"> </w:t>
      </w:r>
      <w:r w:rsidRPr="00444E7D">
        <w:rPr>
          <w:rFonts w:ascii="Arial" w:hAnsi="Arial" w:cs="Arial"/>
          <w:sz w:val="24"/>
          <w:szCs w:val="24"/>
        </w:rPr>
        <w:t>Poarta</w:t>
      </w:r>
      <w:r w:rsidRPr="00444E7D">
        <w:rPr>
          <w:rFonts w:ascii="Arial" w:hAnsi="Arial" w:cs="Arial"/>
          <w:spacing w:val="-14"/>
          <w:sz w:val="24"/>
          <w:szCs w:val="24"/>
        </w:rPr>
        <w:t xml:space="preserve"> </w:t>
      </w:r>
      <w:r w:rsidRPr="00444E7D">
        <w:rPr>
          <w:rFonts w:ascii="Arial" w:hAnsi="Arial" w:cs="Arial"/>
          <w:sz w:val="24"/>
          <w:szCs w:val="24"/>
        </w:rPr>
        <w:t>Albă</w:t>
      </w:r>
      <w:r w:rsidRPr="00444E7D">
        <w:rPr>
          <w:rFonts w:ascii="Arial" w:hAnsi="Arial" w:cs="Arial"/>
          <w:spacing w:val="-12"/>
          <w:sz w:val="24"/>
          <w:szCs w:val="24"/>
        </w:rPr>
        <w:t xml:space="preserve"> </w:t>
      </w:r>
      <w:r w:rsidRPr="00444E7D">
        <w:rPr>
          <w:rFonts w:ascii="Arial" w:hAnsi="Arial" w:cs="Arial"/>
          <w:sz w:val="24"/>
          <w:szCs w:val="24"/>
        </w:rPr>
        <w:t>-</w:t>
      </w:r>
      <w:r w:rsidRPr="00444E7D">
        <w:rPr>
          <w:rFonts w:ascii="Arial" w:hAnsi="Arial" w:cs="Arial"/>
          <w:spacing w:val="-12"/>
          <w:sz w:val="24"/>
          <w:szCs w:val="24"/>
        </w:rPr>
        <w:t xml:space="preserve"> </w:t>
      </w:r>
      <w:r w:rsidRPr="00444E7D">
        <w:rPr>
          <w:rFonts w:ascii="Arial" w:hAnsi="Arial" w:cs="Arial"/>
          <w:sz w:val="24"/>
          <w:szCs w:val="24"/>
        </w:rPr>
        <w:t>Midia</w:t>
      </w:r>
      <w:r w:rsidRPr="00444E7D">
        <w:rPr>
          <w:rFonts w:ascii="Arial" w:hAnsi="Arial" w:cs="Arial"/>
          <w:spacing w:val="-14"/>
          <w:sz w:val="24"/>
          <w:szCs w:val="24"/>
        </w:rPr>
        <w:t xml:space="preserve"> </w:t>
      </w:r>
      <w:r w:rsidRPr="00444E7D">
        <w:rPr>
          <w:rFonts w:ascii="Arial" w:hAnsi="Arial" w:cs="Arial"/>
          <w:sz w:val="24"/>
          <w:szCs w:val="24"/>
        </w:rPr>
        <w:t>Năvodari.</w:t>
      </w:r>
      <w:r w:rsidRPr="00444E7D">
        <w:rPr>
          <w:rFonts w:ascii="Arial" w:hAnsi="Arial" w:cs="Arial"/>
          <w:spacing w:val="41"/>
          <w:sz w:val="24"/>
          <w:szCs w:val="24"/>
        </w:rPr>
        <w:t xml:space="preserve"> </w:t>
      </w:r>
      <w:r w:rsidRPr="00444E7D">
        <w:rPr>
          <w:rFonts w:ascii="Arial" w:hAnsi="Arial" w:cs="Arial"/>
          <w:sz w:val="24"/>
          <w:szCs w:val="24"/>
        </w:rPr>
        <w:t>Din</w:t>
      </w:r>
      <w:r w:rsidRPr="00444E7D">
        <w:rPr>
          <w:rFonts w:ascii="Arial" w:hAnsi="Arial" w:cs="Arial"/>
          <w:spacing w:val="-10"/>
          <w:sz w:val="24"/>
          <w:szCs w:val="24"/>
        </w:rPr>
        <w:t xml:space="preserve"> </w:t>
      </w:r>
      <w:r w:rsidRPr="00444E7D">
        <w:rPr>
          <w:rFonts w:ascii="Arial" w:hAnsi="Arial" w:cs="Arial"/>
          <w:sz w:val="24"/>
          <w:szCs w:val="24"/>
        </w:rPr>
        <w:t>cei</w:t>
      </w:r>
      <w:r w:rsidRPr="00444E7D">
        <w:rPr>
          <w:rFonts w:ascii="Arial" w:hAnsi="Arial" w:cs="Arial"/>
          <w:spacing w:val="-13"/>
          <w:sz w:val="24"/>
          <w:szCs w:val="24"/>
        </w:rPr>
        <w:t xml:space="preserve"> </w:t>
      </w:r>
      <w:r w:rsidRPr="00444E7D">
        <w:rPr>
          <w:rFonts w:ascii="Arial" w:hAnsi="Arial" w:cs="Arial"/>
          <w:sz w:val="24"/>
          <w:szCs w:val="24"/>
        </w:rPr>
        <w:t>2411</w:t>
      </w:r>
      <w:r w:rsidRPr="00444E7D">
        <w:rPr>
          <w:rFonts w:ascii="Arial" w:hAnsi="Arial" w:cs="Arial"/>
          <w:spacing w:val="-14"/>
          <w:sz w:val="24"/>
          <w:szCs w:val="24"/>
        </w:rPr>
        <w:t xml:space="preserve"> </w:t>
      </w:r>
      <w:r w:rsidRPr="00444E7D">
        <w:rPr>
          <w:rFonts w:ascii="Arial" w:hAnsi="Arial" w:cs="Arial"/>
          <w:sz w:val="24"/>
          <w:szCs w:val="24"/>
        </w:rPr>
        <w:t>km</w:t>
      </w:r>
      <w:r w:rsidRPr="00444E7D">
        <w:rPr>
          <w:rFonts w:ascii="Arial" w:hAnsi="Arial" w:cs="Arial"/>
          <w:spacing w:val="-12"/>
          <w:sz w:val="24"/>
          <w:szCs w:val="24"/>
        </w:rPr>
        <w:t xml:space="preserve"> </w:t>
      </w:r>
      <w:r w:rsidRPr="00444E7D">
        <w:rPr>
          <w:rFonts w:ascii="Arial" w:hAnsi="Arial" w:cs="Arial"/>
          <w:sz w:val="24"/>
          <w:szCs w:val="24"/>
        </w:rPr>
        <w:t>navigabili, peste 40% (1075 km) constituie graniţa naturală a României sau străbat teritoriul acesteia. România dispune de 28 de porturi funcţionale pe Dunăre, dintre care Galaţi, Brăila şi Tulcea au o infrastructură care permite accesul navelor maritime.</w:t>
      </w:r>
    </w:p>
    <w:p w:rsidR="00444E7D" w:rsidRPr="00444E7D" w:rsidRDefault="00444E7D" w:rsidP="00FA2298">
      <w:pPr>
        <w:pStyle w:val="BodyText"/>
        <w:spacing w:after="0" w:line="240" w:lineRule="auto"/>
        <w:ind w:left="-90"/>
        <w:jc w:val="both"/>
        <w:rPr>
          <w:rFonts w:ascii="Arial" w:hAnsi="Arial" w:cs="Arial"/>
          <w:sz w:val="24"/>
          <w:szCs w:val="24"/>
        </w:rPr>
      </w:pPr>
      <w:r w:rsidRPr="00444E7D">
        <w:rPr>
          <w:rFonts w:ascii="Arial" w:hAnsi="Arial" w:cs="Arial"/>
          <w:sz w:val="24"/>
          <w:szCs w:val="24"/>
        </w:rPr>
        <w:t>Dunăre-Rin–Main constituie o axă importantă europeană TEN-T legând sud-estul (Consta</w:t>
      </w:r>
      <w:r>
        <w:rPr>
          <w:rFonts w:ascii="Arial" w:hAnsi="Arial" w:cs="Arial"/>
          <w:sz w:val="24"/>
          <w:szCs w:val="24"/>
        </w:rPr>
        <w:t xml:space="preserve">nţa) de nord-vestul (Rotterdam). </w:t>
      </w:r>
      <w:r w:rsidRPr="00444E7D">
        <w:rPr>
          <w:rFonts w:ascii="Arial" w:hAnsi="Arial" w:cs="Arial"/>
          <w:sz w:val="24"/>
          <w:szCs w:val="24"/>
        </w:rPr>
        <w:t>Dunărea asigură ţărilor riverane Germania, Austria, Slovacia, Ungaria,</w:t>
      </w:r>
      <w:r w:rsidRPr="00444E7D">
        <w:rPr>
          <w:rFonts w:ascii="Arial" w:hAnsi="Arial" w:cs="Arial"/>
          <w:spacing w:val="-46"/>
          <w:sz w:val="24"/>
          <w:szCs w:val="24"/>
        </w:rPr>
        <w:t xml:space="preserve"> </w:t>
      </w:r>
      <w:r w:rsidRPr="00444E7D">
        <w:rPr>
          <w:rFonts w:ascii="Arial" w:hAnsi="Arial" w:cs="Arial"/>
          <w:sz w:val="24"/>
          <w:szCs w:val="24"/>
        </w:rPr>
        <w:t>Croaţia, Serbia, Bulgaria, România, Moldova şi Ucraina o alternativă importantă la transportul</w:t>
      </w:r>
      <w:r w:rsidRPr="00444E7D">
        <w:rPr>
          <w:rFonts w:ascii="Arial" w:hAnsi="Arial" w:cs="Arial"/>
          <w:spacing w:val="-14"/>
          <w:sz w:val="24"/>
          <w:szCs w:val="24"/>
        </w:rPr>
        <w:t xml:space="preserve"> </w:t>
      </w:r>
      <w:r w:rsidRPr="00444E7D">
        <w:rPr>
          <w:rFonts w:ascii="Arial" w:hAnsi="Arial" w:cs="Arial"/>
          <w:sz w:val="24"/>
          <w:szCs w:val="24"/>
        </w:rPr>
        <w:t>terestru.</w:t>
      </w:r>
    </w:p>
    <w:p w:rsidR="00444E7D" w:rsidRDefault="00444E7D" w:rsidP="00FA2298">
      <w:pPr>
        <w:pStyle w:val="BodyText"/>
        <w:spacing w:after="0" w:line="240" w:lineRule="auto"/>
        <w:ind w:left="-90"/>
        <w:jc w:val="both"/>
        <w:rPr>
          <w:rFonts w:ascii="Arial" w:eastAsia="TimesNewRomanPSMT" w:hAnsi="Arial" w:cs="Arial"/>
          <w:i/>
          <w:iCs/>
          <w:sz w:val="24"/>
          <w:szCs w:val="24"/>
          <w:lang w:val="en-US"/>
        </w:rPr>
      </w:pPr>
      <w:r w:rsidRPr="00444E7D">
        <w:rPr>
          <w:rFonts w:ascii="Arial" w:hAnsi="Arial" w:cs="Arial"/>
          <w:sz w:val="24"/>
          <w:szCs w:val="24"/>
        </w:rPr>
        <w:t>În cadrul Regiunii Vest Dunărea este navigabilă pe tronsonul Baziaş-Orşova, iar râul Bega pe o lungime de 40 km. Există, totodată încă un canal navigabil care străbate şi Regiunea Vest şi anume cel al râului Mureş (între Alba Iulia – Arad).</w:t>
      </w:r>
      <w:r w:rsidRPr="00444E7D">
        <w:rPr>
          <w:rFonts w:ascii="Arial" w:eastAsia="TimesNewRomanPSMT" w:hAnsi="Arial" w:cs="Arial"/>
          <w:i/>
          <w:sz w:val="24"/>
          <w:szCs w:val="24"/>
          <w:lang w:val="en-US"/>
        </w:rPr>
        <w:t xml:space="preserve"> </w:t>
      </w:r>
      <w:r>
        <w:rPr>
          <w:rFonts w:ascii="Arial" w:eastAsia="TimesNewRomanPSMT" w:hAnsi="Arial" w:cs="Arial"/>
          <w:i/>
          <w:sz w:val="24"/>
          <w:szCs w:val="24"/>
          <w:lang w:val="en-US"/>
        </w:rPr>
        <w:t>(</w:t>
      </w:r>
      <w:r w:rsidRPr="00444E7D">
        <w:rPr>
          <w:rFonts w:ascii="Arial" w:eastAsia="TimesNewRomanPSMT" w:hAnsi="Arial" w:cs="Arial"/>
          <w:i/>
          <w:sz w:val="24"/>
          <w:szCs w:val="24"/>
          <w:lang w:val="en-US"/>
        </w:rPr>
        <w:t>informa</w:t>
      </w:r>
      <w:r w:rsidRPr="00444E7D">
        <w:rPr>
          <w:rFonts w:ascii="Arial" w:eastAsia="TimesNewRomanPSMT" w:hAnsi="Arial" w:cs="Arial"/>
          <w:i/>
          <w:sz w:val="24"/>
          <w:szCs w:val="24"/>
        </w:rPr>
        <w:t xml:space="preserve">ții preluate din </w:t>
      </w:r>
      <w:r w:rsidRPr="00444E7D">
        <w:rPr>
          <w:rFonts w:ascii="Arial" w:eastAsia="TimesNewRomanPSMT" w:hAnsi="Arial" w:cs="Arial"/>
          <w:i/>
          <w:iCs/>
          <w:sz w:val="24"/>
          <w:szCs w:val="24"/>
          <w:lang w:val="en-US"/>
        </w:rPr>
        <w:t>PDR Regiunea Vest 2014-2020, pag. 50-51</w:t>
      </w:r>
      <w:r>
        <w:rPr>
          <w:rFonts w:ascii="Arial" w:eastAsia="TimesNewRomanPSMT" w:hAnsi="Arial" w:cs="Arial"/>
          <w:i/>
          <w:iCs/>
          <w:sz w:val="24"/>
          <w:szCs w:val="24"/>
          <w:lang w:val="en-US"/>
        </w:rPr>
        <w:t>).</w:t>
      </w:r>
    </w:p>
    <w:p w:rsidR="002E401B" w:rsidRPr="004D42C7" w:rsidRDefault="002E401B" w:rsidP="00FA2298">
      <w:pPr>
        <w:pStyle w:val="BodyText"/>
        <w:spacing w:after="0" w:line="240" w:lineRule="auto"/>
        <w:ind w:left="-90"/>
        <w:jc w:val="both"/>
        <w:rPr>
          <w:rFonts w:ascii="Arial" w:hAnsi="Arial" w:cs="Arial"/>
          <w:sz w:val="24"/>
          <w:szCs w:val="24"/>
        </w:rPr>
      </w:pPr>
      <w:r w:rsidRPr="004D42C7">
        <w:rPr>
          <w:rFonts w:ascii="Arial" w:hAnsi="Arial" w:cs="Arial"/>
          <w:sz w:val="24"/>
          <w:szCs w:val="24"/>
        </w:rPr>
        <w:t>Regiunea</w:t>
      </w:r>
      <w:r w:rsidRPr="004D42C7">
        <w:rPr>
          <w:rFonts w:ascii="Arial" w:hAnsi="Arial" w:cs="Arial"/>
          <w:spacing w:val="-15"/>
          <w:sz w:val="24"/>
          <w:szCs w:val="24"/>
        </w:rPr>
        <w:t xml:space="preserve"> </w:t>
      </w:r>
      <w:r w:rsidRPr="004D42C7">
        <w:rPr>
          <w:rFonts w:ascii="Arial" w:hAnsi="Arial" w:cs="Arial"/>
          <w:sz w:val="24"/>
          <w:szCs w:val="24"/>
        </w:rPr>
        <w:t>Vest</w:t>
      </w:r>
      <w:r w:rsidRPr="004D42C7">
        <w:rPr>
          <w:rFonts w:ascii="Arial" w:hAnsi="Arial" w:cs="Arial"/>
          <w:spacing w:val="-13"/>
          <w:sz w:val="24"/>
          <w:szCs w:val="24"/>
        </w:rPr>
        <w:t xml:space="preserve"> </w:t>
      </w:r>
      <w:r w:rsidRPr="004D42C7">
        <w:rPr>
          <w:rFonts w:ascii="Arial" w:hAnsi="Arial" w:cs="Arial"/>
          <w:sz w:val="24"/>
          <w:szCs w:val="24"/>
        </w:rPr>
        <w:t>ocupă</w:t>
      </w:r>
      <w:r w:rsidRPr="004D42C7">
        <w:rPr>
          <w:rFonts w:ascii="Arial" w:hAnsi="Arial" w:cs="Arial"/>
          <w:spacing w:val="-14"/>
          <w:sz w:val="24"/>
          <w:szCs w:val="24"/>
        </w:rPr>
        <w:t xml:space="preserve"> </w:t>
      </w:r>
      <w:r w:rsidRPr="004D42C7">
        <w:rPr>
          <w:rFonts w:ascii="Arial" w:hAnsi="Arial" w:cs="Arial"/>
          <w:sz w:val="24"/>
          <w:szCs w:val="24"/>
        </w:rPr>
        <w:t>locul</w:t>
      </w:r>
      <w:r w:rsidRPr="004D42C7">
        <w:rPr>
          <w:rFonts w:ascii="Arial" w:hAnsi="Arial" w:cs="Arial"/>
          <w:spacing w:val="-14"/>
          <w:sz w:val="24"/>
          <w:szCs w:val="24"/>
        </w:rPr>
        <w:t xml:space="preserve"> </w:t>
      </w:r>
      <w:r w:rsidRPr="004D42C7">
        <w:rPr>
          <w:rFonts w:ascii="Arial" w:hAnsi="Arial" w:cs="Arial"/>
          <w:sz w:val="24"/>
          <w:szCs w:val="24"/>
        </w:rPr>
        <w:t>al</w:t>
      </w:r>
      <w:r w:rsidRPr="004D42C7">
        <w:rPr>
          <w:rFonts w:ascii="Arial" w:hAnsi="Arial" w:cs="Arial"/>
          <w:spacing w:val="-14"/>
          <w:sz w:val="24"/>
          <w:szCs w:val="24"/>
        </w:rPr>
        <w:t xml:space="preserve"> </w:t>
      </w:r>
      <w:r w:rsidRPr="004D42C7">
        <w:rPr>
          <w:rFonts w:ascii="Arial" w:hAnsi="Arial" w:cs="Arial"/>
          <w:sz w:val="24"/>
          <w:szCs w:val="24"/>
        </w:rPr>
        <w:t>cincilea</w:t>
      </w:r>
      <w:r w:rsidRPr="004D42C7">
        <w:rPr>
          <w:rFonts w:ascii="Arial" w:hAnsi="Arial" w:cs="Arial"/>
          <w:spacing w:val="-13"/>
          <w:sz w:val="24"/>
          <w:szCs w:val="24"/>
        </w:rPr>
        <w:t xml:space="preserve"> </w:t>
      </w:r>
      <w:r w:rsidRPr="004D42C7">
        <w:rPr>
          <w:rFonts w:ascii="Arial" w:hAnsi="Arial" w:cs="Arial"/>
          <w:sz w:val="24"/>
          <w:szCs w:val="24"/>
        </w:rPr>
        <w:t>între</w:t>
      </w:r>
      <w:r w:rsidRPr="004D42C7">
        <w:rPr>
          <w:rFonts w:ascii="Arial" w:hAnsi="Arial" w:cs="Arial"/>
          <w:spacing w:val="-13"/>
          <w:sz w:val="24"/>
          <w:szCs w:val="24"/>
        </w:rPr>
        <w:t xml:space="preserve"> </w:t>
      </w:r>
      <w:r w:rsidRPr="004D42C7">
        <w:rPr>
          <w:rFonts w:ascii="Arial" w:hAnsi="Arial" w:cs="Arial"/>
          <w:sz w:val="24"/>
          <w:szCs w:val="24"/>
        </w:rPr>
        <w:t>regiunile</w:t>
      </w:r>
      <w:r w:rsidRPr="004D42C7">
        <w:rPr>
          <w:rFonts w:ascii="Arial" w:hAnsi="Arial" w:cs="Arial"/>
          <w:spacing w:val="-11"/>
          <w:sz w:val="24"/>
          <w:szCs w:val="24"/>
        </w:rPr>
        <w:t xml:space="preserve"> </w:t>
      </w:r>
      <w:r w:rsidRPr="004D42C7">
        <w:rPr>
          <w:rFonts w:ascii="Arial" w:hAnsi="Arial" w:cs="Arial"/>
          <w:sz w:val="24"/>
          <w:szCs w:val="24"/>
        </w:rPr>
        <w:t>României,</w:t>
      </w:r>
      <w:r w:rsidRPr="004D42C7">
        <w:rPr>
          <w:rFonts w:ascii="Arial" w:hAnsi="Arial" w:cs="Arial"/>
          <w:spacing w:val="-14"/>
          <w:sz w:val="24"/>
          <w:szCs w:val="24"/>
        </w:rPr>
        <w:t xml:space="preserve"> </w:t>
      </w:r>
      <w:r w:rsidRPr="004D42C7">
        <w:rPr>
          <w:rFonts w:ascii="Arial" w:hAnsi="Arial" w:cs="Arial"/>
          <w:sz w:val="24"/>
          <w:szCs w:val="24"/>
        </w:rPr>
        <w:t>cu</w:t>
      </w:r>
      <w:r w:rsidRPr="004D42C7">
        <w:rPr>
          <w:rFonts w:ascii="Arial" w:hAnsi="Arial" w:cs="Arial"/>
          <w:spacing w:val="-13"/>
          <w:sz w:val="24"/>
          <w:szCs w:val="24"/>
        </w:rPr>
        <w:t xml:space="preserve"> </w:t>
      </w:r>
      <w:r w:rsidRPr="004D42C7">
        <w:rPr>
          <w:rFonts w:ascii="Arial" w:hAnsi="Arial" w:cs="Arial"/>
          <w:sz w:val="24"/>
          <w:szCs w:val="24"/>
        </w:rPr>
        <w:t>7,8%</w:t>
      </w:r>
      <w:r w:rsidRPr="004D42C7">
        <w:rPr>
          <w:rFonts w:ascii="Arial" w:hAnsi="Arial" w:cs="Arial"/>
          <w:spacing w:val="-13"/>
          <w:sz w:val="24"/>
          <w:szCs w:val="24"/>
        </w:rPr>
        <w:t xml:space="preserve"> </w:t>
      </w:r>
      <w:r w:rsidRPr="004D42C7">
        <w:rPr>
          <w:rFonts w:ascii="Arial" w:hAnsi="Arial" w:cs="Arial"/>
          <w:sz w:val="24"/>
          <w:szCs w:val="24"/>
        </w:rPr>
        <w:t>din</w:t>
      </w:r>
      <w:r w:rsidRPr="004D42C7">
        <w:rPr>
          <w:rFonts w:ascii="Arial" w:hAnsi="Arial" w:cs="Arial"/>
          <w:b/>
          <w:spacing w:val="-15"/>
          <w:sz w:val="24"/>
          <w:szCs w:val="24"/>
        </w:rPr>
        <w:t xml:space="preserve"> </w:t>
      </w:r>
      <w:r w:rsidRPr="004D42C7">
        <w:rPr>
          <w:rFonts w:ascii="Arial" w:hAnsi="Arial" w:cs="Arial"/>
          <w:i/>
          <w:sz w:val="24"/>
          <w:szCs w:val="24"/>
        </w:rPr>
        <w:t>totalul transportului local de pasageri</w:t>
      </w:r>
      <w:r w:rsidRPr="004D42C7">
        <w:rPr>
          <w:rFonts w:ascii="Arial" w:hAnsi="Arial" w:cs="Arial"/>
          <w:b/>
          <w:sz w:val="24"/>
          <w:szCs w:val="24"/>
        </w:rPr>
        <w:t xml:space="preserve"> </w:t>
      </w:r>
      <w:r w:rsidRPr="004D42C7">
        <w:rPr>
          <w:rFonts w:ascii="Arial" w:hAnsi="Arial" w:cs="Arial"/>
          <w:sz w:val="24"/>
          <w:szCs w:val="24"/>
        </w:rPr>
        <w:t>în condiţiile în care Regiunea Bucureşti-Ilfov se clasează prima cu 45,1% urmată de Regiunile Sud-Est, Nord-Vest şi</w:t>
      </w:r>
      <w:r w:rsidRPr="004D42C7">
        <w:rPr>
          <w:rFonts w:ascii="Arial" w:hAnsi="Arial" w:cs="Arial"/>
          <w:spacing w:val="-10"/>
          <w:sz w:val="24"/>
          <w:szCs w:val="24"/>
        </w:rPr>
        <w:t xml:space="preserve"> </w:t>
      </w:r>
      <w:r w:rsidRPr="004D42C7">
        <w:rPr>
          <w:rFonts w:ascii="Arial" w:hAnsi="Arial" w:cs="Arial"/>
          <w:sz w:val="24"/>
          <w:szCs w:val="24"/>
        </w:rPr>
        <w:t>Centru. În cadrul Regiunii Vest există transport public în trei dintre cele patru judeţe (Timiş, Arad şi Caraş-Severin) lungimea reţelelor (tramvaie şi troliebuze) însumând 255,9 km, ceea ce reprezintă 19,8% din totalul acestor reţele, la nivel naţional. Analizând</w:t>
      </w:r>
      <w:r w:rsidRPr="004D42C7">
        <w:rPr>
          <w:rFonts w:ascii="Arial" w:hAnsi="Arial" w:cs="Arial"/>
          <w:spacing w:val="-10"/>
          <w:sz w:val="24"/>
          <w:szCs w:val="24"/>
        </w:rPr>
        <w:t xml:space="preserve"> </w:t>
      </w:r>
      <w:r w:rsidRPr="004D42C7">
        <w:rPr>
          <w:rFonts w:ascii="Arial" w:hAnsi="Arial" w:cs="Arial"/>
          <w:sz w:val="24"/>
          <w:szCs w:val="24"/>
        </w:rPr>
        <w:t>datele</w:t>
      </w:r>
      <w:r w:rsidRPr="004D42C7">
        <w:rPr>
          <w:rFonts w:ascii="Arial" w:hAnsi="Arial" w:cs="Arial"/>
          <w:spacing w:val="-12"/>
          <w:sz w:val="24"/>
          <w:szCs w:val="24"/>
        </w:rPr>
        <w:t xml:space="preserve"> </w:t>
      </w:r>
      <w:r w:rsidRPr="004D42C7">
        <w:rPr>
          <w:rFonts w:ascii="Arial" w:hAnsi="Arial" w:cs="Arial"/>
          <w:sz w:val="24"/>
          <w:szCs w:val="24"/>
        </w:rPr>
        <w:t>statistice</w:t>
      </w:r>
      <w:r w:rsidRPr="004D42C7">
        <w:rPr>
          <w:rFonts w:ascii="Arial" w:hAnsi="Arial" w:cs="Arial"/>
          <w:spacing w:val="-11"/>
          <w:sz w:val="24"/>
          <w:szCs w:val="24"/>
        </w:rPr>
        <w:t xml:space="preserve"> </w:t>
      </w:r>
      <w:r w:rsidRPr="004D42C7">
        <w:rPr>
          <w:rFonts w:ascii="Arial" w:hAnsi="Arial" w:cs="Arial"/>
          <w:sz w:val="24"/>
          <w:szCs w:val="24"/>
        </w:rPr>
        <w:t>ce</w:t>
      </w:r>
      <w:r w:rsidRPr="004D42C7">
        <w:rPr>
          <w:rFonts w:ascii="Arial" w:hAnsi="Arial" w:cs="Arial"/>
          <w:spacing w:val="-12"/>
          <w:sz w:val="24"/>
          <w:szCs w:val="24"/>
        </w:rPr>
        <w:t xml:space="preserve"> </w:t>
      </w:r>
      <w:r w:rsidRPr="004D42C7">
        <w:rPr>
          <w:rFonts w:ascii="Arial" w:hAnsi="Arial" w:cs="Arial"/>
          <w:sz w:val="24"/>
          <w:szCs w:val="24"/>
        </w:rPr>
        <w:t>vorbesc</w:t>
      </w:r>
      <w:r w:rsidRPr="004D42C7">
        <w:rPr>
          <w:rFonts w:ascii="Arial" w:hAnsi="Arial" w:cs="Arial"/>
          <w:spacing w:val="-11"/>
          <w:sz w:val="24"/>
          <w:szCs w:val="24"/>
        </w:rPr>
        <w:t xml:space="preserve"> </w:t>
      </w:r>
      <w:r w:rsidRPr="004D42C7">
        <w:rPr>
          <w:rFonts w:ascii="Arial" w:hAnsi="Arial" w:cs="Arial"/>
          <w:sz w:val="24"/>
          <w:szCs w:val="24"/>
        </w:rPr>
        <w:t>despre</w:t>
      </w:r>
      <w:r w:rsidRPr="004D42C7">
        <w:rPr>
          <w:rFonts w:ascii="Arial" w:hAnsi="Arial" w:cs="Arial"/>
          <w:spacing w:val="-11"/>
          <w:sz w:val="24"/>
          <w:szCs w:val="24"/>
        </w:rPr>
        <w:t xml:space="preserve"> </w:t>
      </w:r>
      <w:r w:rsidRPr="004D42C7">
        <w:rPr>
          <w:rFonts w:ascii="Arial" w:hAnsi="Arial" w:cs="Arial"/>
          <w:sz w:val="24"/>
          <w:szCs w:val="24"/>
        </w:rPr>
        <w:t>lungimea</w:t>
      </w:r>
      <w:r w:rsidRPr="004D42C7">
        <w:rPr>
          <w:rFonts w:ascii="Arial" w:hAnsi="Arial" w:cs="Arial"/>
          <w:spacing w:val="-10"/>
          <w:sz w:val="24"/>
          <w:szCs w:val="24"/>
        </w:rPr>
        <w:t xml:space="preserve"> </w:t>
      </w:r>
      <w:r w:rsidRPr="004D42C7">
        <w:rPr>
          <w:rFonts w:ascii="Arial" w:hAnsi="Arial" w:cs="Arial"/>
          <w:sz w:val="24"/>
          <w:szCs w:val="24"/>
        </w:rPr>
        <w:t>rețelei</w:t>
      </w:r>
      <w:r w:rsidRPr="004D42C7">
        <w:rPr>
          <w:rFonts w:ascii="Arial" w:hAnsi="Arial" w:cs="Arial"/>
          <w:spacing w:val="-11"/>
          <w:sz w:val="24"/>
          <w:szCs w:val="24"/>
        </w:rPr>
        <w:t xml:space="preserve"> </w:t>
      </w:r>
      <w:r w:rsidRPr="004D42C7">
        <w:rPr>
          <w:rFonts w:ascii="Arial" w:hAnsi="Arial" w:cs="Arial"/>
          <w:sz w:val="24"/>
          <w:szCs w:val="24"/>
        </w:rPr>
        <w:t>pietonale,</w:t>
      </w:r>
      <w:r w:rsidRPr="004D42C7">
        <w:rPr>
          <w:rFonts w:ascii="Arial" w:hAnsi="Arial" w:cs="Arial"/>
          <w:spacing w:val="-5"/>
          <w:sz w:val="24"/>
          <w:szCs w:val="24"/>
        </w:rPr>
        <w:t xml:space="preserve"> </w:t>
      </w:r>
      <w:r w:rsidRPr="004D42C7">
        <w:rPr>
          <w:rFonts w:ascii="Arial" w:hAnsi="Arial" w:cs="Arial"/>
          <w:sz w:val="24"/>
          <w:szCs w:val="24"/>
        </w:rPr>
        <w:t>reiese</w:t>
      </w:r>
      <w:r w:rsidRPr="004D42C7">
        <w:rPr>
          <w:rFonts w:ascii="Arial" w:hAnsi="Arial" w:cs="Arial"/>
          <w:spacing w:val="-9"/>
          <w:sz w:val="24"/>
          <w:szCs w:val="24"/>
        </w:rPr>
        <w:t xml:space="preserve"> </w:t>
      </w:r>
      <w:r w:rsidRPr="004D42C7">
        <w:rPr>
          <w:rFonts w:ascii="Arial" w:hAnsi="Arial" w:cs="Arial"/>
          <w:sz w:val="24"/>
          <w:szCs w:val="24"/>
        </w:rPr>
        <w:t>că</w:t>
      </w:r>
      <w:r w:rsidRPr="004D42C7">
        <w:rPr>
          <w:rFonts w:ascii="Arial" w:hAnsi="Arial" w:cs="Arial"/>
          <w:spacing w:val="-11"/>
          <w:sz w:val="24"/>
          <w:szCs w:val="24"/>
        </w:rPr>
        <w:t xml:space="preserve"> </w:t>
      </w:r>
      <w:r w:rsidRPr="004D42C7">
        <w:rPr>
          <w:rFonts w:ascii="Arial" w:hAnsi="Arial" w:cs="Arial"/>
          <w:sz w:val="24"/>
          <w:szCs w:val="24"/>
        </w:rPr>
        <w:t>cea mai extinsă reţea există în judeţul Hunedoara (919 km), dar gradul de modernitate cel mai ridicat, se regăseşte în judeţul Timiş (665</w:t>
      </w:r>
      <w:r w:rsidRPr="004D42C7">
        <w:rPr>
          <w:rFonts w:ascii="Arial" w:hAnsi="Arial" w:cs="Arial"/>
          <w:spacing w:val="-11"/>
          <w:sz w:val="24"/>
          <w:szCs w:val="24"/>
        </w:rPr>
        <w:t xml:space="preserve"> </w:t>
      </w:r>
      <w:r w:rsidRPr="004D42C7">
        <w:rPr>
          <w:rFonts w:ascii="Arial" w:hAnsi="Arial" w:cs="Arial"/>
          <w:sz w:val="24"/>
          <w:szCs w:val="24"/>
        </w:rPr>
        <w:t>km).</w:t>
      </w:r>
    </w:p>
    <w:p w:rsidR="002E401B" w:rsidRPr="004D42C7" w:rsidRDefault="002E401B" w:rsidP="00FA2298">
      <w:pPr>
        <w:pStyle w:val="BodyText"/>
        <w:spacing w:after="0" w:line="240" w:lineRule="auto"/>
        <w:ind w:left="-90"/>
        <w:jc w:val="both"/>
        <w:rPr>
          <w:rFonts w:ascii="Arial" w:hAnsi="Arial" w:cs="Arial"/>
          <w:sz w:val="24"/>
          <w:szCs w:val="24"/>
        </w:rPr>
      </w:pPr>
      <w:r w:rsidRPr="004D42C7">
        <w:rPr>
          <w:rFonts w:ascii="Arial" w:hAnsi="Arial" w:cs="Arial"/>
          <w:sz w:val="24"/>
          <w:szCs w:val="24"/>
        </w:rPr>
        <w:t>În Regiunea Vest, reţeaua de piste de biciclete este în expansiune, doar la Timişoara în anul 2011 existând circa 60 km.</w:t>
      </w:r>
    </w:p>
    <w:p w:rsidR="004D42C7" w:rsidRDefault="002E401B" w:rsidP="00FA2298">
      <w:pPr>
        <w:pStyle w:val="BodyText"/>
        <w:spacing w:after="0" w:line="240" w:lineRule="auto"/>
        <w:ind w:left="-90"/>
        <w:jc w:val="both"/>
        <w:rPr>
          <w:rFonts w:ascii="Arial" w:eastAsia="TimesNewRomanPSMT" w:hAnsi="Arial" w:cs="Arial"/>
          <w:i/>
          <w:iCs/>
          <w:sz w:val="24"/>
          <w:szCs w:val="24"/>
          <w:lang w:val="en-US"/>
        </w:rPr>
      </w:pPr>
      <w:r w:rsidRPr="004D42C7">
        <w:rPr>
          <w:rFonts w:ascii="Arial" w:hAnsi="Arial" w:cs="Arial"/>
          <w:sz w:val="24"/>
          <w:szCs w:val="24"/>
        </w:rPr>
        <w:t>Un proiect interesant este cel prin care s-a vizat construcţia unei piste de biciclete la graniţa dintre România şi Ungaria, pe teritoriul comunei Cenad. Lungimea traseului proiectat este de 14,334 km. Lăţimea pistei este proiectată la doi metri, pentru a face posibilă atingerea, în siguranţă, a vitezei de 25 km/h.</w:t>
      </w:r>
      <w:r w:rsidR="004D42C7" w:rsidRPr="004D42C7">
        <w:rPr>
          <w:rFonts w:ascii="Arial" w:eastAsia="TimesNewRomanPSMT" w:hAnsi="Arial" w:cs="Arial"/>
          <w:i/>
          <w:sz w:val="24"/>
          <w:szCs w:val="24"/>
          <w:lang w:val="en-US"/>
        </w:rPr>
        <w:t xml:space="preserve"> (informa</w:t>
      </w:r>
      <w:r w:rsidR="004D42C7" w:rsidRPr="004D42C7">
        <w:rPr>
          <w:rFonts w:ascii="Arial" w:eastAsia="TimesNewRomanPSMT" w:hAnsi="Arial" w:cs="Arial"/>
          <w:i/>
          <w:sz w:val="24"/>
          <w:szCs w:val="24"/>
        </w:rPr>
        <w:t xml:space="preserve">ții preluate din </w:t>
      </w:r>
      <w:r w:rsidR="004D42C7" w:rsidRPr="004D42C7">
        <w:rPr>
          <w:rFonts w:ascii="Arial" w:eastAsia="TimesNewRomanPSMT" w:hAnsi="Arial" w:cs="Arial"/>
          <w:i/>
          <w:iCs/>
          <w:sz w:val="24"/>
          <w:szCs w:val="24"/>
          <w:lang w:val="en-US"/>
        </w:rPr>
        <w:t>PDR Regiunea Vest 2014-2020, pag. 51-52)</w:t>
      </w:r>
    </w:p>
    <w:p w:rsidR="003F0F4E" w:rsidRDefault="004D42C7" w:rsidP="00FA2298">
      <w:pPr>
        <w:pStyle w:val="BodyText"/>
        <w:spacing w:after="0" w:line="240" w:lineRule="auto"/>
        <w:ind w:left="-90"/>
        <w:jc w:val="both"/>
        <w:rPr>
          <w:rFonts w:ascii="Arial" w:eastAsia="TimesNewRomanPSMT" w:hAnsi="Arial" w:cs="Arial"/>
          <w:i/>
          <w:iCs/>
          <w:sz w:val="24"/>
          <w:szCs w:val="24"/>
          <w:lang w:val="en-US"/>
        </w:rPr>
      </w:pPr>
      <w:r w:rsidRPr="004D42C7">
        <w:rPr>
          <w:rFonts w:ascii="Arial" w:hAnsi="Arial" w:cs="Arial"/>
          <w:sz w:val="24"/>
        </w:rPr>
        <w:t>Populaţia deservită de</w:t>
      </w:r>
      <w:r w:rsidRPr="004D42C7">
        <w:rPr>
          <w:rFonts w:ascii="Arial" w:hAnsi="Arial" w:cs="Arial"/>
          <w:b/>
          <w:sz w:val="24"/>
        </w:rPr>
        <w:t xml:space="preserve"> </w:t>
      </w:r>
      <w:r w:rsidRPr="004D42C7">
        <w:rPr>
          <w:rFonts w:ascii="Arial" w:hAnsi="Arial" w:cs="Arial"/>
          <w:i/>
          <w:sz w:val="24"/>
        </w:rPr>
        <w:t>sistemul public de alimentare cu apă</w:t>
      </w:r>
      <w:r w:rsidRPr="004D42C7">
        <w:rPr>
          <w:rFonts w:ascii="Arial" w:hAnsi="Arial" w:cs="Arial"/>
          <w:b/>
          <w:sz w:val="24"/>
        </w:rPr>
        <w:t xml:space="preserve"> </w:t>
      </w:r>
      <w:r w:rsidRPr="004D42C7">
        <w:rPr>
          <w:rFonts w:ascii="Arial" w:hAnsi="Arial" w:cs="Arial"/>
          <w:sz w:val="24"/>
        </w:rPr>
        <w:t>în Regiunea Vest, comparativ cu celelalte regiuni de dezvoltare şi judeţe ale regiunii a fost în 2011 de 1.241.830, în creştere faţă de anul 2008 cu 90.938 persoane. În 2011, 77,7% din localităţi (municipii, oraşe şi comune), în Regiunea Vest aveau instalaţii de apă potabilă (peste media pe ţară de 72,4%)</w:t>
      </w:r>
      <w:r>
        <w:rPr>
          <w:rFonts w:ascii="Arial" w:hAnsi="Arial" w:cs="Arial"/>
          <w:sz w:val="24"/>
        </w:rPr>
        <w:t>.</w:t>
      </w:r>
      <w:r w:rsidRPr="004D42C7">
        <w:rPr>
          <w:rFonts w:ascii="Arial" w:hAnsi="Arial" w:cs="Arial"/>
          <w:color w:val="FD0000"/>
          <w:sz w:val="24"/>
        </w:rPr>
        <w:t xml:space="preserve"> </w:t>
      </w:r>
      <w:r>
        <w:rPr>
          <w:rFonts w:ascii="Arial" w:hAnsi="Arial" w:cs="Arial"/>
          <w:sz w:val="24"/>
        </w:rPr>
        <w:t>Î</w:t>
      </w:r>
      <w:r w:rsidRPr="004D42C7">
        <w:rPr>
          <w:rFonts w:ascii="Arial" w:hAnsi="Arial" w:cs="Arial"/>
          <w:sz w:val="24"/>
        </w:rPr>
        <w:t>n zonele rurale există 72 de localităţi în totalitate fără acces la reţeaua publică de alimentare cu apă (25,6%). (</w:t>
      </w:r>
      <w:r w:rsidRPr="004D42C7">
        <w:rPr>
          <w:rFonts w:ascii="Arial" w:eastAsia="TimesNewRomanPSMT" w:hAnsi="Arial" w:cs="Arial"/>
          <w:i/>
          <w:sz w:val="24"/>
          <w:szCs w:val="24"/>
          <w:lang w:val="en-US"/>
        </w:rPr>
        <w:t>informa</w:t>
      </w:r>
      <w:r w:rsidRPr="004D42C7">
        <w:rPr>
          <w:rFonts w:ascii="Arial" w:eastAsia="TimesNewRomanPSMT" w:hAnsi="Arial" w:cs="Arial"/>
          <w:i/>
          <w:sz w:val="24"/>
          <w:szCs w:val="24"/>
        </w:rPr>
        <w:t xml:space="preserve">ții preluate din </w:t>
      </w:r>
      <w:r w:rsidRPr="004D42C7">
        <w:rPr>
          <w:rFonts w:ascii="Arial" w:eastAsia="TimesNewRomanPSMT" w:hAnsi="Arial" w:cs="Arial"/>
          <w:i/>
          <w:iCs/>
          <w:sz w:val="24"/>
          <w:szCs w:val="24"/>
          <w:lang w:val="en-US"/>
        </w:rPr>
        <w:t>PDR Regiunea Vest 2014-2020, pag. 5</w:t>
      </w:r>
      <w:r w:rsidR="003F0F4E">
        <w:rPr>
          <w:rFonts w:ascii="Arial" w:eastAsia="TimesNewRomanPSMT" w:hAnsi="Arial" w:cs="Arial"/>
          <w:i/>
          <w:iCs/>
          <w:sz w:val="24"/>
          <w:szCs w:val="24"/>
          <w:lang w:val="en-US"/>
        </w:rPr>
        <w:t>5</w:t>
      </w:r>
      <w:r w:rsidRPr="004D42C7">
        <w:rPr>
          <w:rFonts w:ascii="Arial" w:eastAsia="TimesNewRomanPSMT" w:hAnsi="Arial" w:cs="Arial"/>
          <w:i/>
          <w:iCs/>
          <w:sz w:val="24"/>
          <w:szCs w:val="24"/>
          <w:lang w:val="en-US"/>
        </w:rPr>
        <w:t>)</w:t>
      </w:r>
      <w:r w:rsidR="003F0F4E">
        <w:rPr>
          <w:rFonts w:ascii="Arial" w:eastAsia="TimesNewRomanPSMT" w:hAnsi="Arial" w:cs="Arial"/>
          <w:i/>
          <w:iCs/>
          <w:sz w:val="24"/>
          <w:szCs w:val="24"/>
          <w:lang w:val="en-US"/>
        </w:rPr>
        <w:t>.</w:t>
      </w:r>
    </w:p>
    <w:p w:rsidR="004E192F" w:rsidRDefault="003F0F4E" w:rsidP="00FA2298">
      <w:pPr>
        <w:pStyle w:val="BodyText"/>
        <w:spacing w:after="0" w:line="240" w:lineRule="auto"/>
        <w:ind w:left="-90"/>
        <w:jc w:val="both"/>
        <w:rPr>
          <w:rFonts w:ascii="Arial" w:eastAsia="TimesNewRomanPSMT" w:hAnsi="Arial" w:cs="Arial"/>
          <w:i/>
          <w:iCs/>
          <w:sz w:val="24"/>
          <w:szCs w:val="24"/>
          <w:lang w:val="en-US"/>
        </w:rPr>
      </w:pPr>
      <w:r w:rsidRPr="003F0F4E">
        <w:rPr>
          <w:rFonts w:ascii="Arial" w:hAnsi="Arial" w:cs="Arial"/>
          <w:sz w:val="24"/>
        </w:rPr>
        <w:t>În anul 2011, 115 din localităţile Regiunii Vest</w:t>
      </w:r>
      <w:r w:rsidRPr="003F0F4E">
        <w:rPr>
          <w:rFonts w:ascii="Arial" w:hAnsi="Arial" w:cs="Arial"/>
          <w:b/>
          <w:sz w:val="24"/>
        </w:rPr>
        <w:t xml:space="preserve"> </w:t>
      </w:r>
      <w:r w:rsidRPr="003F0F4E">
        <w:rPr>
          <w:rFonts w:ascii="Arial" w:hAnsi="Arial" w:cs="Arial"/>
          <w:sz w:val="24"/>
        </w:rPr>
        <w:t>aveau</w:t>
      </w:r>
      <w:r w:rsidRPr="003F0F4E">
        <w:rPr>
          <w:rFonts w:ascii="Arial" w:hAnsi="Arial" w:cs="Arial"/>
          <w:b/>
          <w:sz w:val="24"/>
        </w:rPr>
        <w:t xml:space="preserve"> </w:t>
      </w:r>
      <w:r w:rsidRPr="003F0F4E">
        <w:rPr>
          <w:rFonts w:ascii="Arial" w:hAnsi="Arial" w:cs="Arial"/>
          <w:i/>
          <w:sz w:val="24"/>
        </w:rPr>
        <w:t>reţele de canalizare menajeră</w:t>
      </w:r>
      <w:r w:rsidRPr="003F0F4E">
        <w:rPr>
          <w:rFonts w:ascii="Arial" w:hAnsi="Arial" w:cs="Arial"/>
          <w:sz w:val="24"/>
        </w:rPr>
        <w:t>. Dintre acestea, mai mult de jumătate se află în mediul rural (64,3%), în timp ce doar 35,7% din numărul localităţilor cu canalizare din regiune se află în mediul urban. Numărul localităţilor urbane cu canalizare a crescut cu 10,8% (4 în mărimi absolute) în 2011 comparativ cu 2000. Regiunea deţine 13,4% din numărul localităţilor cu canalizare din România</w:t>
      </w:r>
      <w:r w:rsidRPr="003F0F4E">
        <w:rPr>
          <w:rFonts w:ascii="Arial" w:hAnsi="Arial" w:cs="Arial"/>
          <w:spacing w:val="-10"/>
          <w:sz w:val="24"/>
        </w:rPr>
        <w:t xml:space="preserve"> </w:t>
      </w:r>
      <w:r w:rsidRPr="003F0F4E">
        <w:rPr>
          <w:rFonts w:ascii="Arial" w:hAnsi="Arial" w:cs="Arial"/>
          <w:sz w:val="24"/>
        </w:rPr>
        <w:t>şi</w:t>
      </w:r>
      <w:r w:rsidRPr="003F0F4E">
        <w:rPr>
          <w:rFonts w:ascii="Arial" w:hAnsi="Arial" w:cs="Arial"/>
          <w:spacing w:val="-11"/>
          <w:sz w:val="24"/>
        </w:rPr>
        <w:t xml:space="preserve"> </w:t>
      </w:r>
      <w:r w:rsidRPr="003F0F4E">
        <w:rPr>
          <w:rFonts w:ascii="Arial" w:hAnsi="Arial" w:cs="Arial"/>
          <w:sz w:val="24"/>
        </w:rPr>
        <w:t>se</w:t>
      </w:r>
      <w:r w:rsidRPr="003F0F4E">
        <w:rPr>
          <w:rFonts w:ascii="Arial" w:hAnsi="Arial" w:cs="Arial"/>
          <w:spacing w:val="-10"/>
          <w:sz w:val="24"/>
        </w:rPr>
        <w:t xml:space="preserve"> </w:t>
      </w:r>
      <w:r w:rsidRPr="003F0F4E">
        <w:rPr>
          <w:rFonts w:ascii="Arial" w:hAnsi="Arial" w:cs="Arial"/>
          <w:sz w:val="24"/>
        </w:rPr>
        <w:t>afă</w:t>
      </w:r>
      <w:r w:rsidRPr="003F0F4E">
        <w:rPr>
          <w:rFonts w:ascii="Arial" w:hAnsi="Arial" w:cs="Arial"/>
          <w:spacing w:val="-10"/>
          <w:sz w:val="24"/>
        </w:rPr>
        <w:t xml:space="preserve"> </w:t>
      </w:r>
      <w:r w:rsidRPr="003F0F4E">
        <w:rPr>
          <w:rFonts w:ascii="Arial" w:hAnsi="Arial" w:cs="Arial"/>
          <w:sz w:val="24"/>
        </w:rPr>
        <w:t>pe</w:t>
      </w:r>
      <w:r w:rsidRPr="003F0F4E">
        <w:rPr>
          <w:rFonts w:ascii="Arial" w:hAnsi="Arial" w:cs="Arial"/>
          <w:spacing w:val="-8"/>
          <w:sz w:val="24"/>
        </w:rPr>
        <w:t xml:space="preserve"> </w:t>
      </w:r>
      <w:r w:rsidRPr="003F0F4E">
        <w:rPr>
          <w:rFonts w:ascii="Arial" w:hAnsi="Arial" w:cs="Arial"/>
          <w:sz w:val="24"/>
        </w:rPr>
        <w:t>locul</w:t>
      </w:r>
      <w:r w:rsidRPr="003F0F4E">
        <w:rPr>
          <w:rFonts w:ascii="Arial" w:hAnsi="Arial" w:cs="Arial"/>
          <w:spacing w:val="-11"/>
          <w:sz w:val="24"/>
        </w:rPr>
        <w:t xml:space="preserve"> </w:t>
      </w:r>
      <w:r w:rsidRPr="003F0F4E">
        <w:rPr>
          <w:rFonts w:ascii="Arial" w:hAnsi="Arial" w:cs="Arial"/>
          <w:sz w:val="24"/>
        </w:rPr>
        <w:t>4,</w:t>
      </w:r>
      <w:r w:rsidRPr="003F0F4E">
        <w:rPr>
          <w:rFonts w:ascii="Arial" w:hAnsi="Arial" w:cs="Arial"/>
          <w:spacing w:val="-9"/>
          <w:sz w:val="24"/>
        </w:rPr>
        <w:t xml:space="preserve"> </w:t>
      </w:r>
      <w:r w:rsidRPr="003F0F4E">
        <w:rPr>
          <w:rFonts w:ascii="Arial" w:hAnsi="Arial" w:cs="Arial"/>
          <w:sz w:val="24"/>
        </w:rPr>
        <w:t>după</w:t>
      </w:r>
      <w:r w:rsidRPr="003F0F4E">
        <w:rPr>
          <w:rFonts w:ascii="Arial" w:hAnsi="Arial" w:cs="Arial"/>
          <w:spacing w:val="-9"/>
          <w:sz w:val="24"/>
        </w:rPr>
        <w:t xml:space="preserve"> </w:t>
      </w:r>
      <w:r w:rsidRPr="003F0F4E">
        <w:rPr>
          <w:rFonts w:ascii="Arial" w:hAnsi="Arial" w:cs="Arial"/>
          <w:sz w:val="24"/>
        </w:rPr>
        <w:t>regiunile</w:t>
      </w:r>
      <w:r w:rsidRPr="003F0F4E">
        <w:rPr>
          <w:rFonts w:ascii="Arial" w:hAnsi="Arial" w:cs="Arial"/>
          <w:spacing w:val="-13"/>
          <w:sz w:val="24"/>
        </w:rPr>
        <w:t xml:space="preserve"> </w:t>
      </w:r>
      <w:r w:rsidRPr="003F0F4E">
        <w:rPr>
          <w:rFonts w:ascii="Arial" w:hAnsi="Arial" w:cs="Arial"/>
          <w:sz w:val="24"/>
        </w:rPr>
        <w:t>Centru</w:t>
      </w:r>
      <w:r w:rsidRPr="003F0F4E">
        <w:rPr>
          <w:rFonts w:ascii="Arial" w:hAnsi="Arial" w:cs="Arial"/>
          <w:spacing w:val="-8"/>
          <w:sz w:val="24"/>
        </w:rPr>
        <w:t xml:space="preserve"> </w:t>
      </w:r>
      <w:r w:rsidRPr="003F0F4E">
        <w:rPr>
          <w:rFonts w:ascii="Arial" w:hAnsi="Arial" w:cs="Arial"/>
          <w:sz w:val="24"/>
        </w:rPr>
        <w:t>(162),</w:t>
      </w:r>
      <w:r w:rsidRPr="003F0F4E">
        <w:rPr>
          <w:rFonts w:ascii="Arial" w:hAnsi="Arial" w:cs="Arial"/>
          <w:spacing w:val="-12"/>
          <w:sz w:val="24"/>
        </w:rPr>
        <w:t xml:space="preserve"> </w:t>
      </w:r>
      <w:r w:rsidRPr="003F0F4E">
        <w:rPr>
          <w:rFonts w:ascii="Arial" w:hAnsi="Arial" w:cs="Arial"/>
          <w:sz w:val="24"/>
        </w:rPr>
        <w:t>Nord</w:t>
      </w:r>
      <w:r w:rsidRPr="003F0F4E">
        <w:rPr>
          <w:rFonts w:ascii="Arial" w:hAnsi="Arial" w:cs="Arial"/>
          <w:spacing w:val="-12"/>
          <w:sz w:val="24"/>
        </w:rPr>
        <w:t xml:space="preserve"> </w:t>
      </w:r>
      <w:r w:rsidRPr="003F0F4E">
        <w:rPr>
          <w:rFonts w:ascii="Arial" w:hAnsi="Arial" w:cs="Arial"/>
          <w:sz w:val="24"/>
        </w:rPr>
        <w:t>Est</w:t>
      </w:r>
      <w:r w:rsidRPr="003F0F4E">
        <w:rPr>
          <w:rFonts w:ascii="Arial" w:hAnsi="Arial" w:cs="Arial"/>
          <w:spacing w:val="-9"/>
          <w:sz w:val="24"/>
        </w:rPr>
        <w:t xml:space="preserve"> </w:t>
      </w:r>
      <w:r w:rsidRPr="003F0F4E">
        <w:rPr>
          <w:rFonts w:ascii="Arial" w:hAnsi="Arial" w:cs="Arial"/>
          <w:sz w:val="24"/>
        </w:rPr>
        <w:t>(148)</w:t>
      </w:r>
      <w:r w:rsidRPr="003F0F4E">
        <w:rPr>
          <w:rFonts w:ascii="Arial" w:hAnsi="Arial" w:cs="Arial"/>
          <w:spacing w:val="-10"/>
          <w:sz w:val="24"/>
        </w:rPr>
        <w:t xml:space="preserve"> </w:t>
      </w:r>
      <w:r w:rsidRPr="003F0F4E">
        <w:rPr>
          <w:rFonts w:ascii="Arial" w:hAnsi="Arial" w:cs="Arial"/>
          <w:sz w:val="24"/>
        </w:rPr>
        <w:t>şi</w:t>
      </w:r>
      <w:r w:rsidRPr="003F0F4E">
        <w:rPr>
          <w:rFonts w:ascii="Arial" w:hAnsi="Arial" w:cs="Arial"/>
          <w:spacing w:val="-10"/>
          <w:sz w:val="24"/>
        </w:rPr>
        <w:t xml:space="preserve"> </w:t>
      </w:r>
      <w:r w:rsidRPr="003F0F4E">
        <w:rPr>
          <w:rFonts w:ascii="Arial" w:hAnsi="Arial" w:cs="Arial"/>
          <w:sz w:val="24"/>
        </w:rPr>
        <w:t>Nord</w:t>
      </w:r>
      <w:r w:rsidRPr="003F0F4E">
        <w:rPr>
          <w:rFonts w:ascii="Arial" w:hAnsi="Arial" w:cs="Arial"/>
          <w:spacing w:val="-9"/>
          <w:sz w:val="24"/>
        </w:rPr>
        <w:t xml:space="preserve"> </w:t>
      </w:r>
      <w:r w:rsidRPr="003F0F4E">
        <w:rPr>
          <w:rFonts w:ascii="Arial" w:hAnsi="Arial" w:cs="Arial"/>
          <w:sz w:val="24"/>
        </w:rPr>
        <w:t>Vest</w:t>
      </w:r>
      <w:r w:rsidRPr="003F0F4E">
        <w:rPr>
          <w:rFonts w:ascii="Arial" w:hAnsi="Arial" w:cs="Arial"/>
          <w:spacing w:val="-9"/>
          <w:sz w:val="24"/>
        </w:rPr>
        <w:t xml:space="preserve"> </w:t>
      </w:r>
      <w:r w:rsidRPr="003F0F4E">
        <w:rPr>
          <w:rFonts w:ascii="Arial" w:hAnsi="Arial" w:cs="Arial"/>
          <w:sz w:val="24"/>
        </w:rPr>
        <w:t>(130).(</w:t>
      </w:r>
      <w:r w:rsidRPr="003F0F4E">
        <w:rPr>
          <w:rFonts w:ascii="Arial" w:eastAsia="TimesNewRomanPSMT" w:hAnsi="Arial" w:cs="Arial"/>
          <w:i/>
          <w:sz w:val="24"/>
          <w:szCs w:val="24"/>
          <w:lang w:val="en-US"/>
        </w:rPr>
        <w:t xml:space="preserve"> informa</w:t>
      </w:r>
      <w:r w:rsidRPr="003F0F4E">
        <w:rPr>
          <w:rFonts w:ascii="Arial" w:eastAsia="TimesNewRomanPSMT" w:hAnsi="Arial" w:cs="Arial"/>
          <w:i/>
          <w:sz w:val="24"/>
          <w:szCs w:val="24"/>
        </w:rPr>
        <w:t xml:space="preserve">ții preluate din </w:t>
      </w:r>
      <w:r w:rsidRPr="003F0F4E">
        <w:rPr>
          <w:rFonts w:ascii="Arial" w:eastAsia="TimesNewRomanPSMT" w:hAnsi="Arial" w:cs="Arial"/>
          <w:i/>
          <w:iCs/>
          <w:sz w:val="24"/>
          <w:szCs w:val="24"/>
          <w:lang w:val="en-US"/>
        </w:rPr>
        <w:t>PDR Regiunea Vest 2014-2020, pag. 56)</w:t>
      </w:r>
      <w:r w:rsidR="004E192F">
        <w:rPr>
          <w:rFonts w:ascii="Arial" w:eastAsia="TimesNewRomanPSMT" w:hAnsi="Arial" w:cs="Arial"/>
          <w:i/>
          <w:iCs/>
          <w:sz w:val="24"/>
          <w:szCs w:val="24"/>
          <w:lang w:val="en-US"/>
        </w:rPr>
        <w:t>.</w:t>
      </w:r>
    </w:p>
    <w:p w:rsidR="004E192F" w:rsidRDefault="004E192F" w:rsidP="00FA2298">
      <w:pPr>
        <w:pStyle w:val="BodyText"/>
        <w:spacing w:after="0" w:line="240" w:lineRule="auto"/>
        <w:ind w:left="-90"/>
        <w:jc w:val="both"/>
        <w:rPr>
          <w:rFonts w:ascii="Arial" w:eastAsia="TimesNewRomanPSMT" w:hAnsi="Arial" w:cs="Arial"/>
          <w:i/>
          <w:iCs/>
          <w:sz w:val="24"/>
          <w:szCs w:val="24"/>
          <w:lang w:val="en-US"/>
        </w:rPr>
      </w:pPr>
      <w:r w:rsidRPr="004E192F">
        <w:rPr>
          <w:rFonts w:ascii="Arial" w:hAnsi="Arial" w:cs="Arial"/>
          <w:sz w:val="24"/>
        </w:rPr>
        <w:t xml:space="preserve">În ceea ce priveşte locuinţele dotate cu </w:t>
      </w:r>
      <w:r w:rsidRPr="004E192F">
        <w:rPr>
          <w:rFonts w:ascii="Arial" w:hAnsi="Arial" w:cs="Arial"/>
          <w:i/>
          <w:sz w:val="24"/>
        </w:rPr>
        <w:t>instalaţii de energie electrică</w:t>
      </w:r>
      <w:r w:rsidRPr="004E192F">
        <w:rPr>
          <w:rFonts w:ascii="Arial" w:hAnsi="Arial" w:cs="Arial"/>
          <w:sz w:val="24"/>
        </w:rPr>
        <w:t>, Regiunea Vest se situează peste media naţională de 96,3%, cu un procent de 98,2%, care reprezintă un grad foarte mare de conectivitate la reţeaua de distribuţie a energiei electrice.</w:t>
      </w:r>
    </w:p>
    <w:p w:rsidR="004E192F" w:rsidRDefault="004E192F" w:rsidP="00FA2298">
      <w:pPr>
        <w:pStyle w:val="BodyText"/>
        <w:spacing w:after="0" w:line="240" w:lineRule="auto"/>
        <w:ind w:left="-90"/>
        <w:jc w:val="both"/>
        <w:rPr>
          <w:rFonts w:ascii="Arial" w:hAnsi="Arial" w:cs="Arial"/>
        </w:rPr>
      </w:pPr>
      <w:r w:rsidRPr="004E192F">
        <w:rPr>
          <w:rFonts w:ascii="Arial" w:hAnsi="Arial" w:cs="Arial"/>
        </w:rPr>
        <w:t xml:space="preserve">Numărul localităţilor care au beneficiat de </w:t>
      </w:r>
      <w:r w:rsidRPr="004E192F">
        <w:rPr>
          <w:rFonts w:ascii="Arial" w:hAnsi="Arial" w:cs="Arial"/>
          <w:i/>
        </w:rPr>
        <w:t>sisteme centralizate de producere şi distribuţie</w:t>
      </w:r>
      <w:r w:rsidRPr="004E192F">
        <w:rPr>
          <w:rFonts w:ascii="Arial" w:hAnsi="Arial" w:cs="Arial"/>
          <w:i/>
          <w:spacing w:val="-10"/>
        </w:rPr>
        <w:t xml:space="preserve"> </w:t>
      </w:r>
      <w:r w:rsidRPr="004E192F">
        <w:rPr>
          <w:rFonts w:ascii="Arial" w:hAnsi="Arial" w:cs="Arial"/>
          <w:i/>
        </w:rPr>
        <w:t>a</w:t>
      </w:r>
      <w:r w:rsidRPr="004E192F">
        <w:rPr>
          <w:rFonts w:ascii="Arial" w:hAnsi="Arial" w:cs="Arial"/>
          <w:i/>
          <w:spacing w:val="-6"/>
        </w:rPr>
        <w:t xml:space="preserve"> </w:t>
      </w:r>
      <w:r w:rsidRPr="004E192F">
        <w:rPr>
          <w:rFonts w:ascii="Arial" w:hAnsi="Arial" w:cs="Arial"/>
          <w:i/>
        </w:rPr>
        <w:t>energiei</w:t>
      </w:r>
      <w:r w:rsidRPr="004E192F">
        <w:rPr>
          <w:rFonts w:ascii="Arial" w:hAnsi="Arial" w:cs="Arial"/>
          <w:spacing w:val="-7"/>
        </w:rPr>
        <w:t xml:space="preserve"> </w:t>
      </w:r>
      <w:r w:rsidRPr="004E192F">
        <w:rPr>
          <w:rFonts w:ascii="Arial" w:hAnsi="Arial" w:cs="Arial"/>
          <w:i/>
        </w:rPr>
        <w:t>termice</w:t>
      </w:r>
      <w:r w:rsidRPr="004E192F">
        <w:rPr>
          <w:rFonts w:ascii="Arial" w:hAnsi="Arial" w:cs="Arial"/>
          <w:spacing w:val="-9"/>
        </w:rPr>
        <w:t xml:space="preserve"> </w:t>
      </w:r>
      <w:r w:rsidRPr="004E192F">
        <w:rPr>
          <w:rFonts w:ascii="Arial" w:hAnsi="Arial" w:cs="Arial"/>
        </w:rPr>
        <w:t>a</w:t>
      </w:r>
      <w:r w:rsidRPr="004E192F">
        <w:rPr>
          <w:rFonts w:ascii="Arial" w:hAnsi="Arial" w:cs="Arial"/>
          <w:spacing w:val="-6"/>
        </w:rPr>
        <w:t xml:space="preserve"> </w:t>
      </w:r>
      <w:r w:rsidRPr="004E192F">
        <w:rPr>
          <w:rFonts w:ascii="Arial" w:hAnsi="Arial" w:cs="Arial"/>
        </w:rPr>
        <w:t>fost</w:t>
      </w:r>
      <w:r w:rsidRPr="004E192F">
        <w:rPr>
          <w:rFonts w:ascii="Arial" w:hAnsi="Arial" w:cs="Arial"/>
          <w:spacing w:val="-6"/>
        </w:rPr>
        <w:t xml:space="preserve"> </w:t>
      </w:r>
      <w:r w:rsidRPr="004E192F">
        <w:rPr>
          <w:rFonts w:ascii="Arial" w:hAnsi="Arial" w:cs="Arial"/>
        </w:rPr>
        <w:t>într-o</w:t>
      </w:r>
      <w:r w:rsidRPr="004E192F">
        <w:rPr>
          <w:rFonts w:ascii="Arial" w:hAnsi="Arial" w:cs="Arial"/>
          <w:spacing w:val="-8"/>
        </w:rPr>
        <w:t xml:space="preserve"> </w:t>
      </w:r>
      <w:r w:rsidRPr="004E192F">
        <w:rPr>
          <w:rFonts w:ascii="Arial" w:hAnsi="Arial" w:cs="Arial"/>
        </w:rPr>
        <w:t>continuă</w:t>
      </w:r>
      <w:r w:rsidRPr="004E192F">
        <w:rPr>
          <w:rFonts w:ascii="Arial" w:hAnsi="Arial" w:cs="Arial"/>
          <w:spacing w:val="-8"/>
        </w:rPr>
        <w:t xml:space="preserve"> </w:t>
      </w:r>
      <w:r w:rsidRPr="004E192F">
        <w:rPr>
          <w:rFonts w:ascii="Arial" w:hAnsi="Arial" w:cs="Arial"/>
        </w:rPr>
        <w:t>scădere,</w:t>
      </w:r>
      <w:r w:rsidRPr="004E192F">
        <w:rPr>
          <w:rFonts w:ascii="Arial" w:hAnsi="Arial" w:cs="Arial"/>
          <w:spacing w:val="-8"/>
        </w:rPr>
        <w:t xml:space="preserve"> </w:t>
      </w:r>
      <w:r w:rsidRPr="004E192F">
        <w:rPr>
          <w:rFonts w:ascii="Arial" w:hAnsi="Arial" w:cs="Arial"/>
        </w:rPr>
        <w:t>188 localităţi în anul 2002, 121 localităţi în 2008, 110 localităţi la nivelul anului 2011.</w:t>
      </w:r>
    </w:p>
    <w:p w:rsidR="004E192F" w:rsidRDefault="004E192F" w:rsidP="00FA2298">
      <w:pPr>
        <w:pStyle w:val="BodyText"/>
        <w:spacing w:after="0" w:line="240" w:lineRule="auto"/>
        <w:ind w:left="-90"/>
        <w:jc w:val="both"/>
        <w:rPr>
          <w:rFonts w:ascii="Arial" w:eastAsia="TimesNewRomanPSMT" w:hAnsi="Arial" w:cs="Arial"/>
          <w:i/>
          <w:iCs/>
          <w:sz w:val="24"/>
          <w:szCs w:val="24"/>
          <w:lang w:val="en-US"/>
        </w:rPr>
      </w:pPr>
      <w:r w:rsidRPr="004E192F">
        <w:rPr>
          <w:rFonts w:ascii="Arial" w:hAnsi="Arial" w:cs="Arial"/>
          <w:sz w:val="24"/>
        </w:rPr>
        <w:t xml:space="preserve">Având în vedere gradul de conectivitate al localităţilor la </w:t>
      </w:r>
      <w:r w:rsidRPr="004E192F">
        <w:rPr>
          <w:rFonts w:ascii="Arial" w:hAnsi="Arial" w:cs="Arial"/>
          <w:i/>
          <w:sz w:val="24"/>
        </w:rPr>
        <w:t>reţeaua de distribuţie a gazelor</w:t>
      </w:r>
      <w:r w:rsidRPr="004E192F">
        <w:rPr>
          <w:rFonts w:ascii="Arial" w:hAnsi="Arial" w:cs="Arial"/>
          <w:i/>
          <w:spacing w:val="-4"/>
          <w:sz w:val="24"/>
        </w:rPr>
        <w:t xml:space="preserve"> </w:t>
      </w:r>
      <w:r w:rsidRPr="004E192F">
        <w:rPr>
          <w:rFonts w:ascii="Arial" w:hAnsi="Arial" w:cs="Arial"/>
          <w:i/>
          <w:sz w:val="24"/>
        </w:rPr>
        <w:t>naturale</w:t>
      </w:r>
      <w:r w:rsidRPr="004E192F">
        <w:rPr>
          <w:rFonts w:ascii="Arial" w:hAnsi="Arial" w:cs="Arial"/>
          <w:sz w:val="24"/>
        </w:rPr>
        <w:t>,</w:t>
      </w:r>
      <w:r w:rsidRPr="004E192F">
        <w:rPr>
          <w:rFonts w:ascii="Arial" w:hAnsi="Arial" w:cs="Arial"/>
          <w:spacing w:val="-4"/>
          <w:sz w:val="24"/>
        </w:rPr>
        <w:t xml:space="preserve"> </w:t>
      </w:r>
      <w:r w:rsidRPr="004E192F">
        <w:rPr>
          <w:rFonts w:ascii="Arial" w:hAnsi="Arial" w:cs="Arial"/>
          <w:sz w:val="24"/>
        </w:rPr>
        <w:t>la</w:t>
      </w:r>
      <w:r w:rsidRPr="004E192F">
        <w:rPr>
          <w:rFonts w:ascii="Arial" w:hAnsi="Arial" w:cs="Arial"/>
          <w:spacing w:val="-5"/>
          <w:sz w:val="24"/>
        </w:rPr>
        <w:t xml:space="preserve"> </w:t>
      </w:r>
      <w:r w:rsidRPr="004E192F">
        <w:rPr>
          <w:rFonts w:ascii="Arial" w:hAnsi="Arial" w:cs="Arial"/>
          <w:sz w:val="24"/>
        </w:rPr>
        <w:t>sfârşitul</w:t>
      </w:r>
      <w:r w:rsidRPr="004E192F">
        <w:rPr>
          <w:rFonts w:ascii="Arial" w:hAnsi="Arial" w:cs="Arial"/>
          <w:spacing w:val="-5"/>
          <w:sz w:val="24"/>
        </w:rPr>
        <w:t xml:space="preserve"> </w:t>
      </w:r>
      <w:r w:rsidRPr="004E192F">
        <w:rPr>
          <w:rFonts w:ascii="Arial" w:hAnsi="Arial" w:cs="Arial"/>
          <w:sz w:val="24"/>
        </w:rPr>
        <w:t>anului</w:t>
      </w:r>
      <w:r w:rsidRPr="004E192F">
        <w:rPr>
          <w:rFonts w:ascii="Arial" w:hAnsi="Arial" w:cs="Arial"/>
          <w:spacing w:val="-5"/>
          <w:sz w:val="24"/>
        </w:rPr>
        <w:t xml:space="preserve"> </w:t>
      </w:r>
      <w:r w:rsidRPr="004E192F">
        <w:rPr>
          <w:rFonts w:ascii="Arial" w:hAnsi="Arial" w:cs="Arial"/>
          <w:sz w:val="24"/>
        </w:rPr>
        <w:t>2011,</w:t>
      </w:r>
      <w:r w:rsidRPr="004E192F">
        <w:rPr>
          <w:rFonts w:ascii="Arial" w:hAnsi="Arial" w:cs="Arial"/>
          <w:spacing w:val="-4"/>
          <w:sz w:val="24"/>
        </w:rPr>
        <w:t xml:space="preserve"> </w:t>
      </w:r>
      <w:r w:rsidRPr="004E192F">
        <w:rPr>
          <w:rFonts w:ascii="Arial" w:hAnsi="Arial" w:cs="Arial"/>
          <w:sz w:val="24"/>
        </w:rPr>
        <w:t>la</w:t>
      </w:r>
      <w:r w:rsidRPr="004E192F">
        <w:rPr>
          <w:rFonts w:ascii="Arial" w:hAnsi="Arial" w:cs="Arial"/>
          <w:spacing w:val="-5"/>
          <w:sz w:val="24"/>
        </w:rPr>
        <w:t xml:space="preserve"> </w:t>
      </w:r>
      <w:r w:rsidRPr="004E192F">
        <w:rPr>
          <w:rFonts w:ascii="Arial" w:hAnsi="Arial" w:cs="Arial"/>
          <w:sz w:val="24"/>
        </w:rPr>
        <w:t>nivel</w:t>
      </w:r>
      <w:r w:rsidRPr="004E192F">
        <w:rPr>
          <w:rFonts w:ascii="Arial" w:hAnsi="Arial" w:cs="Arial"/>
          <w:spacing w:val="-5"/>
          <w:sz w:val="24"/>
        </w:rPr>
        <w:t xml:space="preserve"> </w:t>
      </w:r>
      <w:r w:rsidRPr="004E192F">
        <w:rPr>
          <w:rFonts w:ascii="Arial" w:hAnsi="Arial" w:cs="Arial"/>
          <w:sz w:val="24"/>
        </w:rPr>
        <w:t>naţional</w:t>
      </w:r>
      <w:r w:rsidRPr="004E192F">
        <w:rPr>
          <w:rFonts w:ascii="Arial" w:hAnsi="Arial" w:cs="Arial"/>
          <w:spacing w:val="-5"/>
          <w:sz w:val="24"/>
        </w:rPr>
        <w:t xml:space="preserve"> </w:t>
      </w:r>
      <w:r w:rsidRPr="004E192F">
        <w:rPr>
          <w:rFonts w:ascii="Arial" w:hAnsi="Arial" w:cs="Arial"/>
          <w:sz w:val="24"/>
        </w:rPr>
        <w:t>existau</w:t>
      </w:r>
      <w:r w:rsidRPr="004E192F">
        <w:rPr>
          <w:rFonts w:ascii="Arial" w:hAnsi="Arial" w:cs="Arial"/>
          <w:spacing w:val="-4"/>
          <w:sz w:val="24"/>
        </w:rPr>
        <w:t xml:space="preserve"> </w:t>
      </w:r>
      <w:r w:rsidRPr="004E192F">
        <w:rPr>
          <w:rFonts w:ascii="Arial" w:hAnsi="Arial" w:cs="Arial"/>
          <w:sz w:val="24"/>
        </w:rPr>
        <w:t>876 de</w:t>
      </w:r>
      <w:r w:rsidRPr="004E192F">
        <w:rPr>
          <w:rFonts w:ascii="Arial" w:hAnsi="Arial" w:cs="Arial"/>
          <w:spacing w:val="-5"/>
          <w:sz w:val="24"/>
        </w:rPr>
        <w:t xml:space="preserve"> </w:t>
      </w:r>
      <w:r w:rsidRPr="004E192F">
        <w:rPr>
          <w:rFonts w:ascii="Arial" w:hAnsi="Arial" w:cs="Arial"/>
          <w:sz w:val="24"/>
        </w:rPr>
        <w:t>localităţi</w:t>
      </w:r>
      <w:r w:rsidRPr="004E192F">
        <w:rPr>
          <w:rFonts w:ascii="Arial" w:hAnsi="Arial" w:cs="Arial"/>
          <w:spacing w:val="-3"/>
          <w:sz w:val="24"/>
        </w:rPr>
        <w:t xml:space="preserve"> </w:t>
      </w:r>
      <w:r w:rsidRPr="004E192F">
        <w:rPr>
          <w:rFonts w:ascii="Arial" w:hAnsi="Arial" w:cs="Arial"/>
          <w:sz w:val="24"/>
        </w:rPr>
        <w:lastRenderedPageBreak/>
        <w:t>conectate, dintre care 241 în mediul urban şi 635 în mediul rural. Regiunea Vest deţine 9,36% din totalul localităţilor conectate la reţeaua de distribuţie a gazelor naturale, având un număr de 82 de localităţi conectate, dintre are 32 în mediul urban şi 50 în mediul rural.</w:t>
      </w:r>
      <w:r>
        <w:rPr>
          <w:rFonts w:ascii="Arial" w:hAnsi="Arial" w:cs="Arial"/>
          <w:sz w:val="24"/>
        </w:rPr>
        <w:t>(</w:t>
      </w:r>
      <w:r w:rsidRPr="004E192F">
        <w:rPr>
          <w:rFonts w:ascii="Arial" w:eastAsia="TimesNewRomanPSMT" w:hAnsi="Arial" w:cs="Arial"/>
          <w:i/>
          <w:sz w:val="24"/>
          <w:szCs w:val="24"/>
          <w:lang w:val="en-US"/>
        </w:rPr>
        <w:t xml:space="preserve"> </w:t>
      </w:r>
      <w:r w:rsidRPr="003F0F4E">
        <w:rPr>
          <w:rFonts w:ascii="Arial" w:eastAsia="TimesNewRomanPSMT" w:hAnsi="Arial" w:cs="Arial"/>
          <w:i/>
          <w:sz w:val="24"/>
          <w:szCs w:val="24"/>
          <w:lang w:val="en-US"/>
        </w:rPr>
        <w:t>informa</w:t>
      </w:r>
      <w:r w:rsidRPr="003F0F4E">
        <w:rPr>
          <w:rFonts w:ascii="Arial" w:eastAsia="TimesNewRomanPSMT" w:hAnsi="Arial" w:cs="Arial"/>
          <w:i/>
          <w:sz w:val="24"/>
          <w:szCs w:val="24"/>
        </w:rPr>
        <w:t xml:space="preserve">ții preluate din </w:t>
      </w:r>
      <w:r w:rsidRPr="003F0F4E">
        <w:rPr>
          <w:rFonts w:ascii="Arial" w:eastAsia="TimesNewRomanPSMT" w:hAnsi="Arial" w:cs="Arial"/>
          <w:i/>
          <w:iCs/>
          <w:sz w:val="24"/>
          <w:szCs w:val="24"/>
          <w:lang w:val="en-US"/>
        </w:rPr>
        <w:t>PDR Regiunea Vest 2014-2020, pag. 5</w:t>
      </w:r>
      <w:r>
        <w:rPr>
          <w:rFonts w:ascii="Arial" w:eastAsia="TimesNewRomanPSMT" w:hAnsi="Arial" w:cs="Arial"/>
          <w:i/>
          <w:iCs/>
          <w:sz w:val="24"/>
          <w:szCs w:val="24"/>
          <w:lang w:val="en-US"/>
        </w:rPr>
        <w:t>7-58</w:t>
      </w:r>
      <w:r w:rsidRPr="003F0F4E">
        <w:rPr>
          <w:rFonts w:ascii="Arial" w:eastAsia="TimesNewRomanPSMT" w:hAnsi="Arial" w:cs="Arial"/>
          <w:i/>
          <w:iCs/>
          <w:sz w:val="24"/>
          <w:szCs w:val="24"/>
          <w:lang w:val="en-US"/>
        </w:rPr>
        <w:t>)</w:t>
      </w:r>
      <w:r>
        <w:rPr>
          <w:rFonts w:ascii="Arial" w:eastAsia="TimesNewRomanPSMT" w:hAnsi="Arial" w:cs="Arial"/>
          <w:i/>
          <w:iCs/>
          <w:sz w:val="24"/>
          <w:szCs w:val="24"/>
          <w:lang w:val="en-US"/>
        </w:rPr>
        <w:t>.</w:t>
      </w:r>
    </w:p>
    <w:p w:rsidR="004E192F" w:rsidRPr="004E192F" w:rsidRDefault="004E192F" w:rsidP="004E192F">
      <w:pPr>
        <w:pStyle w:val="BodyText"/>
        <w:spacing w:after="0" w:line="240" w:lineRule="auto"/>
        <w:jc w:val="both"/>
        <w:rPr>
          <w:rFonts w:ascii="Arial" w:eastAsia="TimesNewRomanPSMT" w:hAnsi="Arial" w:cs="Arial"/>
          <w:i/>
          <w:iCs/>
          <w:sz w:val="24"/>
          <w:szCs w:val="24"/>
          <w:lang w:val="en-US"/>
        </w:rPr>
      </w:pPr>
    </w:p>
    <w:p w:rsidR="00133061" w:rsidRDefault="00D00406" w:rsidP="00E0304F">
      <w:pPr>
        <w:pStyle w:val="BodyText"/>
        <w:spacing w:after="0" w:line="240" w:lineRule="auto"/>
        <w:ind w:left="-90"/>
        <w:jc w:val="both"/>
        <w:rPr>
          <w:rFonts w:ascii="Arial" w:eastAsia="TimesNewRomanPSMT" w:hAnsi="Arial" w:cs="Arial"/>
          <w:i/>
          <w:iCs/>
          <w:sz w:val="24"/>
          <w:szCs w:val="24"/>
          <w:lang w:val="en-US"/>
        </w:rPr>
      </w:pPr>
      <w:r w:rsidRPr="00BE574E">
        <w:rPr>
          <w:rFonts w:ascii="Arial" w:hAnsi="Arial" w:cs="Arial"/>
          <w:i/>
          <w:sz w:val="24"/>
          <w:szCs w:val="24"/>
        </w:rPr>
        <w:t>3.3.4. Agricultura</w:t>
      </w:r>
      <w:r w:rsidR="00E0304F">
        <w:rPr>
          <w:rFonts w:ascii="Arial" w:hAnsi="Arial" w:cs="Arial"/>
          <w:b/>
          <w:sz w:val="24"/>
          <w:szCs w:val="24"/>
        </w:rPr>
        <w:t xml:space="preserve"> (</w:t>
      </w:r>
      <w:r w:rsidR="00E0304F" w:rsidRPr="003F0F4E">
        <w:rPr>
          <w:rFonts w:ascii="Arial" w:eastAsia="TimesNewRomanPSMT" w:hAnsi="Arial" w:cs="Arial"/>
          <w:i/>
          <w:sz w:val="24"/>
          <w:szCs w:val="24"/>
          <w:lang w:val="en-US"/>
        </w:rPr>
        <w:t>informa</w:t>
      </w:r>
      <w:r w:rsidR="00E0304F" w:rsidRPr="003F0F4E">
        <w:rPr>
          <w:rFonts w:ascii="Arial" w:eastAsia="TimesNewRomanPSMT" w:hAnsi="Arial" w:cs="Arial"/>
          <w:i/>
          <w:sz w:val="24"/>
          <w:szCs w:val="24"/>
        </w:rPr>
        <w:t xml:space="preserve">ții preluate din </w:t>
      </w:r>
      <w:r w:rsidR="00E0304F" w:rsidRPr="003F0F4E">
        <w:rPr>
          <w:rFonts w:ascii="Arial" w:eastAsia="TimesNewRomanPSMT" w:hAnsi="Arial" w:cs="Arial"/>
          <w:i/>
          <w:iCs/>
          <w:sz w:val="24"/>
          <w:szCs w:val="24"/>
          <w:lang w:val="en-US"/>
        </w:rPr>
        <w:t xml:space="preserve">PDR Regiunea Vest 2014-2020, pag. </w:t>
      </w:r>
      <w:r w:rsidR="00257A75">
        <w:rPr>
          <w:rFonts w:ascii="Arial" w:eastAsia="TimesNewRomanPSMT" w:hAnsi="Arial" w:cs="Arial"/>
          <w:i/>
          <w:iCs/>
          <w:sz w:val="24"/>
          <w:szCs w:val="24"/>
          <w:lang w:val="en-US"/>
        </w:rPr>
        <w:t>111</w:t>
      </w:r>
      <w:r w:rsidR="00E0304F">
        <w:rPr>
          <w:rFonts w:ascii="Arial" w:eastAsia="TimesNewRomanPSMT" w:hAnsi="Arial" w:cs="Arial"/>
          <w:i/>
          <w:iCs/>
          <w:sz w:val="24"/>
          <w:szCs w:val="24"/>
          <w:lang w:val="en-US"/>
        </w:rPr>
        <w:t>-</w:t>
      </w:r>
      <w:r w:rsidR="00257A75">
        <w:rPr>
          <w:rFonts w:ascii="Arial" w:eastAsia="TimesNewRomanPSMT" w:hAnsi="Arial" w:cs="Arial"/>
          <w:i/>
          <w:iCs/>
          <w:sz w:val="24"/>
          <w:szCs w:val="24"/>
          <w:lang w:val="en-US"/>
        </w:rPr>
        <w:t>115</w:t>
      </w:r>
      <w:r w:rsidR="00E0304F" w:rsidRPr="003F0F4E">
        <w:rPr>
          <w:rFonts w:ascii="Arial" w:eastAsia="TimesNewRomanPSMT" w:hAnsi="Arial" w:cs="Arial"/>
          <w:i/>
          <w:iCs/>
          <w:sz w:val="24"/>
          <w:szCs w:val="24"/>
          <w:lang w:val="en-US"/>
        </w:rPr>
        <w:t>)</w:t>
      </w:r>
      <w:r w:rsidR="00E0304F">
        <w:rPr>
          <w:rFonts w:ascii="Arial" w:eastAsia="TimesNewRomanPSMT" w:hAnsi="Arial" w:cs="Arial"/>
          <w:i/>
          <w:iCs/>
          <w:sz w:val="24"/>
          <w:szCs w:val="24"/>
          <w:lang w:val="en-US"/>
        </w:rPr>
        <w:t>.</w:t>
      </w:r>
    </w:p>
    <w:p w:rsidR="00E0304F" w:rsidRPr="00E0304F" w:rsidRDefault="00E0304F" w:rsidP="00E0304F">
      <w:pPr>
        <w:pStyle w:val="BodyText"/>
        <w:spacing w:after="0" w:line="240" w:lineRule="auto"/>
        <w:ind w:left="-90"/>
        <w:jc w:val="both"/>
        <w:rPr>
          <w:rFonts w:ascii="Arial" w:eastAsia="TimesNewRomanPSMT" w:hAnsi="Arial" w:cs="Arial"/>
          <w:i/>
          <w:iCs/>
          <w:sz w:val="24"/>
          <w:szCs w:val="24"/>
          <w:lang w:val="en-US"/>
        </w:rPr>
      </w:pPr>
    </w:p>
    <w:p w:rsidR="00133061" w:rsidRPr="00E0304F" w:rsidRDefault="00133061" w:rsidP="00E0304F">
      <w:pPr>
        <w:pStyle w:val="BodyText"/>
        <w:spacing w:after="0" w:line="240" w:lineRule="auto"/>
        <w:ind w:right="153"/>
        <w:jc w:val="both"/>
        <w:rPr>
          <w:rFonts w:ascii="Arial" w:hAnsi="Arial" w:cs="Arial"/>
          <w:sz w:val="24"/>
          <w:szCs w:val="24"/>
        </w:rPr>
      </w:pPr>
      <w:r w:rsidRPr="00E0304F">
        <w:rPr>
          <w:rFonts w:ascii="Arial" w:hAnsi="Arial" w:cs="Arial"/>
          <w:sz w:val="24"/>
          <w:szCs w:val="24"/>
        </w:rPr>
        <w:t>În Regiunea Vest, agricultura reprezintă a treia ramură economică ca importanţă. Contribuţia agriculturii, silviculturii, pisciculturii în formarea Produsului Intern Brut (PIB) la nivelul regiunii se situează în anul 2009 la 6,58% (3.239,6 milioane lei preţuri curente), iar în statele membre ale UE se situează la aproximativ 1,7%.</w:t>
      </w:r>
    </w:p>
    <w:p w:rsidR="00133061" w:rsidRPr="00E0304F" w:rsidRDefault="00133061" w:rsidP="00E0304F">
      <w:pPr>
        <w:pStyle w:val="BodyText"/>
        <w:spacing w:after="0" w:line="240" w:lineRule="auto"/>
        <w:ind w:right="149"/>
        <w:jc w:val="both"/>
        <w:rPr>
          <w:rFonts w:ascii="Arial" w:hAnsi="Arial" w:cs="Arial"/>
          <w:sz w:val="24"/>
          <w:szCs w:val="24"/>
        </w:rPr>
      </w:pPr>
      <w:r w:rsidRPr="00E0304F">
        <w:rPr>
          <w:rFonts w:ascii="Arial" w:hAnsi="Arial" w:cs="Arial"/>
          <w:sz w:val="24"/>
          <w:szCs w:val="24"/>
        </w:rPr>
        <w:t>La nivel naţional, Regiunea Vest deţine 12,81% din suprafaţa agricolă a României, dispunând de un important potenţial de valorificare. În cadrul Regiunii Vest sunt anumite diferenţieri ce se evidenţiază la nivelul judeţelor şi anume că în judeţele Arad şi Timiş, suprafeţele agricole sunt superioare celor din judeţele Caraş-Severin şi Hunedoara, primele două dispunând de un mare potenţial conferit de prezenţa Câmpiei de Vest, pe când în celelalte două relieful predominant este cel al treptelor mai înalte (munţi şi dealuri), pe de altă parte, judeţele Caraş-Severin şi Hunedoara adăpostind mari resurse forestiere.</w:t>
      </w:r>
    </w:p>
    <w:p w:rsidR="00E0304F" w:rsidRDefault="00133061" w:rsidP="00E0304F">
      <w:pPr>
        <w:pStyle w:val="BodyText"/>
        <w:spacing w:after="0"/>
        <w:jc w:val="both"/>
        <w:rPr>
          <w:rFonts w:ascii="Arial" w:hAnsi="Arial" w:cs="Arial"/>
          <w:sz w:val="24"/>
          <w:szCs w:val="24"/>
        </w:rPr>
      </w:pPr>
      <w:r w:rsidRPr="00E0304F">
        <w:rPr>
          <w:rFonts w:ascii="Arial" w:hAnsi="Arial" w:cs="Arial"/>
          <w:sz w:val="24"/>
          <w:szCs w:val="24"/>
        </w:rPr>
        <w:t xml:space="preserve">În anul 2011, suprafaţa agricolă se întindea la </w:t>
      </w:r>
      <w:r w:rsidRPr="00E0304F">
        <w:rPr>
          <w:rFonts w:ascii="Arial" w:hAnsi="Arial" w:cs="Arial"/>
          <w:b/>
          <w:sz w:val="24"/>
          <w:szCs w:val="24"/>
        </w:rPr>
        <w:t>1.868.417 ha</w:t>
      </w:r>
      <w:r w:rsidRPr="00E0304F">
        <w:rPr>
          <w:rFonts w:ascii="Arial" w:hAnsi="Arial" w:cs="Arial"/>
          <w:sz w:val="24"/>
          <w:szCs w:val="24"/>
        </w:rPr>
        <w:t xml:space="preserve">, dintre care 58,3% era reprezentată de suprafaţă arabilă, 28,6% păşuni, 11,3% fâneţe, 0,4% vii şi 1,3% livezi. </w:t>
      </w:r>
    </w:p>
    <w:p w:rsidR="00133061" w:rsidRPr="00E0304F" w:rsidRDefault="00133061" w:rsidP="00E0304F">
      <w:pPr>
        <w:pStyle w:val="BodyText"/>
        <w:spacing w:after="0"/>
        <w:jc w:val="both"/>
        <w:rPr>
          <w:rFonts w:ascii="Arial" w:hAnsi="Arial" w:cs="Arial"/>
          <w:sz w:val="24"/>
          <w:szCs w:val="24"/>
        </w:rPr>
      </w:pPr>
      <w:r w:rsidRPr="00E0304F">
        <w:rPr>
          <w:rFonts w:ascii="Arial" w:hAnsi="Arial" w:cs="Arial"/>
          <w:sz w:val="24"/>
          <w:szCs w:val="24"/>
        </w:rPr>
        <w:t>Privind categoriile de folosinţă ale suprafeţei agricole se observă câteva diferenţieri între nivelul</w:t>
      </w:r>
      <w:r w:rsidRPr="00E0304F">
        <w:rPr>
          <w:rFonts w:ascii="Arial" w:hAnsi="Arial" w:cs="Arial"/>
          <w:spacing w:val="-10"/>
          <w:sz w:val="24"/>
          <w:szCs w:val="24"/>
        </w:rPr>
        <w:t xml:space="preserve"> </w:t>
      </w:r>
      <w:r w:rsidRPr="00E0304F">
        <w:rPr>
          <w:rFonts w:ascii="Arial" w:hAnsi="Arial" w:cs="Arial"/>
          <w:sz w:val="24"/>
          <w:szCs w:val="24"/>
        </w:rPr>
        <w:t>regional</w:t>
      </w:r>
      <w:r w:rsidRPr="00E0304F">
        <w:rPr>
          <w:rFonts w:ascii="Arial" w:hAnsi="Arial" w:cs="Arial"/>
          <w:spacing w:val="-10"/>
          <w:sz w:val="24"/>
          <w:szCs w:val="24"/>
        </w:rPr>
        <w:t xml:space="preserve"> </w:t>
      </w:r>
      <w:r w:rsidRPr="00E0304F">
        <w:rPr>
          <w:rFonts w:ascii="Arial" w:hAnsi="Arial" w:cs="Arial"/>
          <w:sz w:val="24"/>
          <w:szCs w:val="24"/>
        </w:rPr>
        <w:t>şi</w:t>
      </w:r>
      <w:r w:rsidRPr="00E0304F">
        <w:rPr>
          <w:rFonts w:ascii="Arial" w:hAnsi="Arial" w:cs="Arial"/>
          <w:spacing w:val="-10"/>
          <w:sz w:val="24"/>
          <w:szCs w:val="24"/>
        </w:rPr>
        <w:t xml:space="preserve"> </w:t>
      </w:r>
      <w:r w:rsidRPr="00E0304F">
        <w:rPr>
          <w:rFonts w:ascii="Arial" w:hAnsi="Arial" w:cs="Arial"/>
          <w:sz w:val="24"/>
          <w:szCs w:val="24"/>
        </w:rPr>
        <w:t>nivelul</w:t>
      </w:r>
      <w:r w:rsidRPr="00E0304F">
        <w:rPr>
          <w:rFonts w:ascii="Arial" w:hAnsi="Arial" w:cs="Arial"/>
          <w:spacing w:val="-10"/>
          <w:sz w:val="24"/>
          <w:szCs w:val="24"/>
        </w:rPr>
        <w:t xml:space="preserve"> </w:t>
      </w:r>
      <w:r w:rsidRPr="00E0304F">
        <w:rPr>
          <w:rFonts w:ascii="Arial" w:hAnsi="Arial" w:cs="Arial"/>
          <w:sz w:val="24"/>
          <w:szCs w:val="24"/>
        </w:rPr>
        <w:t>naţional.</w:t>
      </w:r>
      <w:r w:rsidRPr="00E0304F">
        <w:rPr>
          <w:rFonts w:ascii="Arial" w:hAnsi="Arial" w:cs="Arial"/>
          <w:spacing w:val="-9"/>
          <w:sz w:val="24"/>
          <w:szCs w:val="24"/>
        </w:rPr>
        <w:t xml:space="preserve"> </w:t>
      </w:r>
      <w:r w:rsidRPr="00E0304F">
        <w:rPr>
          <w:rFonts w:ascii="Arial" w:hAnsi="Arial" w:cs="Arial"/>
          <w:sz w:val="24"/>
          <w:szCs w:val="24"/>
        </w:rPr>
        <w:t>Ponderea</w:t>
      </w:r>
      <w:r w:rsidRPr="00E0304F">
        <w:rPr>
          <w:rFonts w:ascii="Arial" w:hAnsi="Arial" w:cs="Arial"/>
          <w:spacing w:val="-6"/>
          <w:sz w:val="24"/>
          <w:szCs w:val="24"/>
        </w:rPr>
        <w:t xml:space="preserve"> </w:t>
      </w:r>
      <w:r w:rsidRPr="00E0304F">
        <w:rPr>
          <w:rFonts w:ascii="Arial" w:hAnsi="Arial" w:cs="Arial"/>
          <w:i/>
          <w:sz w:val="24"/>
          <w:szCs w:val="24"/>
        </w:rPr>
        <w:t>suprafaţei</w:t>
      </w:r>
      <w:r w:rsidRPr="00E0304F">
        <w:rPr>
          <w:rFonts w:ascii="Arial" w:hAnsi="Arial" w:cs="Arial"/>
          <w:i/>
          <w:spacing w:val="-10"/>
          <w:sz w:val="24"/>
          <w:szCs w:val="24"/>
        </w:rPr>
        <w:t xml:space="preserve"> </w:t>
      </w:r>
      <w:r w:rsidRPr="00E0304F">
        <w:rPr>
          <w:rFonts w:ascii="Arial" w:hAnsi="Arial" w:cs="Arial"/>
          <w:i/>
          <w:sz w:val="24"/>
          <w:szCs w:val="24"/>
        </w:rPr>
        <w:t>arabile</w:t>
      </w:r>
      <w:r w:rsidRPr="00E0304F">
        <w:rPr>
          <w:rFonts w:ascii="Arial" w:hAnsi="Arial" w:cs="Arial"/>
          <w:i/>
          <w:spacing w:val="-8"/>
          <w:sz w:val="24"/>
          <w:szCs w:val="24"/>
        </w:rPr>
        <w:t xml:space="preserve"> </w:t>
      </w:r>
      <w:r w:rsidRPr="00E0304F">
        <w:rPr>
          <w:rFonts w:ascii="Arial" w:hAnsi="Arial" w:cs="Arial"/>
          <w:sz w:val="24"/>
          <w:szCs w:val="24"/>
        </w:rPr>
        <w:t>a</w:t>
      </w:r>
      <w:r w:rsidRPr="00E0304F">
        <w:rPr>
          <w:rFonts w:ascii="Arial" w:hAnsi="Arial" w:cs="Arial"/>
          <w:spacing w:val="-9"/>
          <w:sz w:val="24"/>
          <w:szCs w:val="24"/>
        </w:rPr>
        <w:t xml:space="preserve"> </w:t>
      </w:r>
      <w:r w:rsidRPr="00E0304F">
        <w:rPr>
          <w:rFonts w:ascii="Arial" w:hAnsi="Arial" w:cs="Arial"/>
          <w:sz w:val="24"/>
          <w:szCs w:val="24"/>
        </w:rPr>
        <w:t>regiunii</w:t>
      </w:r>
      <w:r w:rsidRPr="00E0304F">
        <w:rPr>
          <w:rFonts w:ascii="Arial" w:hAnsi="Arial" w:cs="Arial"/>
          <w:spacing w:val="-11"/>
          <w:sz w:val="24"/>
          <w:szCs w:val="24"/>
        </w:rPr>
        <w:t xml:space="preserve"> </w:t>
      </w:r>
      <w:r w:rsidRPr="00E0304F">
        <w:rPr>
          <w:rFonts w:ascii="Arial" w:hAnsi="Arial" w:cs="Arial"/>
          <w:sz w:val="24"/>
          <w:szCs w:val="24"/>
        </w:rPr>
        <w:t>este</w:t>
      </w:r>
      <w:r w:rsidRPr="00E0304F">
        <w:rPr>
          <w:rFonts w:ascii="Arial" w:hAnsi="Arial" w:cs="Arial"/>
          <w:spacing w:val="-10"/>
          <w:sz w:val="24"/>
          <w:szCs w:val="24"/>
        </w:rPr>
        <w:t xml:space="preserve"> </w:t>
      </w:r>
      <w:r w:rsidRPr="00E0304F">
        <w:rPr>
          <w:rFonts w:ascii="Arial" w:hAnsi="Arial" w:cs="Arial"/>
          <w:sz w:val="24"/>
          <w:szCs w:val="24"/>
        </w:rPr>
        <w:t>mai</w:t>
      </w:r>
      <w:r w:rsidRPr="00E0304F">
        <w:rPr>
          <w:rFonts w:ascii="Arial" w:hAnsi="Arial" w:cs="Arial"/>
          <w:spacing w:val="-10"/>
          <w:sz w:val="24"/>
          <w:szCs w:val="24"/>
        </w:rPr>
        <w:t xml:space="preserve"> </w:t>
      </w:r>
      <w:r w:rsidRPr="00E0304F">
        <w:rPr>
          <w:rFonts w:ascii="Arial" w:hAnsi="Arial" w:cs="Arial"/>
          <w:sz w:val="24"/>
          <w:szCs w:val="24"/>
        </w:rPr>
        <w:t>mică</w:t>
      </w:r>
      <w:r w:rsidRPr="00E0304F">
        <w:rPr>
          <w:rFonts w:ascii="Arial" w:hAnsi="Arial" w:cs="Arial"/>
          <w:spacing w:val="-9"/>
          <w:sz w:val="24"/>
          <w:szCs w:val="24"/>
        </w:rPr>
        <w:t xml:space="preserve"> </w:t>
      </w:r>
      <w:r w:rsidRPr="00E0304F">
        <w:rPr>
          <w:rFonts w:ascii="Arial" w:hAnsi="Arial" w:cs="Arial"/>
          <w:sz w:val="24"/>
          <w:szCs w:val="24"/>
        </w:rPr>
        <w:t>decât media</w:t>
      </w:r>
      <w:r w:rsidRPr="00E0304F">
        <w:rPr>
          <w:rFonts w:ascii="Arial" w:hAnsi="Arial" w:cs="Arial"/>
          <w:spacing w:val="-17"/>
          <w:sz w:val="24"/>
          <w:szCs w:val="24"/>
        </w:rPr>
        <w:t xml:space="preserve"> </w:t>
      </w:r>
      <w:r w:rsidRPr="00E0304F">
        <w:rPr>
          <w:rFonts w:ascii="Arial" w:hAnsi="Arial" w:cs="Arial"/>
          <w:sz w:val="24"/>
          <w:szCs w:val="24"/>
        </w:rPr>
        <w:t>naţională,</w:t>
      </w:r>
      <w:r w:rsidRPr="00E0304F">
        <w:rPr>
          <w:rFonts w:ascii="Arial" w:hAnsi="Arial" w:cs="Arial"/>
          <w:spacing w:val="-16"/>
          <w:sz w:val="24"/>
          <w:szCs w:val="24"/>
        </w:rPr>
        <w:t xml:space="preserve"> </w:t>
      </w:r>
      <w:r w:rsidRPr="00E0304F">
        <w:rPr>
          <w:rFonts w:ascii="Arial" w:hAnsi="Arial" w:cs="Arial"/>
          <w:sz w:val="24"/>
          <w:szCs w:val="24"/>
        </w:rPr>
        <w:t>însă</w:t>
      </w:r>
      <w:r w:rsidRPr="00E0304F">
        <w:rPr>
          <w:rFonts w:ascii="Arial" w:hAnsi="Arial" w:cs="Arial"/>
          <w:spacing w:val="-17"/>
          <w:sz w:val="24"/>
          <w:szCs w:val="24"/>
        </w:rPr>
        <w:t xml:space="preserve"> </w:t>
      </w:r>
      <w:r w:rsidRPr="00E0304F">
        <w:rPr>
          <w:rFonts w:ascii="Arial" w:hAnsi="Arial" w:cs="Arial"/>
          <w:sz w:val="24"/>
          <w:szCs w:val="24"/>
        </w:rPr>
        <w:t>în</w:t>
      </w:r>
      <w:r w:rsidRPr="00E0304F">
        <w:rPr>
          <w:rFonts w:ascii="Arial" w:hAnsi="Arial" w:cs="Arial"/>
          <w:spacing w:val="-19"/>
          <w:sz w:val="24"/>
          <w:szCs w:val="24"/>
        </w:rPr>
        <w:t xml:space="preserve"> </w:t>
      </w:r>
      <w:r w:rsidRPr="00E0304F">
        <w:rPr>
          <w:rFonts w:ascii="Arial" w:hAnsi="Arial" w:cs="Arial"/>
          <w:sz w:val="24"/>
          <w:szCs w:val="24"/>
        </w:rPr>
        <w:t>interiorul</w:t>
      </w:r>
      <w:r w:rsidRPr="00E0304F">
        <w:rPr>
          <w:rFonts w:ascii="Arial" w:hAnsi="Arial" w:cs="Arial"/>
          <w:spacing w:val="-17"/>
          <w:sz w:val="24"/>
          <w:szCs w:val="24"/>
        </w:rPr>
        <w:t xml:space="preserve"> </w:t>
      </w:r>
      <w:r w:rsidRPr="00E0304F">
        <w:rPr>
          <w:rFonts w:ascii="Arial" w:hAnsi="Arial" w:cs="Arial"/>
          <w:sz w:val="24"/>
          <w:szCs w:val="24"/>
        </w:rPr>
        <w:t>regiunii</w:t>
      </w:r>
      <w:r w:rsidRPr="00E0304F">
        <w:rPr>
          <w:rFonts w:ascii="Arial" w:hAnsi="Arial" w:cs="Arial"/>
          <w:spacing w:val="-18"/>
          <w:sz w:val="24"/>
          <w:szCs w:val="24"/>
        </w:rPr>
        <w:t xml:space="preserve"> </w:t>
      </w:r>
      <w:r w:rsidRPr="00E0304F">
        <w:rPr>
          <w:rFonts w:ascii="Arial" w:hAnsi="Arial" w:cs="Arial"/>
          <w:sz w:val="24"/>
          <w:szCs w:val="24"/>
        </w:rPr>
        <w:t>judeţele</w:t>
      </w:r>
      <w:r w:rsidRPr="00E0304F">
        <w:rPr>
          <w:rFonts w:ascii="Arial" w:hAnsi="Arial" w:cs="Arial"/>
          <w:spacing w:val="-18"/>
          <w:sz w:val="24"/>
          <w:szCs w:val="24"/>
        </w:rPr>
        <w:t xml:space="preserve"> </w:t>
      </w:r>
      <w:r w:rsidRPr="00E0304F">
        <w:rPr>
          <w:rFonts w:ascii="Arial" w:hAnsi="Arial" w:cs="Arial"/>
          <w:sz w:val="24"/>
          <w:szCs w:val="24"/>
        </w:rPr>
        <w:t>Timiş</w:t>
      </w:r>
      <w:r w:rsidRPr="00E0304F">
        <w:rPr>
          <w:rFonts w:ascii="Arial" w:hAnsi="Arial" w:cs="Arial"/>
          <w:spacing w:val="-16"/>
          <w:sz w:val="24"/>
          <w:szCs w:val="24"/>
        </w:rPr>
        <w:t xml:space="preserve"> </w:t>
      </w:r>
      <w:r w:rsidRPr="00E0304F">
        <w:rPr>
          <w:rFonts w:ascii="Arial" w:hAnsi="Arial" w:cs="Arial"/>
          <w:sz w:val="24"/>
          <w:szCs w:val="24"/>
        </w:rPr>
        <w:t>şi</w:t>
      </w:r>
      <w:r w:rsidRPr="00E0304F">
        <w:rPr>
          <w:rFonts w:ascii="Arial" w:hAnsi="Arial" w:cs="Arial"/>
          <w:spacing w:val="-17"/>
          <w:sz w:val="24"/>
          <w:szCs w:val="24"/>
        </w:rPr>
        <w:t xml:space="preserve"> </w:t>
      </w:r>
      <w:r w:rsidRPr="00E0304F">
        <w:rPr>
          <w:rFonts w:ascii="Arial" w:hAnsi="Arial" w:cs="Arial"/>
          <w:sz w:val="24"/>
          <w:szCs w:val="24"/>
        </w:rPr>
        <w:t>Arad</w:t>
      </w:r>
      <w:r w:rsidRPr="00E0304F">
        <w:rPr>
          <w:rFonts w:ascii="Arial" w:hAnsi="Arial" w:cs="Arial"/>
          <w:spacing w:val="-16"/>
          <w:sz w:val="24"/>
          <w:szCs w:val="24"/>
        </w:rPr>
        <w:t xml:space="preserve"> </w:t>
      </w:r>
      <w:r w:rsidRPr="00E0304F">
        <w:rPr>
          <w:rFonts w:ascii="Arial" w:hAnsi="Arial" w:cs="Arial"/>
          <w:sz w:val="24"/>
          <w:szCs w:val="24"/>
        </w:rPr>
        <w:t>deţin</w:t>
      </w:r>
      <w:r w:rsidRPr="00E0304F">
        <w:rPr>
          <w:rFonts w:ascii="Arial" w:hAnsi="Arial" w:cs="Arial"/>
          <w:spacing w:val="-14"/>
          <w:sz w:val="24"/>
          <w:szCs w:val="24"/>
        </w:rPr>
        <w:t xml:space="preserve"> </w:t>
      </w:r>
      <w:r w:rsidRPr="00E0304F">
        <w:rPr>
          <w:rFonts w:ascii="Arial" w:hAnsi="Arial" w:cs="Arial"/>
          <w:sz w:val="24"/>
          <w:szCs w:val="24"/>
        </w:rPr>
        <w:t>ponderi</w:t>
      </w:r>
      <w:r w:rsidRPr="00E0304F">
        <w:rPr>
          <w:rFonts w:ascii="Arial" w:hAnsi="Arial" w:cs="Arial"/>
          <w:spacing w:val="-17"/>
          <w:sz w:val="24"/>
          <w:szCs w:val="24"/>
        </w:rPr>
        <w:t xml:space="preserve"> </w:t>
      </w:r>
      <w:r w:rsidRPr="00E0304F">
        <w:rPr>
          <w:rFonts w:ascii="Arial" w:hAnsi="Arial" w:cs="Arial"/>
          <w:sz w:val="24"/>
          <w:szCs w:val="24"/>
        </w:rPr>
        <w:t>mai</w:t>
      </w:r>
      <w:r w:rsidRPr="00E0304F">
        <w:rPr>
          <w:rFonts w:ascii="Arial" w:hAnsi="Arial" w:cs="Arial"/>
          <w:spacing w:val="-17"/>
          <w:sz w:val="24"/>
          <w:szCs w:val="24"/>
        </w:rPr>
        <w:t xml:space="preserve"> </w:t>
      </w:r>
      <w:r w:rsidRPr="00E0304F">
        <w:rPr>
          <w:rFonts w:ascii="Arial" w:hAnsi="Arial" w:cs="Arial"/>
          <w:sz w:val="24"/>
          <w:szCs w:val="24"/>
        </w:rPr>
        <w:t>mari</w:t>
      </w:r>
      <w:r w:rsidRPr="00E0304F">
        <w:rPr>
          <w:rFonts w:ascii="Arial" w:hAnsi="Arial" w:cs="Arial"/>
          <w:spacing w:val="-17"/>
          <w:sz w:val="24"/>
          <w:szCs w:val="24"/>
        </w:rPr>
        <w:t xml:space="preserve"> </w:t>
      </w:r>
      <w:r w:rsidRPr="00E0304F">
        <w:rPr>
          <w:rFonts w:ascii="Arial" w:hAnsi="Arial" w:cs="Arial"/>
          <w:sz w:val="24"/>
          <w:szCs w:val="24"/>
        </w:rPr>
        <w:t xml:space="preserve">decât media naţională. Ponderea </w:t>
      </w:r>
      <w:r w:rsidRPr="00E0304F">
        <w:rPr>
          <w:rFonts w:ascii="Arial" w:hAnsi="Arial" w:cs="Arial"/>
          <w:i/>
          <w:sz w:val="24"/>
          <w:szCs w:val="24"/>
        </w:rPr>
        <w:t xml:space="preserve">păşunilor </w:t>
      </w:r>
      <w:r w:rsidRPr="00E0304F">
        <w:rPr>
          <w:rFonts w:ascii="Arial" w:hAnsi="Arial" w:cs="Arial"/>
          <w:sz w:val="24"/>
          <w:szCs w:val="24"/>
        </w:rPr>
        <w:t>este mai mare la nivel regional decât</w:t>
      </w:r>
      <w:r w:rsidRPr="00E0304F">
        <w:rPr>
          <w:rFonts w:ascii="Arial" w:hAnsi="Arial" w:cs="Arial"/>
          <w:spacing w:val="31"/>
          <w:sz w:val="24"/>
          <w:szCs w:val="24"/>
        </w:rPr>
        <w:t xml:space="preserve"> </w:t>
      </w:r>
      <w:r w:rsidRPr="00E0304F">
        <w:rPr>
          <w:rFonts w:ascii="Arial" w:hAnsi="Arial" w:cs="Arial"/>
          <w:sz w:val="24"/>
          <w:szCs w:val="24"/>
        </w:rPr>
        <w:t>nivelul naţional,</w:t>
      </w:r>
      <w:r w:rsidRPr="00E0304F">
        <w:rPr>
          <w:rFonts w:ascii="Arial" w:hAnsi="Arial" w:cs="Arial"/>
          <w:spacing w:val="-12"/>
          <w:sz w:val="24"/>
          <w:szCs w:val="24"/>
        </w:rPr>
        <w:t xml:space="preserve"> </w:t>
      </w:r>
      <w:r w:rsidRPr="00E0304F">
        <w:rPr>
          <w:rFonts w:ascii="Arial" w:hAnsi="Arial" w:cs="Arial"/>
          <w:sz w:val="24"/>
          <w:szCs w:val="24"/>
        </w:rPr>
        <w:t>judeţele</w:t>
      </w:r>
      <w:r w:rsidRPr="00E0304F">
        <w:rPr>
          <w:rFonts w:ascii="Arial" w:hAnsi="Arial" w:cs="Arial"/>
          <w:spacing w:val="-13"/>
          <w:sz w:val="24"/>
          <w:szCs w:val="24"/>
        </w:rPr>
        <w:t xml:space="preserve"> </w:t>
      </w:r>
      <w:r w:rsidRPr="00E0304F">
        <w:rPr>
          <w:rFonts w:ascii="Arial" w:hAnsi="Arial" w:cs="Arial"/>
          <w:sz w:val="24"/>
          <w:szCs w:val="24"/>
        </w:rPr>
        <w:t>Caraş-Severin</w:t>
      </w:r>
      <w:r w:rsidRPr="00E0304F">
        <w:rPr>
          <w:rFonts w:ascii="Arial" w:hAnsi="Arial" w:cs="Arial"/>
          <w:spacing w:val="-12"/>
          <w:sz w:val="24"/>
          <w:szCs w:val="24"/>
        </w:rPr>
        <w:t xml:space="preserve"> </w:t>
      </w:r>
      <w:r w:rsidRPr="00E0304F">
        <w:rPr>
          <w:rFonts w:ascii="Arial" w:hAnsi="Arial" w:cs="Arial"/>
          <w:sz w:val="24"/>
          <w:szCs w:val="24"/>
        </w:rPr>
        <w:t>şi</w:t>
      </w:r>
      <w:r w:rsidRPr="00E0304F">
        <w:rPr>
          <w:rFonts w:ascii="Arial" w:hAnsi="Arial" w:cs="Arial"/>
          <w:spacing w:val="-13"/>
          <w:sz w:val="24"/>
          <w:szCs w:val="24"/>
        </w:rPr>
        <w:t xml:space="preserve"> </w:t>
      </w:r>
      <w:r w:rsidRPr="00E0304F">
        <w:rPr>
          <w:rFonts w:ascii="Arial" w:hAnsi="Arial" w:cs="Arial"/>
          <w:sz w:val="24"/>
          <w:szCs w:val="24"/>
        </w:rPr>
        <w:t>Hunedoara</w:t>
      </w:r>
      <w:r w:rsidRPr="00E0304F">
        <w:rPr>
          <w:rFonts w:ascii="Arial" w:hAnsi="Arial" w:cs="Arial"/>
          <w:spacing w:val="-12"/>
          <w:sz w:val="24"/>
          <w:szCs w:val="24"/>
        </w:rPr>
        <w:t xml:space="preserve"> </w:t>
      </w:r>
      <w:r w:rsidRPr="00E0304F">
        <w:rPr>
          <w:rFonts w:ascii="Arial" w:hAnsi="Arial" w:cs="Arial"/>
          <w:sz w:val="24"/>
          <w:szCs w:val="24"/>
        </w:rPr>
        <w:t>deţinând</w:t>
      </w:r>
      <w:r w:rsidRPr="00E0304F">
        <w:rPr>
          <w:rFonts w:ascii="Arial" w:hAnsi="Arial" w:cs="Arial"/>
          <w:spacing w:val="-12"/>
          <w:sz w:val="24"/>
          <w:szCs w:val="24"/>
        </w:rPr>
        <w:t xml:space="preserve"> </w:t>
      </w:r>
      <w:r w:rsidRPr="00E0304F">
        <w:rPr>
          <w:rFonts w:ascii="Arial" w:hAnsi="Arial" w:cs="Arial"/>
          <w:sz w:val="24"/>
          <w:szCs w:val="24"/>
        </w:rPr>
        <w:t>ponderi</w:t>
      </w:r>
      <w:r w:rsidRPr="00E0304F">
        <w:rPr>
          <w:rFonts w:ascii="Arial" w:hAnsi="Arial" w:cs="Arial"/>
          <w:spacing w:val="-13"/>
          <w:sz w:val="24"/>
          <w:szCs w:val="24"/>
        </w:rPr>
        <w:t xml:space="preserve"> </w:t>
      </w:r>
      <w:r w:rsidRPr="00E0304F">
        <w:rPr>
          <w:rFonts w:ascii="Arial" w:hAnsi="Arial" w:cs="Arial"/>
          <w:sz w:val="24"/>
          <w:szCs w:val="24"/>
        </w:rPr>
        <w:t>aproximativ</w:t>
      </w:r>
      <w:r w:rsidRPr="00E0304F">
        <w:rPr>
          <w:rFonts w:ascii="Arial" w:hAnsi="Arial" w:cs="Arial"/>
          <w:spacing w:val="-12"/>
          <w:sz w:val="24"/>
          <w:szCs w:val="24"/>
        </w:rPr>
        <w:t xml:space="preserve"> </w:t>
      </w:r>
      <w:r w:rsidRPr="00E0304F">
        <w:rPr>
          <w:rFonts w:ascii="Arial" w:hAnsi="Arial" w:cs="Arial"/>
          <w:sz w:val="24"/>
          <w:szCs w:val="24"/>
        </w:rPr>
        <w:t>de</w:t>
      </w:r>
      <w:r w:rsidRPr="00E0304F">
        <w:rPr>
          <w:rFonts w:ascii="Arial" w:hAnsi="Arial" w:cs="Arial"/>
          <w:spacing w:val="-13"/>
          <w:sz w:val="24"/>
          <w:szCs w:val="24"/>
        </w:rPr>
        <w:t xml:space="preserve"> </w:t>
      </w:r>
      <w:r w:rsidRPr="00E0304F">
        <w:rPr>
          <w:rFonts w:ascii="Arial" w:hAnsi="Arial" w:cs="Arial"/>
          <w:sz w:val="24"/>
          <w:szCs w:val="24"/>
        </w:rPr>
        <w:t>două</w:t>
      </w:r>
      <w:r w:rsidRPr="00E0304F">
        <w:rPr>
          <w:rFonts w:ascii="Arial" w:hAnsi="Arial" w:cs="Arial"/>
          <w:spacing w:val="-12"/>
          <w:sz w:val="24"/>
          <w:szCs w:val="24"/>
        </w:rPr>
        <w:t xml:space="preserve"> </w:t>
      </w:r>
      <w:r w:rsidRPr="00E0304F">
        <w:rPr>
          <w:rFonts w:ascii="Arial" w:hAnsi="Arial" w:cs="Arial"/>
          <w:sz w:val="24"/>
          <w:szCs w:val="24"/>
        </w:rPr>
        <w:t>ori</w:t>
      </w:r>
      <w:r w:rsidRPr="00E0304F">
        <w:rPr>
          <w:rFonts w:ascii="Arial" w:hAnsi="Arial" w:cs="Arial"/>
          <w:spacing w:val="-12"/>
          <w:sz w:val="24"/>
          <w:szCs w:val="24"/>
        </w:rPr>
        <w:t xml:space="preserve"> </w:t>
      </w:r>
      <w:r w:rsidRPr="00E0304F">
        <w:rPr>
          <w:rFonts w:ascii="Arial" w:hAnsi="Arial" w:cs="Arial"/>
          <w:sz w:val="24"/>
          <w:szCs w:val="24"/>
        </w:rPr>
        <w:t xml:space="preserve">mai mari decât nivelul naţional. În regiune, </w:t>
      </w:r>
      <w:r w:rsidRPr="00E0304F">
        <w:rPr>
          <w:rFonts w:ascii="Arial" w:hAnsi="Arial" w:cs="Arial"/>
          <w:i/>
          <w:sz w:val="24"/>
          <w:szCs w:val="24"/>
        </w:rPr>
        <w:t xml:space="preserve">fâneţele </w:t>
      </w:r>
      <w:r w:rsidRPr="00E0304F">
        <w:rPr>
          <w:rFonts w:ascii="Arial" w:hAnsi="Arial" w:cs="Arial"/>
          <w:sz w:val="24"/>
          <w:szCs w:val="24"/>
        </w:rPr>
        <w:t>deţin o pondere mai mare  decât nivelul naţional; la nivel regional, ponderea cea mai mare pondere o deţine judeţul Hunedoara şi cea mai mică judeţul</w:t>
      </w:r>
      <w:r w:rsidRPr="00E0304F">
        <w:rPr>
          <w:rFonts w:ascii="Arial" w:hAnsi="Arial" w:cs="Arial"/>
          <w:spacing w:val="-10"/>
          <w:sz w:val="24"/>
          <w:szCs w:val="24"/>
        </w:rPr>
        <w:t xml:space="preserve"> </w:t>
      </w:r>
      <w:r w:rsidRPr="00E0304F">
        <w:rPr>
          <w:rFonts w:ascii="Arial" w:hAnsi="Arial" w:cs="Arial"/>
          <w:sz w:val="24"/>
          <w:szCs w:val="24"/>
        </w:rPr>
        <w:t>Timiş.</w:t>
      </w:r>
    </w:p>
    <w:p w:rsidR="00133061" w:rsidRPr="00E0304F" w:rsidRDefault="00133061" w:rsidP="00E0304F">
      <w:pPr>
        <w:pStyle w:val="BodyText"/>
        <w:spacing w:after="0"/>
        <w:jc w:val="both"/>
        <w:rPr>
          <w:rFonts w:ascii="Arial" w:hAnsi="Arial" w:cs="Arial"/>
          <w:sz w:val="24"/>
          <w:szCs w:val="24"/>
        </w:rPr>
      </w:pPr>
      <w:r w:rsidRPr="00E0304F">
        <w:rPr>
          <w:rFonts w:ascii="Arial" w:hAnsi="Arial" w:cs="Arial"/>
          <w:sz w:val="24"/>
          <w:szCs w:val="24"/>
        </w:rPr>
        <w:t xml:space="preserve">Regiunea deţine o pondere destul de modestă ale suprafeţelor cultivate cu </w:t>
      </w:r>
      <w:r w:rsidRPr="00E0304F">
        <w:rPr>
          <w:rFonts w:ascii="Arial" w:hAnsi="Arial" w:cs="Arial"/>
          <w:i/>
          <w:sz w:val="24"/>
          <w:szCs w:val="24"/>
        </w:rPr>
        <w:t>viţă-de- vie</w:t>
      </w:r>
      <w:r w:rsidRPr="00E0304F">
        <w:rPr>
          <w:rFonts w:ascii="Arial" w:hAnsi="Arial" w:cs="Arial"/>
          <w:sz w:val="24"/>
          <w:szCs w:val="24"/>
        </w:rPr>
        <w:t>, aceasta fiind de 3 ori mai mică decât nivelul naţional; la nivel regional cea mai mare pondere o deţine judeţul Arad, fiind urmat îndeaproape de judeţul Timiş.</w:t>
      </w:r>
    </w:p>
    <w:p w:rsidR="00133061" w:rsidRPr="00E0304F" w:rsidRDefault="00133061" w:rsidP="00E0304F">
      <w:pPr>
        <w:pStyle w:val="BodyText"/>
        <w:spacing w:after="0"/>
        <w:jc w:val="both"/>
        <w:rPr>
          <w:rFonts w:ascii="Arial" w:hAnsi="Arial" w:cs="Arial"/>
          <w:sz w:val="24"/>
          <w:szCs w:val="24"/>
        </w:rPr>
      </w:pPr>
      <w:r w:rsidRPr="00E0304F">
        <w:rPr>
          <w:rFonts w:ascii="Arial" w:hAnsi="Arial" w:cs="Arial"/>
          <w:sz w:val="24"/>
          <w:szCs w:val="24"/>
        </w:rPr>
        <w:t xml:space="preserve">Atât regiunea cât şi România deţin aceiaş pondere a suprafeţelor cultivate cu </w:t>
      </w:r>
      <w:r w:rsidRPr="00E0304F">
        <w:rPr>
          <w:rFonts w:ascii="Arial" w:hAnsi="Arial" w:cs="Arial"/>
          <w:i/>
          <w:sz w:val="24"/>
          <w:szCs w:val="24"/>
        </w:rPr>
        <w:t>livezi</w:t>
      </w:r>
      <w:r w:rsidRPr="00E0304F">
        <w:rPr>
          <w:rFonts w:ascii="Arial" w:hAnsi="Arial" w:cs="Arial"/>
          <w:sz w:val="24"/>
          <w:szCs w:val="24"/>
        </w:rPr>
        <w:t>. Judeţul Caraş-Severin deţine un potenţial important de valorificare a culturilor pomicole, ponderea livezilor deţinute de acesta fiind de două ori mai mare decât nivelul naţional şi regional.</w:t>
      </w:r>
    </w:p>
    <w:p w:rsidR="00133061" w:rsidRPr="00E0304F" w:rsidRDefault="00133061" w:rsidP="00E0304F">
      <w:pPr>
        <w:pStyle w:val="BodyText"/>
        <w:spacing w:after="0"/>
        <w:jc w:val="both"/>
        <w:rPr>
          <w:rFonts w:ascii="Arial" w:hAnsi="Arial" w:cs="Arial"/>
          <w:sz w:val="24"/>
          <w:szCs w:val="24"/>
        </w:rPr>
      </w:pPr>
      <w:r w:rsidRPr="00E0304F">
        <w:rPr>
          <w:rFonts w:ascii="Arial" w:hAnsi="Arial" w:cs="Arial"/>
          <w:sz w:val="24"/>
          <w:szCs w:val="24"/>
        </w:rPr>
        <w:t>Producţia ramurii agricole este preponderent vegetală cultivându-se în deosebi porumb (1.570.345 tone - 2011), grâu (820.590 tone - 2011) şi cartofi (315.076 tone - 2011).</w:t>
      </w:r>
    </w:p>
    <w:p w:rsidR="00E0304F" w:rsidRDefault="00133061" w:rsidP="00E0304F">
      <w:pPr>
        <w:pStyle w:val="BodyText"/>
        <w:spacing w:after="0"/>
        <w:jc w:val="both"/>
        <w:rPr>
          <w:rFonts w:ascii="Arial" w:hAnsi="Arial" w:cs="Arial"/>
          <w:sz w:val="24"/>
          <w:szCs w:val="24"/>
        </w:rPr>
      </w:pPr>
      <w:r w:rsidRPr="00E0304F">
        <w:rPr>
          <w:rFonts w:ascii="Arial" w:hAnsi="Arial" w:cs="Arial"/>
          <w:sz w:val="24"/>
          <w:szCs w:val="24"/>
        </w:rPr>
        <w:t>Cultivarea plantelor în Regiunea Vest deţin următoarele coordonate în anul 2011 şi anume:</w:t>
      </w:r>
    </w:p>
    <w:p w:rsidR="00E0304F" w:rsidRDefault="00133061" w:rsidP="00445724">
      <w:pPr>
        <w:pStyle w:val="BodyText"/>
        <w:numPr>
          <w:ilvl w:val="0"/>
          <w:numId w:val="38"/>
        </w:numPr>
        <w:spacing w:after="0"/>
        <w:jc w:val="both"/>
        <w:rPr>
          <w:rFonts w:ascii="Arial" w:hAnsi="Arial" w:cs="Arial"/>
          <w:sz w:val="24"/>
          <w:szCs w:val="24"/>
        </w:rPr>
      </w:pPr>
      <w:r w:rsidRPr="00E0304F">
        <w:rPr>
          <w:rFonts w:ascii="Arial" w:hAnsi="Arial" w:cs="Arial"/>
          <w:sz w:val="24"/>
          <w:szCs w:val="24"/>
        </w:rPr>
        <w:t xml:space="preserve">locul IV la producţia de </w:t>
      </w:r>
      <w:r w:rsidRPr="00E0304F">
        <w:rPr>
          <w:rFonts w:ascii="Arial" w:hAnsi="Arial" w:cs="Arial"/>
          <w:i/>
          <w:sz w:val="24"/>
          <w:szCs w:val="24"/>
        </w:rPr>
        <w:t xml:space="preserve">cereale </w:t>
      </w:r>
      <w:r w:rsidRPr="00E0304F">
        <w:rPr>
          <w:rFonts w:ascii="Arial" w:hAnsi="Arial" w:cs="Arial"/>
          <w:sz w:val="24"/>
          <w:szCs w:val="24"/>
        </w:rPr>
        <w:t>cu o producţie superioară anului 2005 şi cu productivitate</w:t>
      </w:r>
      <w:r w:rsidRPr="00E0304F">
        <w:rPr>
          <w:rFonts w:ascii="Arial" w:hAnsi="Arial" w:cs="Arial"/>
          <w:spacing w:val="-19"/>
          <w:sz w:val="24"/>
          <w:szCs w:val="24"/>
        </w:rPr>
        <w:t xml:space="preserve"> </w:t>
      </w:r>
      <w:r w:rsidRPr="00E0304F">
        <w:rPr>
          <w:rFonts w:ascii="Arial" w:hAnsi="Arial" w:cs="Arial"/>
          <w:sz w:val="24"/>
          <w:szCs w:val="24"/>
        </w:rPr>
        <w:t>mai</w:t>
      </w:r>
      <w:r w:rsidRPr="00E0304F">
        <w:rPr>
          <w:rFonts w:ascii="Arial" w:hAnsi="Arial" w:cs="Arial"/>
          <w:spacing w:val="-20"/>
          <w:sz w:val="24"/>
          <w:szCs w:val="24"/>
        </w:rPr>
        <w:t xml:space="preserve"> </w:t>
      </w:r>
      <w:r w:rsidRPr="00E0304F">
        <w:rPr>
          <w:rFonts w:ascii="Arial" w:hAnsi="Arial" w:cs="Arial"/>
          <w:sz w:val="24"/>
          <w:szCs w:val="24"/>
        </w:rPr>
        <w:t>mare</w:t>
      </w:r>
      <w:r w:rsidRPr="00E0304F">
        <w:rPr>
          <w:rFonts w:ascii="Arial" w:hAnsi="Arial" w:cs="Arial"/>
          <w:spacing w:val="-20"/>
          <w:sz w:val="24"/>
          <w:szCs w:val="24"/>
        </w:rPr>
        <w:t xml:space="preserve"> </w:t>
      </w:r>
      <w:r w:rsidRPr="00E0304F">
        <w:rPr>
          <w:rFonts w:ascii="Arial" w:hAnsi="Arial" w:cs="Arial"/>
          <w:sz w:val="24"/>
          <w:szCs w:val="24"/>
        </w:rPr>
        <w:t>decât</w:t>
      </w:r>
      <w:r w:rsidRPr="00E0304F">
        <w:rPr>
          <w:rFonts w:ascii="Arial" w:hAnsi="Arial" w:cs="Arial"/>
          <w:spacing w:val="-17"/>
          <w:sz w:val="24"/>
          <w:szCs w:val="24"/>
        </w:rPr>
        <w:t xml:space="preserve"> </w:t>
      </w:r>
      <w:r w:rsidRPr="00E0304F">
        <w:rPr>
          <w:rFonts w:ascii="Arial" w:hAnsi="Arial" w:cs="Arial"/>
          <w:sz w:val="24"/>
          <w:szCs w:val="24"/>
        </w:rPr>
        <w:t>media</w:t>
      </w:r>
      <w:r w:rsidRPr="00E0304F">
        <w:rPr>
          <w:rFonts w:ascii="Arial" w:hAnsi="Arial" w:cs="Arial"/>
          <w:spacing w:val="-19"/>
          <w:sz w:val="24"/>
          <w:szCs w:val="24"/>
        </w:rPr>
        <w:t xml:space="preserve"> </w:t>
      </w:r>
      <w:r w:rsidRPr="00E0304F">
        <w:rPr>
          <w:rFonts w:ascii="Arial" w:hAnsi="Arial" w:cs="Arial"/>
          <w:sz w:val="24"/>
          <w:szCs w:val="24"/>
        </w:rPr>
        <w:t>naţională</w:t>
      </w:r>
      <w:r w:rsidRPr="00E0304F">
        <w:rPr>
          <w:rFonts w:ascii="Arial" w:hAnsi="Arial" w:cs="Arial"/>
          <w:spacing w:val="-19"/>
          <w:sz w:val="24"/>
          <w:szCs w:val="24"/>
        </w:rPr>
        <w:t xml:space="preserve"> </w:t>
      </w:r>
      <w:r w:rsidRPr="00E0304F">
        <w:rPr>
          <w:rFonts w:ascii="Arial" w:hAnsi="Arial" w:cs="Arial"/>
          <w:sz w:val="24"/>
          <w:szCs w:val="24"/>
        </w:rPr>
        <w:t>la</w:t>
      </w:r>
      <w:r w:rsidRPr="00E0304F">
        <w:rPr>
          <w:rFonts w:ascii="Arial" w:hAnsi="Arial" w:cs="Arial"/>
          <w:spacing w:val="-17"/>
          <w:sz w:val="24"/>
          <w:szCs w:val="24"/>
        </w:rPr>
        <w:t xml:space="preserve"> </w:t>
      </w:r>
      <w:r w:rsidRPr="00E0304F">
        <w:rPr>
          <w:rFonts w:ascii="Arial" w:hAnsi="Arial" w:cs="Arial"/>
          <w:sz w:val="24"/>
          <w:szCs w:val="24"/>
        </w:rPr>
        <w:t>grâu,</w:t>
      </w:r>
      <w:r w:rsidRPr="00E0304F">
        <w:rPr>
          <w:rFonts w:ascii="Arial" w:hAnsi="Arial" w:cs="Arial"/>
          <w:spacing w:val="-19"/>
          <w:sz w:val="24"/>
          <w:szCs w:val="24"/>
        </w:rPr>
        <w:t xml:space="preserve"> </w:t>
      </w:r>
      <w:r w:rsidRPr="00E0304F">
        <w:rPr>
          <w:rFonts w:ascii="Arial" w:hAnsi="Arial" w:cs="Arial"/>
          <w:sz w:val="24"/>
          <w:szCs w:val="24"/>
        </w:rPr>
        <w:t>ovăz,</w:t>
      </w:r>
      <w:r w:rsidRPr="00E0304F">
        <w:rPr>
          <w:rFonts w:ascii="Arial" w:hAnsi="Arial" w:cs="Arial"/>
          <w:spacing w:val="-14"/>
          <w:sz w:val="24"/>
          <w:szCs w:val="24"/>
        </w:rPr>
        <w:t xml:space="preserve"> </w:t>
      </w:r>
      <w:r w:rsidRPr="00E0304F">
        <w:rPr>
          <w:rFonts w:ascii="Arial" w:hAnsi="Arial" w:cs="Arial"/>
          <w:sz w:val="24"/>
          <w:szCs w:val="24"/>
        </w:rPr>
        <w:t>secara</w:t>
      </w:r>
      <w:r w:rsidRPr="00E0304F">
        <w:rPr>
          <w:rFonts w:ascii="Arial" w:hAnsi="Arial" w:cs="Arial"/>
          <w:spacing w:val="-16"/>
          <w:sz w:val="24"/>
          <w:szCs w:val="24"/>
        </w:rPr>
        <w:t xml:space="preserve"> </w:t>
      </w:r>
      <w:r w:rsidRPr="00E0304F">
        <w:rPr>
          <w:rFonts w:ascii="Arial" w:hAnsi="Arial" w:cs="Arial"/>
          <w:sz w:val="24"/>
          <w:szCs w:val="24"/>
        </w:rPr>
        <w:t>şi</w:t>
      </w:r>
      <w:r w:rsidRPr="00E0304F">
        <w:rPr>
          <w:rFonts w:ascii="Arial" w:hAnsi="Arial" w:cs="Arial"/>
          <w:spacing w:val="-17"/>
          <w:sz w:val="24"/>
          <w:szCs w:val="24"/>
        </w:rPr>
        <w:t xml:space="preserve"> </w:t>
      </w:r>
      <w:r w:rsidRPr="00E0304F">
        <w:rPr>
          <w:rFonts w:ascii="Arial" w:hAnsi="Arial" w:cs="Arial"/>
          <w:sz w:val="24"/>
          <w:szCs w:val="24"/>
        </w:rPr>
        <w:t>orzul</w:t>
      </w:r>
      <w:r w:rsidRPr="00E0304F">
        <w:rPr>
          <w:rFonts w:ascii="Arial" w:hAnsi="Arial" w:cs="Arial"/>
          <w:spacing w:val="-20"/>
          <w:sz w:val="24"/>
          <w:szCs w:val="24"/>
        </w:rPr>
        <w:t xml:space="preserve"> </w:t>
      </w:r>
      <w:r w:rsidRPr="00E0304F">
        <w:rPr>
          <w:rFonts w:ascii="Arial" w:hAnsi="Arial" w:cs="Arial"/>
          <w:sz w:val="24"/>
          <w:szCs w:val="24"/>
        </w:rPr>
        <w:t>şi</w:t>
      </w:r>
      <w:r w:rsidRPr="00E0304F">
        <w:rPr>
          <w:rFonts w:ascii="Arial" w:hAnsi="Arial" w:cs="Arial"/>
          <w:spacing w:val="-20"/>
          <w:sz w:val="24"/>
          <w:szCs w:val="24"/>
        </w:rPr>
        <w:t xml:space="preserve"> </w:t>
      </w:r>
      <w:r w:rsidRPr="00E0304F">
        <w:rPr>
          <w:rFonts w:ascii="Arial" w:hAnsi="Arial" w:cs="Arial"/>
          <w:sz w:val="24"/>
          <w:szCs w:val="24"/>
        </w:rPr>
        <w:t>orzoaica şi productivităţi ale porumbului apropiate de media</w:t>
      </w:r>
      <w:r w:rsidRPr="00E0304F">
        <w:rPr>
          <w:rFonts w:ascii="Arial" w:hAnsi="Arial" w:cs="Arial"/>
          <w:spacing w:val="-11"/>
          <w:sz w:val="24"/>
          <w:szCs w:val="24"/>
        </w:rPr>
        <w:t xml:space="preserve"> </w:t>
      </w:r>
      <w:r w:rsidRPr="00E0304F">
        <w:rPr>
          <w:rFonts w:ascii="Arial" w:hAnsi="Arial" w:cs="Arial"/>
          <w:sz w:val="24"/>
          <w:szCs w:val="24"/>
        </w:rPr>
        <w:t>naţională.</w:t>
      </w:r>
    </w:p>
    <w:p w:rsidR="00E0304F" w:rsidRDefault="00133061" w:rsidP="00445724">
      <w:pPr>
        <w:pStyle w:val="BodyText"/>
        <w:numPr>
          <w:ilvl w:val="0"/>
          <w:numId w:val="38"/>
        </w:numPr>
        <w:spacing w:after="0"/>
        <w:jc w:val="both"/>
        <w:rPr>
          <w:rFonts w:ascii="Arial" w:hAnsi="Arial" w:cs="Arial"/>
          <w:sz w:val="24"/>
          <w:szCs w:val="24"/>
        </w:rPr>
      </w:pPr>
      <w:r w:rsidRPr="00E0304F">
        <w:rPr>
          <w:rFonts w:ascii="Arial" w:hAnsi="Arial" w:cs="Arial"/>
          <w:sz w:val="24"/>
          <w:szCs w:val="24"/>
        </w:rPr>
        <w:lastRenderedPageBreak/>
        <w:t xml:space="preserve">locul IV la producţia de </w:t>
      </w:r>
      <w:r w:rsidRPr="00E0304F">
        <w:rPr>
          <w:rFonts w:ascii="Arial" w:hAnsi="Arial" w:cs="Arial"/>
          <w:i/>
          <w:sz w:val="24"/>
          <w:szCs w:val="24"/>
        </w:rPr>
        <w:t xml:space="preserve">cartofi </w:t>
      </w:r>
      <w:r w:rsidRPr="00E0304F">
        <w:rPr>
          <w:rFonts w:ascii="Arial" w:hAnsi="Arial" w:cs="Arial"/>
          <w:sz w:val="24"/>
          <w:szCs w:val="24"/>
        </w:rPr>
        <w:t>cu o producţie inferioară faţă de anul 2005 şi cu o productivitate sub media</w:t>
      </w:r>
      <w:r w:rsidRPr="00E0304F">
        <w:rPr>
          <w:rFonts w:ascii="Arial" w:hAnsi="Arial" w:cs="Arial"/>
          <w:spacing w:val="-7"/>
          <w:sz w:val="24"/>
          <w:szCs w:val="24"/>
        </w:rPr>
        <w:t xml:space="preserve"> </w:t>
      </w:r>
      <w:r w:rsidRPr="00E0304F">
        <w:rPr>
          <w:rFonts w:ascii="Arial" w:hAnsi="Arial" w:cs="Arial"/>
          <w:sz w:val="24"/>
          <w:szCs w:val="24"/>
        </w:rPr>
        <w:t>naţională.</w:t>
      </w:r>
    </w:p>
    <w:p w:rsidR="00E0304F" w:rsidRDefault="00E0304F" w:rsidP="00445724">
      <w:pPr>
        <w:pStyle w:val="BodyText"/>
        <w:numPr>
          <w:ilvl w:val="0"/>
          <w:numId w:val="38"/>
        </w:numPr>
        <w:spacing w:after="0"/>
        <w:jc w:val="both"/>
        <w:rPr>
          <w:rFonts w:ascii="Arial" w:hAnsi="Arial" w:cs="Arial"/>
          <w:sz w:val="24"/>
          <w:szCs w:val="24"/>
        </w:rPr>
      </w:pPr>
      <w:r w:rsidRPr="00E0304F">
        <w:rPr>
          <w:rFonts w:ascii="Arial" w:hAnsi="Arial" w:cs="Arial"/>
          <w:i/>
          <w:sz w:val="24"/>
          <w:szCs w:val="24"/>
        </w:rPr>
        <w:t xml:space="preserve">sfecla de zahăr </w:t>
      </w:r>
      <w:r w:rsidRPr="00E0304F">
        <w:rPr>
          <w:rFonts w:ascii="Arial" w:hAnsi="Arial" w:cs="Arial"/>
          <w:sz w:val="24"/>
          <w:szCs w:val="24"/>
        </w:rPr>
        <w:t>se cultivă doar în judeţele Arad (90%) Timiş (8,65%) şi Hunedoara (1,35%), dintre care judeţul Arad deţine cea mai mare productivitate pe ţară la sfecla de</w:t>
      </w:r>
      <w:r w:rsidRPr="00E0304F">
        <w:rPr>
          <w:rFonts w:ascii="Arial" w:hAnsi="Arial" w:cs="Arial"/>
          <w:spacing w:val="-2"/>
          <w:sz w:val="24"/>
          <w:szCs w:val="24"/>
        </w:rPr>
        <w:t xml:space="preserve"> </w:t>
      </w:r>
      <w:r w:rsidRPr="00E0304F">
        <w:rPr>
          <w:rFonts w:ascii="Arial" w:hAnsi="Arial" w:cs="Arial"/>
          <w:sz w:val="24"/>
          <w:szCs w:val="24"/>
        </w:rPr>
        <w:t>zahăr.</w:t>
      </w:r>
    </w:p>
    <w:p w:rsidR="00E0304F" w:rsidRDefault="00E0304F" w:rsidP="00445724">
      <w:pPr>
        <w:pStyle w:val="BodyText"/>
        <w:numPr>
          <w:ilvl w:val="0"/>
          <w:numId w:val="38"/>
        </w:numPr>
        <w:spacing w:after="0"/>
        <w:jc w:val="both"/>
        <w:rPr>
          <w:rFonts w:ascii="Arial" w:hAnsi="Arial" w:cs="Arial"/>
          <w:sz w:val="24"/>
          <w:szCs w:val="24"/>
        </w:rPr>
      </w:pPr>
      <w:r w:rsidRPr="00E0304F">
        <w:rPr>
          <w:rFonts w:ascii="Arial" w:hAnsi="Arial" w:cs="Arial"/>
          <w:sz w:val="24"/>
          <w:szCs w:val="24"/>
        </w:rPr>
        <w:t xml:space="preserve">Regiunea ocupă locul V la producţia de </w:t>
      </w:r>
      <w:r w:rsidRPr="00E0304F">
        <w:rPr>
          <w:rFonts w:ascii="Arial" w:hAnsi="Arial" w:cs="Arial"/>
          <w:i/>
          <w:sz w:val="24"/>
          <w:szCs w:val="24"/>
        </w:rPr>
        <w:t>floarea soarelui</w:t>
      </w:r>
      <w:r w:rsidRPr="00E0304F">
        <w:rPr>
          <w:rFonts w:ascii="Arial" w:hAnsi="Arial" w:cs="Arial"/>
          <w:sz w:val="24"/>
          <w:szCs w:val="24"/>
        </w:rPr>
        <w:t>, productivitatea aceasteia fiind peste media</w:t>
      </w:r>
      <w:r w:rsidRPr="00E0304F">
        <w:rPr>
          <w:rFonts w:ascii="Arial" w:hAnsi="Arial" w:cs="Arial"/>
          <w:spacing w:val="-5"/>
          <w:sz w:val="24"/>
          <w:szCs w:val="24"/>
        </w:rPr>
        <w:t xml:space="preserve"> </w:t>
      </w:r>
      <w:r w:rsidRPr="00E0304F">
        <w:rPr>
          <w:rFonts w:ascii="Arial" w:hAnsi="Arial" w:cs="Arial"/>
          <w:sz w:val="24"/>
          <w:szCs w:val="24"/>
        </w:rPr>
        <w:t>naţională.</w:t>
      </w:r>
    </w:p>
    <w:p w:rsidR="00E0304F" w:rsidRDefault="00E0304F" w:rsidP="00445724">
      <w:pPr>
        <w:pStyle w:val="BodyText"/>
        <w:numPr>
          <w:ilvl w:val="0"/>
          <w:numId w:val="38"/>
        </w:numPr>
        <w:spacing w:after="0"/>
        <w:jc w:val="both"/>
        <w:rPr>
          <w:rFonts w:ascii="Arial" w:hAnsi="Arial" w:cs="Arial"/>
          <w:sz w:val="24"/>
          <w:szCs w:val="24"/>
        </w:rPr>
      </w:pPr>
      <w:r w:rsidRPr="00E0304F">
        <w:rPr>
          <w:rFonts w:ascii="Arial" w:hAnsi="Arial" w:cs="Arial"/>
          <w:sz w:val="24"/>
          <w:szCs w:val="24"/>
        </w:rPr>
        <w:t xml:space="preserve">producţia de </w:t>
      </w:r>
      <w:r w:rsidRPr="00E0304F">
        <w:rPr>
          <w:rFonts w:ascii="Arial" w:hAnsi="Arial" w:cs="Arial"/>
          <w:i/>
          <w:sz w:val="24"/>
          <w:szCs w:val="24"/>
        </w:rPr>
        <w:t xml:space="preserve">legume </w:t>
      </w:r>
      <w:r w:rsidRPr="00E0304F">
        <w:rPr>
          <w:rFonts w:ascii="Arial" w:hAnsi="Arial" w:cs="Arial"/>
          <w:sz w:val="24"/>
          <w:szCs w:val="24"/>
        </w:rPr>
        <w:t>deţine locul V în comparaţie cu regiunile de</w:t>
      </w:r>
      <w:r w:rsidRPr="00E0304F">
        <w:rPr>
          <w:rFonts w:ascii="Arial" w:hAnsi="Arial" w:cs="Arial"/>
          <w:spacing w:val="-18"/>
          <w:sz w:val="24"/>
          <w:szCs w:val="24"/>
        </w:rPr>
        <w:t xml:space="preserve"> </w:t>
      </w:r>
      <w:r w:rsidRPr="00E0304F">
        <w:rPr>
          <w:rFonts w:ascii="Arial" w:hAnsi="Arial" w:cs="Arial"/>
          <w:sz w:val="24"/>
          <w:szCs w:val="24"/>
        </w:rPr>
        <w:t>dezvoltare</w:t>
      </w:r>
    </w:p>
    <w:p w:rsidR="00E0304F" w:rsidRDefault="00E0304F" w:rsidP="00445724">
      <w:pPr>
        <w:pStyle w:val="BodyText"/>
        <w:numPr>
          <w:ilvl w:val="0"/>
          <w:numId w:val="38"/>
        </w:numPr>
        <w:spacing w:after="0"/>
        <w:jc w:val="both"/>
        <w:rPr>
          <w:rFonts w:ascii="Arial" w:hAnsi="Arial" w:cs="Arial"/>
          <w:sz w:val="24"/>
          <w:szCs w:val="24"/>
        </w:rPr>
      </w:pPr>
      <w:r w:rsidRPr="00E0304F">
        <w:rPr>
          <w:rFonts w:ascii="Arial" w:hAnsi="Arial" w:cs="Arial"/>
          <w:i/>
          <w:sz w:val="24"/>
          <w:szCs w:val="24"/>
        </w:rPr>
        <w:t xml:space="preserve">viţa de vie </w:t>
      </w:r>
      <w:r w:rsidRPr="00E0304F">
        <w:rPr>
          <w:rFonts w:ascii="Arial" w:hAnsi="Arial" w:cs="Arial"/>
          <w:sz w:val="24"/>
          <w:szCs w:val="24"/>
        </w:rPr>
        <w:t xml:space="preserve">este o cultură cu tradiţie în special în judeţele Timiş şi Arad şi deţine locul V pe ţară la producţia de </w:t>
      </w:r>
      <w:r w:rsidRPr="00E0304F">
        <w:rPr>
          <w:rFonts w:ascii="Arial" w:hAnsi="Arial" w:cs="Arial"/>
          <w:i/>
          <w:sz w:val="24"/>
          <w:szCs w:val="24"/>
        </w:rPr>
        <w:t xml:space="preserve">struguri </w:t>
      </w:r>
      <w:r w:rsidRPr="00E0304F">
        <w:rPr>
          <w:rFonts w:ascii="Arial" w:hAnsi="Arial" w:cs="Arial"/>
          <w:sz w:val="24"/>
          <w:szCs w:val="24"/>
        </w:rPr>
        <w:t>şi este uşor sub valoarea productivităţii naţionale. Suprafaţa viilor pe rod este în Regiunea Vest de 8.400</w:t>
      </w:r>
      <w:r w:rsidRPr="00E0304F">
        <w:rPr>
          <w:rFonts w:ascii="Arial" w:hAnsi="Arial" w:cs="Arial"/>
          <w:spacing w:val="-12"/>
          <w:sz w:val="24"/>
          <w:szCs w:val="24"/>
        </w:rPr>
        <w:t xml:space="preserve"> </w:t>
      </w:r>
      <w:r w:rsidRPr="00E0304F">
        <w:rPr>
          <w:rFonts w:ascii="Arial" w:hAnsi="Arial" w:cs="Arial"/>
          <w:sz w:val="24"/>
          <w:szCs w:val="24"/>
        </w:rPr>
        <w:t>ha</w:t>
      </w:r>
    </w:p>
    <w:p w:rsidR="0081136A" w:rsidRPr="00872CA8" w:rsidRDefault="00E0304F" w:rsidP="00445724">
      <w:pPr>
        <w:pStyle w:val="BodyText"/>
        <w:numPr>
          <w:ilvl w:val="0"/>
          <w:numId w:val="38"/>
        </w:numPr>
        <w:spacing w:after="0"/>
        <w:jc w:val="both"/>
        <w:rPr>
          <w:rFonts w:ascii="Arial" w:hAnsi="Arial" w:cs="Arial"/>
          <w:sz w:val="24"/>
          <w:szCs w:val="24"/>
        </w:rPr>
      </w:pPr>
      <w:r w:rsidRPr="00E0304F">
        <w:rPr>
          <w:rFonts w:ascii="Arial" w:hAnsi="Arial" w:cs="Arial"/>
          <w:sz w:val="24"/>
          <w:szCs w:val="24"/>
        </w:rPr>
        <w:t xml:space="preserve">producţia de </w:t>
      </w:r>
      <w:r w:rsidRPr="00E0304F">
        <w:rPr>
          <w:rFonts w:ascii="Arial" w:hAnsi="Arial" w:cs="Arial"/>
          <w:i/>
          <w:sz w:val="24"/>
          <w:szCs w:val="24"/>
        </w:rPr>
        <w:t xml:space="preserve">fructe </w:t>
      </w:r>
      <w:r w:rsidRPr="00E0304F">
        <w:rPr>
          <w:rFonts w:ascii="Arial" w:hAnsi="Arial" w:cs="Arial"/>
          <w:sz w:val="24"/>
          <w:szCs w:val="24"/>
        </w:rPr>
        <w:t>în anul 2011 era de 126.877 tone, depăşind doar regiunea Bucureşti-Ilfov, dintre cele mai cultivate fiind prunele (56,5%) şi merele</w:t>
      </w:r>
      <w:r w:rsidRPr="00E0304F">
        <w:rPr>
          <w:rFonts w:ascii="Arial" w:hAnsi="Arial" w:cs="Arial"/>
          <w:spacing w:val="-23"/>
          <w:sz w:val="24"/>
          <w:szCs w:val="24"/>
        </w:rPr>
        <w:t xml:space="preserve"> </w:t>
      </w:r>
      <w:r w:rsidRPr="00E0304F">
        <w:rPr>
          <w:rFonts w:ascii="Arial" w:hAnsi="Arial" w:cs="Arial"/>
          <w:sz w:val="24"/>
          <w:szCs w:val="24"/>
        </w:rPr>
        <w:t>(29,8%).</w:t>
      </w:r>
      <w:bookmarkStart w:id="52" w:name="_Toc465489993"/>
      <w:bookmarkStart w:id="53" w:name="_Toc488066032"/>
    </w:p>
    <w:bookmarkEnd w:id="52"/>
    <w:bookmarkEnd w:id="53"/>
    <w:p w:rsidR="00214458" w:rsidRPr="00214458" w:rsidRDefault="00214458" w:rsidP="00214458"/>
    <w:p w:rsidR="00D00406" w:rsidRDefault="001A346C" w:rsidP="00360143">
      <w:pPr>
        <w:pStyle w:val="BodyText"/>
        <w:spacing w:after="0" w:line="240" w:lineRule="auto"/>
        <w:ind w:left="-90"/>
        <w:jc w:val="both"/>
        <w:rPr>
          <w:rFonts w:ascii="Arial" w:eastAsia="TimesNewRomanPSMT" w:hAnsi="Arial" w:cs="Arial"/>
          <w:i/>
          <w:iCs/>
          <w:sz w:val="24"/>
          <w:szCs w:val="24"/>
          <w:lang w:val="en-US"/>
        </w:rPr>
      </w:pPr>
      <w:bookmarkStart w:id="54" w:name="_Toc465489994"/>
      <w:bookmarkStart w:id="55" w:name="_Toc488066033"/>
      <w:r w:rsidRPr="00BE574E">
        <w:rPr>
          <w:rFonts w:ascii="Arial" w:hAnsi="Arial" w:cs="Arial"/>
          <w:i/>
          <w:sz w:val="24"/>
          <w:szCs w:val="24"/>
        </w:rPr>
        <w:t>4</w:t>
      </w:r>
      <w:r w:rsidR="00F2266B" w:rsidRPr="00BE574E">
        <w:rPr>
          <w:rFonts w:ascii="Arial" w:hAnsi="Arial" w:cs="Arial"/>
          <w:i/>
          <w:sz w:val="24"/>
          <w:szCs w:val="24"/>
        </w:rPr>
        <w:t>.3.5.Turismul</w:t>
      </w:r>
      <w:bookmarkEnd w:id="54"/>
      <w:bookmarkEnd w:id="55"/>
      <w:r w:rsidR="00D00406">
        <w:rPr>
          <w:rFonts w:ascii="Arial" w:hAnsi="Arial" w:cs="Arial"/>
          <w:b/>
          <w:sz w:val="24"/>
          <w:szCs w:val="24"/>
        </w:rPr>
        <w:t xml:space="preserve"> </w:t>
      </w:r>
      <w:r w:rsidR="00872CA8">
        <w:rPr>
          <w:rFonts w:ascii="Arial" w:hAnsi="Arial" w:cs="Arial"/>
          <w:b/>
          <w:sz w:val="24"/>
          <w:szCs w:val="24"/>
        </w:rPr>
        <w:t>(</w:t>
      </w:r>
      <w:r w:rsidR="00872CA8" w:rsidRPr="003F0F4E">
        <w:rPr>
          <w:rFonts w:ascii="Arial" w:eastAsia="TimesNewRomanPSMT" w:hAnsi="Arial" w:cs="Arial"/>
          <w:i/>
          <w:sz w:val="24"/>
          <w:szCs w:val="24"/>
          <w:lang w:val="en-US"/>
        </w:rPr>
        <w:t>informa</w:t>
      </w:r>
      <w:r w:rsidR="00872CA8" w:rsidRPr="003F0F4E">
        <w:rPr>
          <w:rFonts w:ascii="Arial" w:eastAsia="TimesNewRomanPSMT" w:hAnsi="Arial" w:cs="Arial"/>
          <w:i/>
          <w:sz w:val="24"/>
          <w:szCs w:val="24"/>
        </w:rPr>
        <w:t xml:space="preserve">ții preluate din </w:t>
      </w:r>
      <w:r w:rsidR="00872CA8" w:rsidRPr="003F0F4E">
        <w:rPr>
          <w:rFonts w:ascii="Arial" w:eastAsia="TimesNewRomanPSMT" w:hAnsi="Arial" w:cs="Arial"/>
          <w:i/>
          <w:iCs/>
          <w:sz w:val="24"/>
          <w:szCs w:val="24"/>
          <w:lang w:val="en-US"/>
        </w:rPr>
        <w:t xml:space="preserve">PDR Regiunea Vest 2014-2020, pag. </w:t>
      </w:r>
      <w:r w:rsidR="00872CA8">
        <w:rPr>
          <w:rFonts w:ascii="Arial" w:eastAsia="TimesNewRomanPSMT" w:hAnsi="Arial" w:cs="Arial"/>
          <w:i/>
          <w:iCs/>
          <w:sz w:val="24"/>
          <w:szCs w:val="24"/>
          <w:lang w:val="en-US"/>
        </w:rPr>
        <w:t>94-106</w:t>
      </w:r>
      <w:r w:rsidR="00872CA8" w:rsidRPr="003F0F4E">
        <w:rPr>
          <w:rFonts w:ascii="Arial" w:eastAsia="TimesNewRomanPSMT" w:hAnsi="Arial" w:cs="Arial"/>
          <w:i/>
          <w:iCs/>
          <w:sz w:val="24"/>
          <w:szCs w:val="24"/>
          <w:lang w:val="en-US"/>
        </w:rPr>
        <w:t>)</w:t>
      </w:r>
      <w:r w:rsidR="00872CA8">
        <w:rPr>
          <w:rFonts w:ascii="Arial" w:eastAsia="TimesNewRomanPSMT" w:hAnsi="Arial" w:cs="Arial"/>
          <w:i/>
          <w:iCs/>
          <w:sz w:val="24"/>
          <w:szCs w:val="24"/>
          <w:lang w:val="en-US"/>
        </w:rPr>
        <w:t>.</w:t>
      </w:r>
    </w:p>
    <w:p w:rsidR="00360143" w:rsidRPr="00360143" w:rsidRDefault="00360143" w:rsidP="00360143">
      <w:pPr>
        <w:pStyle w:val="BodyText"/>
        <w:spacing w:after="0" w:line="240" w:lineRule="auto"/>
        <w:ind w:left="-90"/>
        <w:jc w:val="both"/>
        <w:rPr>
          <w:rFonts w:ascii="Arial" w:eastAsia="TimesNewRomanPSMT" w:hAnsi="Arial" w:cs="Arial"/>
          <w:i/>
          <w:iCs/>
          <w:sz w:val="24"/>
          <w:szCs w:val="24"/>
          <w:lang w:val="en-US"/>
        </w:rPr>
      </w:pPr>
    </w:p>
    <w:p w:rsidR="00C27594" w:rsidRDefault="00D00406" w:rsidP="00C27594">
      <w:pPr>
        <w:spacing w:after="0" w:line="240" w:lineRule="auto"/>
        <w:jc w:val="both"/>
        <w:rPr>
          <w:rFonts w:ascii="Arial" w:hAnsi="Arial" w:cs="Arial"/>
          <w:sz w:val="24"/>
          <w:szCs w:val="24"/>
        </w:rPr>
      </w:pPr>
      <w:r w:rsidRPr="00D00406">
        <w:rPr>
          <w:rFonts w:ascii="Arial" w:hAnsi="Arial" w:cs="Arial"/>
          <w:sz w:val="24"/>
          <w:szCs w:val="24"/>
        </w:rPr>
        <w:t xml:space="preserve">Privind </w:t>
      </w:r>
      <w:r w:rsidRPr="00D00406">
        <w:rPr>
          <w:rFonts w:ascii="Arial" w:hAnsi="Arial" w:cs="Arial"/>
          <w:i/>
          <w:sz w:val="24"/>
          <w:szCs w:val="24"/>
        </w:rPr>
        <w:t>structurile de primire turistică cu funcţiuni de cazare turistică</w:t>
      </w:r>
      <w:r w:rsidRPr="00D00406">
        <w:rPr>
          <w:rFonts w:ascii="Arial" w:hAnsi="Arial" w:cs="Arial"/>
          <w:sz w:val="24"/>
          <w:szCs w:val="24"/>
        </w:rPr>
        <w:t xml:space="preserve">, se observă că la nivel naţional Regiunea Vest se situează pe </w:t>
      </w:r>
      <w:r w:rsidRPr="00D00406">
        <w:rPr>
          <w:rFonts w:ascii="Arial" w:hAnsi="Arial" w:cs="Arial"/>
          <w:i/>
          <w:sz w:val="24"/>
          <w:szCs w:val="24"/>
        </w:rPr>
        <w:t xml:space="preserve">locul 6 </w:t>
      </w:r>
      <w:r w:rsidRPr="00D00406">
        <w:rPr>
          <w:rFonts w:ascii="Arial" w:hAnsi="Arial" w:cs="Arial"/>
          <w:sz w:val="24"/>
          <w:szCs w:val="24"/>
        </w:rPr>
        <w:t>cu 513 unităţi de cazare, reprezentând 10.25% din totalul unităţilor de cazare. Dintre structurile de primire turistică cele mai răspândite sunt pensiunile turistice (32,9%), hotelurile şi motelurile (29,8%), pensiunile agroturistice (16,6%), vilele turistice şi bungalourile (9.9%) şi cabanele turistice (3,1%).</w:t>
      </w:r>
    </w:p>
    <w:p w:rsidR="00C27594" w:rsidRPr="00C27594" w:rsidRDefault="00C27594" w:rsidP="00C27594">
      <w:pPr>
        <w:spacing w:after="0" w:line="240" w:lineRule="auto"/>
        <w:jc w:val="both"/>
        <w:rPr>
          <w:rFonts w:ascii="Arial" w:hAnsi="Arial" w:cs="Arial"/>
          <w:sz w:val="24"/>
          <w:szCs w:val="24"/>
        </w:rPr>
      </w:pPr>
      <w:r w:rsidRPr="00C27594">
        <w:rPr>
          <w:rFonts w:ascii="Arial" w:hAnsi="Arial" w:cs="Arial"/>
          <w:sz w:val="24"/>
          <w:szCs w:val="24"/>
        </w:rPr>
        <w:t xml:space="preserve">În anul 2011, </w:t>
      </w:r>
      <w:r w:rsidRPr="00C27594">
        <w:rPr>
          <w:rFonts w:ascii="Arial" w:hAnsi="Arial" w:cs="Arial"/>
          <w:i/>
          <w:sz w:val="24"/>
          <w:szCs w:val="24"/>
        </w:rPr>
        <w:t xml:space="preserve">capacitatea de cazare </w:t>
      </w:r>
      <w:r w:rsidRPr="00C27594">
        <w:rPr>
          <w:rFonts w:ascii="Arial" w:hAnsi="Arial" w:cs="Arial"/>
          <w:sz w:val="24"/>
          <w:szCs w:val="24"/>
        </w:rPr>
        <w:t xml:space="preserve">a regiunii Vest deţinea </w:t>
      </w:r>
      <w:r w:rsidRPr="00C27594">
        <w:rPr>
          <w:rFonts w:ascii="Arial" w:hAnsi="Arial" w:cs="Arial"/>
          <w:i/>
          <w:sz w:val="24"/>
          <w:szCs w:val="24"/>
        </w:rPr>
        <w:t>23.671 locuri</w:t>
      </w:r>
      <w:r w:rsidRPr="00C27594">
        <w:rPr>
          <w:rFonts w:ascii="Arial" w:hAnsi="Arial" w:cs="Arial"/>
          <w:sz w:val="24"/>
          <w:szCs w:val="24"/>
        </w:rPr>
        <w:t>, plasându-se pe</w:t>
      </w:r>
      <w:r w:rsidRPr="00C27594">
        <w:rPr>
          <w:rFonts w:ascii="Arial" w:hAnsi="Arial" w:cs="Arial"/>
          <w:spacing w:val="-16"/>
          <w:sz w:val="24"/>
          <w:szCs w:val="24"/>
        </w:rPr>
        <w:t xml:space="preserve"> </w:t>
      </w:r>
      <w:r w:rsidRPr="00C27594">
        <w:rPr>
          <w:rFonts w:ascii="Arial" w:hAnsi="Arial" w:cs="Arial"/>
          <w:i/>
          <w:sz w:val="24"/>
          <w:szCs w:val="24"/>
        </w:rPr>
        <w:t>locul</w:t>
      </w:r>
      <w:r w:rsidRPr="00C27594">
        <w:rPr>
          <w:rFonts w:ascii="Arial" w:hAnsi="Arial" w:cs="Arial"/>
          <w:i/>
          <w:spacing w:val="-15"/>
          <w:sz w:val="24"/>
          <w:szCs w:val="24"/>
        </w:rPr>
        <w:t xml:space="preserve"> </w:t>
      </w:r>
      <w:r w:rsidRPr="00C27594">
        <w:rPr>
          <w:rFonts w:ascii="Arial" w:hAnsi="Arial" w:cs="Arial"/>
          <w:i/>
          <w:sz w:val="24"/>
          <w:szCs w:val="24"/>
        </w:rPr>
        <w:t>5</w:t>
      </w:r>
      <w:r w:rsidRPr="00C27594">
        <w:rPr>
          <w:rFonts w:ascii="Arial" w:hAnsi="Arial" w:cs="Arial"/>
          <w:i/>
          <w:spacing w:val="-15"/>
          <w:sz w:val="24"/>
          <w:szCs w:val="24"/>
        </w:rPr>
        <w:t xml:space="preserve"> </w:t>
      </w:r>
      <w:r w:rsidRPr="00C27594">
        <w:rPr>
          <w:rFonts w:ascii="Arial" w:hAnsi="Arial" w:cs="Arial"/>
          <w:sz w:val="24"/>
          <w:szCs w:val="24"/>
        </w:rPr>
        <w:t>dintre</w:t>
      </w:r>
      <w:r w:rsidRPr="00C27594">
        <w:rPr>
          <w:rFonts w:ascii="Arial" w:hAnsi="Arial" w:cs="Arial"/>
          <w:spacing w:val="-17"/>
          <w:sz w:val="24"/>
          <w:szCs w:val="24"/>
        </w:rPr>
        <w:t xml:space="preserve"> </w:t>
      </w:r>
      <w:r w:rsidRPr="00C27594">
        <w:rPr>
          <w:rFonts w:ascii="Arial" w:hAnsi="Arial" w:cs="Arial"/>
          <w:sz w:val="24"/>
          <w:szCs w:val="24"/>
        </w:rPr>
        <w:t>cele</w:t>
      </w:r>
      <w:r w:rsidRPr="00C27594">
        <w:rPr>
          <w:rFonts w:ascii="Arial" w:hAnsi="Arial" w:cs="Arial"/>
          <w:spacing w:val="-17"/>
          <w:sz w:val="24"/>
          <w:szCs w:val="24"/>
        </w:rPr>
        <w:t xml:space="preserve"> </w:t>
      </w:r>
      <w:r w:rsidRPr="00C27594">
        <w:rPr>
          <w:rFonts w:ascii="Arial" w:hAnsi="Arial" w:cs="Arial"/>
          <w:sz w:val="24"/>
          <w:szCs w:val="24"/>
        </w:rPr>
        <w:t>8</w:t>
      </w:r>
      <w:r w:rsidRPr="00C27594">
        <w:rPr>
          <w:rFonts w:ascii="Arial" w:hAnsi="Arial" w:cs="Arial"/>
          <w:spacing w:val="-13"/>
          <w:sz w:val="24"/>
          <w:szCs w:val="24"/>
        </w:rPr>
        <w:t xml:space="preserve"> </w:t>
      </w:r>
      <w:r w:rsidRPr="00C27594">
        <w:rPr>
          <w:rFonts w:ascii="Arial" w:hAnsi="Arial" w:cs="Arial"/>
          <w:sz w:val="24"/>
          <w:szCs w:val="24"/>
        </w:rPr>
        <w:t>regiuni</w:t>
      </w:r>
      <w:r w:rsidRPr="00C27594">
        <w:rPr>
          <w:rFonts w:ascii="Arial" w:hAnsi="Arial" w:cs="Arial"/>
          <w:spacing w:val="-16"/>
          <w:sz w:val="24"/>
          <w:szCs w:val="24"/>
        </w:rPr>
        <w:t xml:space="preserve"> </w:t>
      </w:r>
      <w:r w:rsidRPr="00C27594">
        <w:rPr>
          <w:rFonts w:ascii="Arial" w:hAnsi="Arial" w:cs="Arial"/>
          <w:sz w:val="24"/>
          <w:szCs w:val="24"/>
        </w:rPr>
        <w:t>ale</w:t>
      </w:r>
      <w:r w:rsidRPr="00C27594">
        <w:rPr>
          <w:rFonts w:ascii="Arial" w:hAnsi="Arial" w:cs="Arial"/>
          <w:spacing w:val="-17"/>
          <w:sz w:val="24"/>
          <w:szCs w:val="24"/>
        </w:rPr>
        <w:t xml:space="preserve"> </w:t>
      </w:r>
      <w:r w:rsidRPr="00C27594">
        <w:rPr>
          <w:rFonts w:ascii="Arial" w:hAnsi="Arial" w:cs="Arial"/>
          <w:sz w:val="24"/>
          <w:szCs w:val="24"/>
        </w:rPr>
        <w:t>României,</w:t>
      </w:r>
      <w:r w:rsidRPr="00C27594">
        <w:rPr>
          <w:rFonts w:ascii="Arial" w:hAnsi="Arial" w:cs="Arial"/>
          <w:spacing w:val="-13"/>
          <w:sz w:val="24"/>
          <w:szCs w:val="24"/>
        </w:rPr>
        <w:t xml:space="preserve"> </w:t>
      </w:r>
      <w:r w:rsidRPr="00C27594">
        <w:rPr>
          <w:rFonts w:ascii="Arial" w:hAnsi="Arial" w:cs="Arial"/>
          <w:sz w:val="24"/>
          <w:szCs w:val="24"/>
        </w:rPr>
        <w:t>cu</w:t>
      </w:r>
      <w:r w:rsidRPr="00C27594">
        <w:rPr>
          <w:rFonts w:ascii="Arial" w:hAnsi="Arial" w:cs="Arial"/>
          <w:spacing w:val="-15"/>
          <w:sz w:val="24"/>
          <w:szCs w:val="24"/>
        </w:rPr>
        <w:t xml:space="preserve"> </w:t>
      </w:r>
      <w:r w:rsidRPr="00C27594">
        <w:rPr>
          <w:rFonts w:ascii="Arial" w:hAnsi="Arial" w:cs="Arial"/>
          <w:sz w:val="24"/>
          <w:szCs w:val="24"/>
        </w:rPr>
        <w:t>8,5%</w:t>
      </w:r>
      <w:r w:rsidRPr="00C27594">
        <w:rPr>
          <w:rFonts w:ascii="Arial" w:hAnsi="Arial" w:cs="Arial"/>
          <w:spacing w:val="-15"/>
          <w:sz w:val="24"/>
          <w:szCs w:val="24"/>
        </w:rPr>
        <w:t xml:space="preserve"> </w:t>
      </w:r>
      <w:r w:rsidRPr="00C27594">
        <w:rPr>
          <w:rFonts w:ascii="Arial" w:hAnsi="Arial" w:cs="Arial"/>
          <w:sz w:val="24"/>
          <w:szCs w:val="24"/>
        </w:rPr>
        <w:t>din</w:t>
      </w:r>
      <w:r w:rsidRPr="00C27594">
        <w:rPr>
          <w:rFonts w:ascii="Arial" w:hAnsi="Arial" w:cs="Arial"/>
          <w:spacing w:val="-15"/>
          <w:sz w:val="24"/>
          <w:szCs w:val="24"/>
        </w:rPr>
        <w:t xml:space="preserve"> </w:t>
      </w:r>
      <w:r w:rsidRPr="00C27594">
        <w:rPr>
          <w:rFonts w:ascii="Arial" w:hAnsi="Arial" w:cs="Arial"/>
          <w:sz w:val="24"/>
          <w:szCs w:val="24"/>
        </w:rPr>
        <w:t>numărul</w:t>
      </w:r>
      <w:r w:rsidRPr="00C27594">
        <w:rPr>
          <w:rFonts w:ascii="Arial" w:hAnsi="Arial" w:cs="Arial"/>
          <w:spacing w:val="-16"/>
          <w:sz w:val="24"/>
          <w:szCs w:val="24"/>
        </w:rPr>
        <w:t xml:space="preserve"> </w:t>
      </w:r>
      <w:r w:rsidRPr="00C27594">
        <w:rPr>
          <w:rFonts w:ascii="Arial" w:hAnsi="Arial" w:cs="Arial"/>
          <w:sz w:val="24"/>
          <w:szCs w:val="24"/>
        </w:rPr>
        <w:t>total</w:t>
      </w:r>
      <w:r w:rsidRPr="00C27594">
        <w:rPr>
          <w:rFonts w:ascii="Arial" w:hAnsi="Arial" w:cs="Arial"/>
          <w:spacing w:val="-16"/>
          <w:sz w:val="24"/>
          <w:szCs w:val="24"/>
        </w:rPr>
        <w:t xml:space="preserve"> </w:t>
      </w:r>
      <w:r w:rsidRPr="00C27594">
        <w:rPr>
          <w:rFonts w:ascii="Arial" w:hAnsi="Arial" w:cs="Arial"/>
          <w:sz w:val="24"/>
          <w:szCs w:val="24"/>
        </w:rPr>
        <w:t>de</w:t>
      </w:r>
      <w:r w:rsidRPr="00C27594">
        <w:rPr>
          <w:rFonts w:ascii="Arial" w:hAnsi="Arial" w:cs="Arial"/>
          <w:spacing w:val="-16"/>
          <w:sz w:val="24"/>
          <w:szCs w:val="24"/>
        </w:rPr>
        <w:t xml:space="preserve"> </w:t>
      </w:r>
      <w:r w:rsidRPr="00C27594">
        <w:rPr>
          <w:rFonts w:ascii="Arial" w:hAnsi="Arial" w:cs="Arial"/>
          <w:sz w:val="24"/>
          <w:szCs w:val="24"/>
        </w:rPr>
        <w:t>paturi</w:t>
      </w:r>
      <w:r w:rsidRPr="00C27594">
        <w:rPr>
          <w:rFonts w:ascii="Arial" w:hAnsi="Arial" w:cs="Arial"/>
          <w:spacing w:val="-16"/>
          <w:sz w:val="24"/>
          <w:szCs w:val="24"/>
        </w:rPr>
        <w:t xml:space="preserve"> </w:t>
      </w:r>
      <w:r w:rsidRPr="00C27594">
        <w:rPr>
          <w:rFonts w:ascii="Arial" w:hAnsi="Arial" w:cs="Arial"/>
          <w:sz w:val="24"/>
          <w:szCs w:val="24"/>
        </w:rPr>
        <w:t>din</w:t>
      </w:r>
      <w:r w:rsidRPr="00C27594">
        <w:rPr>
          <w:rFonts w:ascii="Arial" w:hAnsi="Arial" w:cs="Arial"/>
          <w:spacing w:val="-15"/>
          <w:sz w:val="24"/>
          <w:szCs w:val="24"/>
        </w:rPr>
        <w:t xml:space="preserve"> </w:t>
      </w:r>
      <w:r w:rsidR="00360143">
        <w:rPr>
          <w:rFonts w:ascii="Arial" w:hAnsi="Arial" w:cs="Arial"/>
          <w:sz w:val="24"/>
          <w:szCs w:val="24"/>
        </w:rPr>
        <w:t>România</w:t>
      </w:r>
      <w:r w:rsidRPr="00C27594">
        <w:rPr>
          <w:rFonts w:ascii="Arial" w:hAnsi="Arial" w:cs="Arial"/>
          <w:sz w:val="24"/>
          <w:szCs w:val="24"/>
        </w:rPr>
        <w:t>. Regiunea Sud - Est, unde este situat litoralul Mării Negre, deţine cel mai mare procent al locurilor –</w:t>
      </w:r>
      <w:r w:rsidRPr="00C27594">
        <w:rPr>
          <w:rFonts w:ascii="Arial" w:hAnsi="Arial" w:cs="Arial"/>
          <w:spacing w:val="-6"/>
          <w:sz w:val="24"/>
          <w:szCs w:val="24"/>
        </w:rPr>
        <w:t xml:space="preserve"> </w:t>
      </w:r>
      <w:r w:rsidRPr="00C27594">
        <w:rPr>
          <w:rFonts w:ascii="Arial" w:hAnsi="Arial" w:cs="Arial"/>
          <w:sz w:val="24"/>
          <w:szCs w:val="24"/>
        </w:rPr>
        <w:t>34,3%.</w:t>
      </w:r>
    </w:p>
    <w:p w:rsidR="00C27594" w:rsidRPr="00603963" w:rsidRDefault="00C27594" w:rsidP="00D00406">
      <w:pPr>
        <w:spacing w:after="0" w:line="240" w:lineRule="auto"/>
        <w:jc w:val="both"/>
        <w:rPr>
          <w:rFonts w:ascii="Arial" w:hAnsi="Arial" w:cs="Arial"/>
          <w:sz w:val="24"/>
          <w:szCs w:val="24"/>
        </w:rPr>
      </w:pPr>
      <w:r w:rsidRPr="00603963">
        <w:rPr>
          <w:rFonts w:ascii="Arial" w:hAnsi="Arial" w:cs="Arial"/>
          <w:sz w:val="24"/>
          <w:szCs w:val="24"/>
        </w:rPr>
        <w:t>Având o populaţie în general mai redusă, regiunea este a 3-a din ţară în ceea ce privește</w:t>
      </w:r>
      <w:r w:rsidRPr="00603963">
        <w:rPr>
          <w:rFonts w:ascii="Arial" w:hAnsi="Arial" w:cs="Arial"/>
          <w:spacing w:val="-13"/>
          <w:sz w:val="24"/>
          <w:szCs w:val="24"/>
        </w:rPr>
        <w:t xml:space="preserve"> </w:t>
      </w:r>
      <w:r w:rsidRPr="00603963">
        <w:rPr>
          <w:rFonts w:ascii="Arial" w:hAnsi="Arial" w:cs="Arial"/>
          <w:sz w:val="24"/>
          <w:szCs w:val="24"/>
        </w:rPr>
        <w:t>numărul</w:t>
      </w:r>
      <w:r w:rsidRPr="00603963">
        <w:rPr>
          <w:rFonts w:ascii="Arial" w:hAnsi="Arial" w:cs="Arial"/>
          <w:spacing w:val="-13"/>
          <w:sz w:val="24"/>
          <w:szCs w:val="24"/>
        </w:rPr>
        <w:t xml:space="preserve"> </w:t>
      </w:r>
      <w:r w:rsidRPr="00603963">
        <w:rPr>
          <w:rFonts w:ascii="Arial" w:hAnsi="Arial" w:cs="Arial"/>
          <w:sz w:val="24"/>
          <w:szCs w:val="24"/>
        </w:rPr>
        <w:t>locurilor</w:t>
      </w:r>
      <w:r w:rsidRPr="00603963">
        <w:rPr>
          <w:rFonts w:ascii="Arial" w:hAnsi="Arial" w:cs="Arial"/>
          <w:spacing w:val="-11"/>
          <w:sz w:val="24"/>
          <w:szCs w:val="24"/>
        </w:rPr>
        <w:t xml:space="preserve"> </w:t>
      </w:r>
      <w:r w:rsidRPr="00603963">
        <w:rPr>
          <w:rFonts w:ascii="Arial" w:hAnsi="Arial" w:cs="Arial"/>
          <w:sz w:val="24"/>
          <w:szCs w:val="24"/>
        </w:rPr>
        <w:t>de</w:t>
      </w:r>
      <w:r w:rsidRPr="00603963">
        <w:rPr>
          <w:rFonts w:ascii="Arial" w:hAnsi="Arial" w:cs="Arial"/>
          <w:spacing w:val="-13"/>
          <w:sz w:val="24"/>
          <w:szCs w:val="24"/>
        </w:rPr>
        <w:t xml:space="preserve"> </w:t>
      </w:r>
      <w:r w:rsidRPr="00603963">
        <w:rPr>
          <w:rFonts w:ascii="Arial" w:hAnsi="Arial" w:cs="Arial"/>
          <w:sz w:val="24"/>
          <w:szCs w:val="24"/>
        </w:rPr>
        <w:t>cazare</w:t>
      </w:r>
      <w:r w:rsidRPr="00603963">
        <w:rPr>
          <w:rFonts w:ascii="Arial" w:hAnsi="Arial" w:cs="Arial"/>
          <w:spacing w:val="-13"/>
          <w:sz w:val="24"/>
          <w:szCs w:val="24"/>
        </w:rPr>
        <w:t xml:space="preserve"> </w:t>
      </w:r>
      <w:r w:rsidRPr="00603963">
        <w:rPr>
          <w:rFonts w:ascii="Arial" w:hAnsi="Arial" w:cs="Arial"/>
          <w:sz w:val="24"/>
          <w:szCs w:val="24"/>
        </w:rPr>
        <w:t>la</w:t>
      </w:r>
      <w:r w:rsidRPr="00603963">
        <w:rPr>
          <w:rFonts w:ascii="Arial" w:hAnsi="Arial" w:cs="Arial"/>
          <w:spacing w:val="-12"/>
          <w:sz w:val="24"/>
          <w:szCs w:val="24"/>
        </w:rPr>
        <w:t xml:space="preserve"> </w:t>
      </w:r>
      <w:r w:rsidRPr="00603963">
        <w:rPr>
          <w:rFonts w:ascii="Arial" w:hAnsi="Arial" w:cs="Arial"/>
          <w:sz w:val="24"/>
          <w:szCs w:val="24"/>
        </w:rPr>
        <w:t>100</w:t>
      </w:r>
      <w:r w:rsidRPr="00603963">
        <w:rPr>
          <w:rFonts w:ascii="Arial" w:hAnsi="Arial" w:cs="Arial"/>
          <w:spacing w:val="-12"/>
          <w:sz w:val="24"/>
          <w:szCs w:val="24"/>
        </w:rPr>
        <w:t xml:space="preserve"> </w:t>
      </w:r>
      <w:r w:rsidRPr="00603963">
        <w:rPr>
          <w:rFonts w:ascii="Arial" w:hAnsi="Arial" w:cs="Arial"/>
          <w:sz w:val="24"/>
          <w:szCs w:val="24"/>
        </w:rPr>
        <w:t>de</w:t>
      </w:r>
      <w:r w:rsidRPr="00603963">
        <w:rPr>
          <w:rFonts w:ascii="Arial" w:hAnsi="Arial" w:cs="Arial"/>
          <w:spacing w:val="-13"/>
          <w:sz w:val="24"/>
          <w:szCs w:val="24"/>
        </w:rPr>
        <w:t xml:space="preserve"> </w:t>
      </w:r>
      <w:r w:rsidRPr="00603963">
        <w:rPr>
          <w:rFonts w:ascii="Arial" w:hAnsi="Arial" w:cs="Arial"/>
          <w:sz w:val="24"/>
          <w:szCs w:val="24"/>
        </w:rPr>
        <w:t>locuitori. În regiune, hotelurile alcătuiau în anul 2011</w:t>
      </w:r>
      <w:r w:rsidR="00360143">
        <w:rPr>
          <w:rFonts w:ascii="Arial" w:hAnsi="Arial" w:cs="Arial"/>
          <w:sz w:val="24"/>
          <w:szCs w:val="24"/>
        </w:rPr>
        <w:t>,</w:t>
      </w:r>
      <w:r w:rsidRPr="00603963">
        <w:rPr>
          <w:rFonts w:ascii="Arial" w:hAnsi="Arial" w:cs="Arial"/>
          <w:sz w:val="24"/>
          <w:szCs w:val="24"/>
        </w:rPr>
        <w:t xml:space="preserve"> 57,4% (13.584) din total locuri de cazare.</w:t>
      </w:r>
    </w:p>
    <w:p w:rsidR="000866EF" w:rsidRPr="00603963" w:rsidRDefault="000866EF" w:rsidP="00D00406">
      <w:pPr>
        <w:spacing w:after="0" w:line="240" w:lineRule="auto"/>
        <w:jc w:val="both"/>
        <w:rPr>
          <w:rFonts w:ascii="Arial" w:hAnsi="Arial" w:cs="Arial"/>
          <w:sz w:val="24"/>
          <w:szCs w:val="24"/>
        </w:rPr>
      </w:pPr>
      <w:r w:rsidRPr="00603963">
        <w:rPr>
          <w:rFonts w:ascii="Arial" w:hAnsi="Arial" w:cs="Arial"/>
          <w:sz w:val="24"/>
          <w:szCs w:val="24"/>
        </w:rPr>
        <w:t>În</w:t>
      </w:r>
      <w:r w:rsidRPr="00603963">
        <w:rPr>
          <w:rFonts w:ascii="Arial" w:hAnsi="Arial" w:cs="Arial"/>
          <w:spacing w:val="-14"/>
          <w:sz w:val="24"/>
          <w:szCs w:val="24"/>
        </w:rPr>
        <w:t xml:space="preserve"> </w:t>
      </w:r>
      <w:r w:rsidRPr="00603963">
        <w:rPr>
          <w:rFonts w:ascii="Arial" w:hAnsi="Arial" w:cs="Arial"/>
          <w:sz w:val="24"/>
          <w:szCs w:val="24"/>
        </w:rPr>
        <w:t>regiune</w:t>
      </w:r>
      <w:r w:rsidRPr="00603963">
        <w:rPr>
          <w:rFonts w:ascii="Arial" w:hAnsi="Arial" w:cs="Arial"/>
          <w:spacing w:val="-15"/>
          <w:sz w:val="24"/>
          <w:szCs w:val="24"/>
        </w:rPr>
        <w:t xml:space="preserve"> </w:t>
      </w:r>
      <w:r w:rsidRPr="00603963">
        <w:rPr>
          <w:rFonts w:ascii="Arial" w:hAnsi="Arial" w:cs="Arial"/>
          <w:sz w:val="24"/>
          <w:szCs w:val="24"/>
        </w:rPr>
        <w:t>funcţionează</w:t>
      </w:r>
      <w:r w:rsidRPr="00603963">
        <w:rPr>
          <w:rFonts w:ascii="Arial" w:hAnsi="Arial" w:cs="Arial"/>
          <w:spacing w:val="-14"/>
          <w:sz w:val="24"/>
          <w:szCs w:val="24"/>
        </w:rPr>
        <w:t xml:space="preserve"> </w:t>
      </w:r>
      <w:r w:rsidRPr="00603963">
        <w:rPr>
          <w:rFonts w:ascii="Arial" w:hAnsi="Arial" w:cs="Arial"/>
          <w:sz w:val="24"/>
          <w:szCs w:val="24"/>
        </w:rPr>
        <w:t>2</w:t>
      </w:r>
      <w:r w:rsidRPr="00603963">
        <w:rPr>
          <w:rFonts w:ascii="Arial" w:hAnsi="Arial" w:cs="Arial"/>
          <w:spacing w:val="-14"/>
          <w:sz w:val="24"/>
          <w:szCs w:val="24"/>
        </w:rPr>
        <w:t xml:space="preserve"> </w:t>
      </w:r>
      <w:r w:rsidRPr="00603963">
        <w:rPr>
          <w:rFonts w:ascii="Arial" w:hAnsi="Arial" w:cs="Arial"/>
          <w:sz w:val="24"/>
          <w:szCs w:val="24"/>
        </w:rPr>
        <w:t>centre</w:t>
      </w:r>
      <w:r w:rsidRPr="00603963">
        <w:rPr>
          <w:rFonts w:ascii="Arial" w:hAnsi="Arial" w:cs="Arial"/>
          <w:spacing w:val="-15"/>
          <w:sz w:val="24"/>
          <w:szCs w:val="24"/>
        </w:rPr>
        <w:t xml:space="preserve"> </w:t>
      </w:r>
      <w:r w:rsidRPr="00603963">
        <w:rPr>
          <w:rFonts w:ascii="Arial" w:hAnsi="Arial" w:cs="Arial"/>
          <w:sz w:val="24"/>
          <w:szCs w:val="24"/>
        </w:rPr>
        <w:t>de</w:t>
      </w:r>
      <w:r w:rsidRPr="00603963">
        <w:rPr>
          <w:rFonts w:ascii="Arial" w:hAnsi="Arial" w:cs="Arial"/>
          <w:spacing w:val="-13"/>
          <w:sz w:val="24"/>
          <w:szCs w:val="24"/>
        </w:rPr>
        <w:t xml:space="preserve"> </w:t>
      </w:r>
      <w:r w:rsidRPr="00603963">
        <w:rPr>
          <w:rFonts w:ascii="Arial" w:hAnsi="Arial" w:cs="Arial"/>
          <w:sz w:val="24"/>
          <w:szCs w:val="24"/>
        </w:rPr>
        <w:t>informare</w:t>
      </w:r>
      <w:r w:rsidRPr="00603963">
        <w:rPr>
          <w:rFonts w:ascii="Arial" w:hAnsi="Arial" w:cs="Arial"/>
          <w:spacing w:val="-15"/>
          <w:sz w:val="24"/>
          <w:szCs w:val="24"/>
        </w:rPr>
        <w:t xml:space="preserve"> </w:t>
      </w:r>
      <w:r w:rsidRPr="00603963">
        <w:rPr>
          <w:rFonts w:ascii="Arial" w:hAnsi="Arial" w:cs="Arial"/>
          <w:sz w:val="24"/>
          <w:szCs w:val="24"/>
        </w:rPr>
        <w:t>turistică,</w:t>
      </w:r>
      <w:r w:rsidRPr="00603963">
        <w:rPr>
          <w:rFonts w:ascii="Arial" w:hAnsi="Arial" w:cs="Arial"/>
          <w:spacing w:val="-14"/>
          <w:sz w:val="24"/>
          <w:szCs w:val="24"/>
        </w:rPr>
        <w:t xml:space="preserve"> </w:t>
      </w:r>
      <w:r w:rsidRPr="00603963">
        <w:rPr>
          <w:rFonts w:ascii="Arial" w:hAnsi="Arial" w:cs="Arial"/>
          <w:sz w:val="24"/>
          <w:szCs w:val="24"/>
        </w:rPr>
        <w:t>la</w:t>
      </w:r>
      <w:r w:rsidRPr="00603963">
        <w:rPr>
          <w:rFonts w:ascii="Arial" w:hAnsi="Arial" w:cs="Arial"/>
          <w:spacing w:val="-15"/>
          <w:sz w:val="24"/>
          <w:szCs w:val="24"/>
        </w:rPr>
        <w:t xml:space="preserve"> </w:t>
      </w:r>
      <w:r w:rsidRPr="00603963">
        <w:rPr>
          <w:rFonts w:ascii="Arial" w:hAnsi="Arial" w:cs="Arial"/>
          <w:sz w:val="24"/>
          <w:szCs w:val="24"/>
        </w:rPr>
        <w:t>Arad</w:t>
      </w:r>
      <w:r w:rsidRPr="00603963">
        <w:rPr>
          <w:rFonts w:ascii="Arial" w:hAnsi="Arial" w:cs="Arial"/>
          <w:spacing w:val="-14"/>
          <w:sz w:val="24"/>
          <w:szCs w:val="24"/>
        </w:rPr>
        <w:t xml:space="preserve"> </w:t>
      </w:r>
      <w:r w:rsidRPr="00603963">
        <w:rPr>
          <w:rFonts w:ascii="Arial" w:hAnsi="Arial" w:cs="Arial"/>
          <w:sz w:val="24"/>
          <w:szCs w:val="24"/>
        </w:rPr>
        <w:t>şi</w:t>
      </w:r>
      <w:r w:rsidRPr="00603963">
        <w:rPr>
          <w:rFonts w:ascii="Arial" w:hAnsi="Arial" w:cs="Arial"/>
          <w:spacing w:val="-13"/>
          <w:sz w:val="24"/>
          <w:szCs w:val="24"/>
        </w:rPr>
        <w:t xml:space="preserve"> </w:t>
      </w:r>
      <w:r w:rsidRPr="00603963">
        <w:rPr>
          <w:rFonts w:ascii="Arial" w:hAnsi="Arial" w:cs="Arial"/>
          <w:sz w:val="24"/>
          <w:szCs w:val="24"/>
        </w:rPr>
        <w:t>la</w:t>
      </w:r>
      <w:r w:rsidRPr="00603963">
        <w:rPr>
          <w:rFonts w:ascii="Arial" w:hAnsi="Arial" w:cs="Arial"/>
          <w:spacing w:val="-15"/>
          <w:sz w:val="24"/>
          <w:szCs w:val="24"/>
        </w:rPr>
        <w:t xml:space="preserve"> </w:t>
      </w:r>
      <w:r w:rsidRPr="00603963">
        <w:rPr>
          <w:rFonts w:ascii="Arial" w:hAnsi="Arial" w:cs="Arial"/>
          <w:sz w:val="24"/>
          <w:szCs w:val="24"/>
        </w:rPr>
        <w:t>Timişoara,</w:t>
      </w:r>
      <w:r w:rsidRPr="00603963">
        <w:rPr>
          <w:rFonts w:ascii="Arial" w:hAnsi="Arial" w:cs="Arial"/>
          <w:spacing w:val="-14"/>
          <w:sz w:val="24"/>
          <w:szCs w:val="24"/>
        </w:rPr>
        <w:t xml:space="preserve"> </w:t>
      </w:r>
      <w:r w:rsidRPr="00603963">
        <w:rPr>
          <w:rFonts w:ascii="Arial" w:hAnsi="Arial" w:cs="Arial"/>
          <w:sz w:val="24"/>
          <w:szCs w:val="24"/>
        </w:rPr>
        <w:t>acestea având un rol important în a facilita informarea obiectivă şi completă a turiştilor precum şi rolul de a promova obiective şi destinaţiile turistice din cadrul</w:t>
      </w:r>
      <w:r w:rsidRPr="00603963">
        <w:rPr>
          <w:rFonts w:ascii="Arial" w:hAnsi="Arial" w:cs="Arial"/>
          <w:spacing w:val="-15"/>
          <w:sz w:val="24"/>
          <w:szCs w:val="24"/>
        </w:rPr>
        <w:t xml:space="preserve"> </w:t>
      </w:r>
      <w:r w:rsidRPr="00603963">
        <w:rPr>
          <w:rFonts w:ascii="Arial" w:hAnsi="Arial" w:cs="Arial"/>
          <w:sz w:val="24"/>
          <w:szCs w:val="24"/>
        </w:rPr>
        <w:t>regiunii.</w:t>
      </w:r>
    </w:p>
    <w:p w:rsidR="00603963" w:rsidRDefault="00603963" w:rsidP="00603963">
      <w:pPr>
        <w:spacing w:after="0" w:line="240" w:lineRule="auto"/>
        <w:jc w:val="both"/>
        <w:rPr>
          <w:rFonts w:ascii="Arial" w:hAnsi="Arial" w:cs="Arial"/>
          <w:sz w:val="24"/>
          <w:szCs w:val="24"/>
        </w:rPr>
      </w:pPr>
      <w:r w:rsidRPr="00603963">
        <w:rPr>
          <w:rFonts w:ascii="Arial" w:hAnsi="Arial" w:cs="Arial"/>
          <w:sz w:val="24"/>
          <w:szCs w:val="24"/>
        </w:rPr>
        <w:t xml:space="preserve">În anul 2011, </w:t>
      </w:r>
      <w:r w:rsidRPr="00603963">
        <w:rPr>
          <w:rFonts w:ascii="Arial" w:hAnsi="Arial" w:cs="Arial"/>
          <w:i/>
          <w:sz w:val="24"/>
          <w:szCs w:val="24"/>
        </w:rPr>
        <w:t xml:space="preserve">numărul de turişti sosiţi </w:t>
      </w:r>
      <w:r w:rsidRPr="00603963">
        <w:rPr>
          <w:rFonts w:ascii="Arial" w:hAnsi="Arial" w:cs="Arial"/>
          <w:sz w:val="24"/>
          <w:szCs w:val="24"/>
        </w:rPr>
        <w:t xml:space="preserve">în Regiunea Vest a fost de </w:t>
      </w:r>
      <w:r w:rsidRPr="00603963">
        <w:rPr>
          <w:rFonts w:ascii="Arial" w:hAnsi="Arial" w:cs="Arial"/>
          <w:i/>
          <w:sz w:val="24"/>
          <w:szCs w:val="24"/>
        </w:rPr>
        <w:t xml:space="preserve">639.657 </w:t>
      </w:r>
      <w:r w:rsidRPr="00603963">
        <w:rPr>
          <w:rFonts w:ascii="Arial" w:hAnsi="Arial" w:cs="Arial"/>
          <w:sz w:val="24"/>
          <w:szCs w:val="24"/>
        </w:rPr>
        <w:t>persoane, regiunea ocupând locul 6 la acest indicator, aceasta depăşind doar regiunea Sud-Muntenia şi Sud-Vest Oltenia ca şi număr de turişti sosiţi.</w:t>
      </w:r>
    </w:p>
    <w:p w:rsidR="00603963" w:rsidRDefault="00603963" w:rsidP="00603963">
      <w:pPr>
        <w:spacing w:after="0" w:line="240" w:lineRule="auto"/>
        <w:jc w:val="both"/>
        <w:rPr>
          <w:rFonts w:ascii="Arial" w:hAnsi="Arial" w:cs="Arial"/>
          <w:sz w:val="24"/>
          <w:szCs w:val="24"/>
        </w:rPr>
      </w:pPr>
      <w:r w:rsidRPr="00603963">
        <w:rPr>
          <w:rFonts w:ascii="Arial" w:hAnsi="Arial" w:cs="Arial"/>
          <w:sz w:val="24"/>
          <w:szCs w:val="24"/>
        </w:rPr>
        <w:t>Sub aspect teritorial, cele mai multe sosiri ale turiştilor în unităţi de cazare în anul 2011 au fost în Municipiul Timişoara (210.879) adică 81% din total sosiri în judeţul Timiş şi 33%</w:t>
      </w:r>
      <w:r w:rsidRPr="00603963">
        <w:rPr>
          <w:rFonts w:ascii="Arial" w:hAnsi="Arial" w:cs="Arial"/>
          <w:spacing w:val="-8"/>
          <w:sz w:val="24"/>
          <w:szCs w:val="24"/>
        </w:rPr>
        <w:t xml:space="preserve"> </w:t>
      </w:r>
      <w:r w:rsidRPr="00603963">
        <w:rPr>
          <w:rFonts w:ascii="Arial" w:hAnsi="Arial" w:cs="Arial"/>
          <w:sz w:val="24"/>
          <w:szCs w:val="24"/>
        </w:rPr>
        <w:t>total</w:t>
      </w:r>
      <w:r w:rsidRPr="00603963">
        <w:rPr>
          <w:rFonts w:ascii="Arial" w:hAnsi="Arial" w:cs="Arial"/>
          <w:spacing w:val="-8"/>
          <w:sz w:val="24"/>
          <w:szCs w:val="24"/>
        </w:rPr>
        <w:t xml:space="preserve"> </w:t>
      </w:r>
      <w:r w:rsidRPr="00603963">
        <w:rPr>
          <w:rFonts w:ascii="Arial" w:hAnsi="Arial" w:cs="Arial"/>
          <w:sz w:val="24"/>
          <w:szCs w:val="24"/>
        </w:rPr>
        <w:t>sosiri</w:t>
      </w:r>
      <w:r w:rsidRPr="00603963">
        <w:rPr>
          <w:rFonts w:ascii="Arial" w:hAnsi="Arial" w:cs="Arial"/>
          <w:spacing w:val="-6"/>
          <w:sz w:val="24"/>
          <w:szCs w:val="24"/>
        </w:rPr>
        <w:t xml:space="preserve"> </w:t>
      </w:r>
      <w:r w:rsidRPr="00603963">
        <w:rPr>
          <w:rFonts w:ascii="Arial" w:hAnsi="Arial" w:cs="Arial"/>
          <w:sz w:val="24"/>
          <w:szCs w:val="24"/>
        </w:rPr>
        <w:t>din</w:t>
      </w:r>
      <w:r w:rsidRPr="00603963">
        <w:rPr>
          <w:rFonts w:ascii="Arial" w:hAnsi="Arial" w:cs="Arial"/>
          <w:spacing w:val="-5"/>
          <w:sz w:val="24"/>
          <w:szCs w:val="24"/>
        </w:rPr>
        <w:t xml:space="preserve"> </w:t>
      </w:r>
      <w:r w:rsidRPr="00603963">
        <w:rPr>
          <w:rFonts w:ascii="Arial" w:hAnsi="Arial" w:cs="Arial"/>
          <w:sz w:val="24"/>
          <w:szCs w:val="24"/>
        </w:rPr>
        <w:t>regiunea</w:t>
      </w:r>
      <w:r w:rsidRPr="00603963">
        <w:rPr>
          <w:rFonts w:ascii="Arial" w:hAnsi="Arial" w:cs="Arial"/>
          <w:spacing w:val="-8"/>
          <w:sz w:val="24"/>
          <w:szCs w:val="24"/>
        </w:rPr>
        <w:t xml:space="preserve"> </w:t>
      </w:r>
      <w:r w:rsidRPr="00603963">
        <w:rPr>
          <w:rFonts w:ascii="Arial" w:hAnsi="Arial" w:cs="Arial"/>
          <w:sz w:val="24"/>
          <w:szCs w:val="24"/>
        </w:rPr>
        <w:t>Vest.</w:t>
      </w:r>
      <w:r w:rsidRPr="00603963">
        <w:rPr>
          <w:rFonts w:ascii="Arial" w:hAnsi="Arial" w:cs="Arial"/>
          <w:spacing w:val="-5"/>
          <w:sz w:val="24"/>
          <w:szCs w:val="24"/>
        </w:rPr>
        <w:t xml:space="preserve"> </w:t>
      </w:r>
      <w:r w:rsidRPr="00603963">
        <w:rPr>
          <w:rFonts w:ascii="Arial" w:hAnsi="Arial" w:cs="Arial"/>
          <w:sz w:val="24"/>
          <w:szCs w:val="24"/>
        </w:rPr>
        <w:t>Pe</w:t>
      </w:r>
      <w:r w:rsidRPr="00603963">
        <w:rPr>
          <w:rFonts w:ascii="Arial" w:hAnsi="Arial" w:cs="Arial"/>
          <w:spacing w:val="-9"/>
          <w:sz w:val="24"/>
          <w:szCs w:val="24"/>
        </w:rPr>
        <w:t xml:space="preserve"> </w:t>
      </w:r>
      <w:r w:rsidRPr="00603963">
        <w:rPr>
          <w:rFonts w:ascii="Arial" w:hAnsi="Arial" w:cs="Arial"/>
          <w:sz w:val="24"/>
          <w:szCs w:val="24"/>
        </w:rPr>
        <w:t>locul</w:t>
      </w:r>
      <w:r w:rsidRPr="00603963">
        <w:rPr>
          <w:rFonts w:ascii="Arial" w:hAnsi="Arial" w:cs="Arial"/>
          <w:spacing w:val="-7"/>
          <w:sz w:val="24"/>
          <w:szCs w:val="24"/>
        </w:rPr>
        <w:t xml:space="preserve"> </w:t>
      </w:r>
      <w:r w:rsidRPr="00603963">
        <w:rPr>
          <w:rFonts w:ascii="Arial" w:hAnsi="Arial" w:cs="Arial"/>
          <w:sz w:val="24"/>
          <w:szCs w:val="24"/>
        </w:rPr>
        <w:t>2,</w:t>
      </w:r>
      <w:r w:rsidRPr="00603963">
        <w:rPr>
          <w:rFonts w:ascii="Arial" w:hAnsi="Arial" w:cs="Arial"/>
          <w:spacing w:val="-7"/>
          <w:sz w:val="24"/>
          <w:szCs w:val="24"/>
        </w:rPr>
        <w:t xml:space="preserve"> </w:t>
      </w:r>
      <w:r w:rsidRPr="00603963">
        <w:rPr>
          <w:rFonts w:ascii="Arial" w:hAnsi="Arial" w:cs="Arial"/>
          <w:sz w:val="24"/>
          <w:szCs w:val="24"/>
        </w:rPr>
        <w:t>municipiul</w:t>
      </w:r>
      <w:r w:rsidRPr="00603963">
        <w:rPr>
          <w:rFonts w:ascii="Arial" w:hAnsi="Arial" w:cs="Arial"/>
          <w:spacing w:val="-6"/>
          <w:sz w:val="24"/>
          <w:szCs w:val="24"/>
        </w:rPr>
        <w:t xml:space="preserve"> </w:t>
      </w:r>
      <w:r w:rsidRPr="00603963">
        <w:rPr>
          <w:rFonts w:ascii="Arial" w:hAnsi="Arial" w:cs="Arial"/>
          <w:sz w:val="24"/>
          <w:szCs w:val="24"/>
        </w:rPr>
        <w:t>Arad</w:t>
      </w:r>
      <w:r w:rsidRPr="00603963">
        <w:rPr>
          <w:rFonts w:ascii="Arial" w:hAnsi="Arial" w:cs="Arial"/>
          <w:spacing w:val="-8"/>
          <w:sz w:val="24"/>
          <w:szCs w:val="24"/>
        </w:rPr>
        <w:t xml:space="preserve"> </w:t>
      </w:r>
      <w:r w:rsidRPr="00603963">
        <w:rPr>
          <w:rFonts w:ascii="Arial" w:hAnsi="Arial" w:cs="Arial"/>
          <w:sz w:val="24"/>
          <w:szCs w:val="24"/>
        </w:rPr>
        <w:t>a</w:t>
      </w:r>
      <w:r w:rsidRPr="00603963">
        <w:rPr>
          <w:rFonts w:ascii="Arial" w:hAnsi="Arial" w:cs="Arial"/>
          <w:spacing w:val="-8"/>
          <w:sz w:val="24"/>
          <w:szCs w:val="24"/>
        </w:rPr>
        <w:t xml:space="preserve"> </w:t>
      </w:r>
      <w:r w:rsidRPr="00603963">
        <w:rPr>
          <w:rFonts w:ascii="Arial" w:hAnsi="Arial" w:cs="Arial"/>
          <w:sz w:val="24"/>
          <w:szCs w:val="24"/>
        </w:rPr>
        <w:t>înregistrat</w:t>
      </w:r>
      <w:r w:rsidRPr="00603963">
        <w:rPr>
          <w:rFonts w:ascii="Arial" w:hAnsi="Arial" w:cs="Arial"/>
          <w:spacing w:val="-6"/>
          <w:sz w:val="24"/>
          <w:szCs w:val="24"/>
        </w:rPr>
        <w:t xml:space="preserve"> </w:t>
      </w:r>
      <w:r w:rsidRPr="00603963">
        <w:rPr>
          <w:rFonts w:ascii="Arial" w:hAnsi="Arial" w:cs="Arial"/>
          <w:sz w:val="24"/>
          <w:szCs w:val="24"/>
        </w:rPr>
        <w:t>în</w:t>
      </w:r>
      <w:r w:rsidRPr="00603963">
        <w:rPr>
          <w:rFonts w:ascii="Arial" w:hAnsi="Arial" w:cs="Arial"/>
          <w:spacing w:val="-8"/>
          <w:sz w:val="24"/>
          <w:szCs w:val="24"/>
        </w:rPr>
        <w:t xml:space="preserve"> </w:t>
      </w:r>
      <w:r w:rsidRPr="00603963">
        <w:rPr>
          <w:rFonts w:ascii="Arial" w:hAnsi="Arial" w:cs="Arial"/>
          <w:sz w:val="24"/>
          <w:szCs w:val="24"/>
        </w:rPr>
        <w:t>anul 2011 129.418 turişti sosiţi, adică 68% din total sosiţi judeţ şi 20% din total sosiţi</w:t>
      </w:r>
      <w:r w:rsidRPr="00603963">
        <w:rPr>
          <w:rFonts w:ascii="Arial" w:hAnsi="Arial" w:cs="Arial"/>
          <w:spacing w:val="-21"/>
          <w:sz w:val="24"/>
          <w:szCs w:val="24"/>
        </w:rPr>
        <w:t xml:space="preserve"> </w:t>
      </w:r>
      <w:r w:rsidRPr="00603963">
        <w:rPr>
          <w:rFonts w:ascii="Arial" w:hAnsi="Arial" w:cs="Arial"/>
          <w:sz w:val="24"/>
          <w:szCs w:val="24"/>
        </w:rPr>
        <w:t>regiune.</w:t>
      </w:r>
    </w:p>
    <w:p w:rsidR="0093612C" w:rsidRDefault="00603963" w:rsidP="0093612C">
      <w:pPr>
        <w:spacing w:after="0" w:line="240" w:lineRule="auto"/>
        <w:jc w:val="both"/>
        <w:rPr>
          <w:rFonts w:ascii="Arial" w:hAnsi="Arial" w:cs="Arial"/>
          <w:sz w:val="24"/>
          <w:szCs w:val="24"/>
        </w:rPr>
      </w:pPr>
      <w:r w:rsidRPr="00603963">
        <w:rPr>
          <w:rFonts w:ascii="Arial" w:hAnsi="Arial" w:cs="Arial"/>
          <w:sz w:val="24"/>
          <w:szCs w:val="24"/>
        </w:rPr>
        <w:t>Staţiunile de interes naţional din regiune deţin un mare potenţial de atragere a turiştilor, dintre acestea cea mai renumită - Băile Herculane a reuşit să atragă 60.008 turişti sosiţi,</w:t>
      </w:r>
      <w:r w:rsidRPr="00603963">
        <w:rPr>
          <w:rFonts w:ascii="Arial" w:hAnsi="Arial" w:cs="Arial"/>
          <w:spacing w:val="-12"/>
          <w:sz w:val="24"/>
          <w:szCs w:val="24"/>
        </w:rPr>
        <w:t xml:space="preserve"> </w:t>
      </w:r>
      <w:r w:rsidRPr="00603963">
        <w:rPr>
          <w:rFonts w:ascii="Arial" w:hAnsi="Arial" w:cs="Arial"/>
          <w:sz w:val="24"/>
          <w:szCs w:val="24"/>
        </w:rPr>
        <w:t>Moneasa</w:t>
      </w:r>
      <w:r w:rsidRPr="00603963">
        <w:rPr>
          <w:rFonts w:ascii="Arial" w:hAnsi="Arial" w:cs="Arial"/>
          <w:spacing w:val="-12"/>
          <w:sz w:val="24"/>
          <w:szCs w:val="24"/>
        </w:rPr>
        <w:t xml:space="preserve"> </w:t>
      </w:r>
      <w:r w:rsidRPr="00603963">
        <w:rPr>
          <w:rFonts w:ascii="Arial" w:hAnsi="Arial" w:cs="Arial"/>
          <w:sz w:val="24"/>
          <w:szCs w:val="24"/>
        </w:rPr>
        <w:t>(a</w:t>
      </w:r>
      <w:r w:rsidRPr="00603963">
        <w:rPr>
          <w:rFonts w:ascii="Arial" w:hAnsi="Arial" w:cs="Arial"/>
          <w:spacing w:val="-12"/>
          <w:sz w:val="24"/>
          <w:szCs w:val="24"/>
        </w:rPr>
        <w:t xml:space="preserve"> </w:t>
      </w:r>
      <w:r w:rsidRPr="00603963">
        <w:rPr>
          <w:rFonts w:ascii="Arial" w:hAnsi="Arial" w:cs="Arial"/>
          <w:sz w:val="24"/>
          <w:szCs w:val="24"/>
        </w:rPr>
        <w:t>doua</w:t>
      </w:r>
      <w:r w:rsidRPr="00603963">
        <w:rPr>
          <w:rFonts w:ascii="Arial" w:hAnsi="Arial" w:cs="Arial"/>
          <w:spacing w:val="-12"/>
          <w:sz w:val="24"/>
          <w:szCs w:val="24"/>
        </w:rPr>
        <w:t xml:space="preserve"> </w:t>
      </w:r>
      <w:r w:rsidRPr="00603963">
        <w:rPr>
          <w:rFonts w:ascii="Arial" w:hAnsi="Arial" w:cs="Arial"/>
          <w:sz w:val="24"/>
          <w:szCs w:val="24"/>
        </w:rPr>
        <w:t>destinaţie</w:t>
      </w:r>
      <w:r w:rsidRPr="00603963">
        <w:rPr>
          <w:rFonts w:ascii="Arial" w:hAnsi="Arial" w:cs="Arial"/>
          <w:spacing w:val="-13"/>
          <w:sz w:val="24"/>
          <w:szCs w:val="24"/>
        </w:rPr>
        <w:t xml:space="preserve"> </w:t>
      </w:r>
      <w:r w:rsidRPr="00603963">
        <w:rPr>
          <w:rFonts w:ascii="Arial" w:hAnsi="Arial" w:cs="Arial"/>
          <w:sz w:val="24"/>
          <w:szCs w:val="24"/>
        </w:rPr>
        <w:t>ca</w:t>
      </w:r>
      <w:r w:rsidRPr="00603963">
        <w:rPr>
          <w:rFonts w:ascii="Arial" w:hAnsi="Arial" w:cs="Arial"/>
          <w:spacing w:val="-10"/>
          <w:sz w:val="24"/>
          <w:szCs w:val="24"/>
        </w:rPr>
        <w:t xml:space="preserve"> </w:t>
      </w:r>
      <w:r w:rsidRPr="00603963">
        <w:rPr>
          <w:rFonts w:ascii="Arial" w:hAnsi="Arial" w:cs="Arial"/>
          <w:sz w:val="24"/>
          <w:szCs w:val="24"/>
        </w:rPr>
        <w:t>importanţă</w:t>
      </w:r>
      <w:r w:rsidRPr="00603963">
        <w:rPr>
          <w:rFonts w:ascii="Arial" w:hAnsi="Arial" w:cs="Arial"/>
          <w:spacing w:val="-12"/>
          <w:sz w:val="24"/>
          <w:szCs w:val="24"/>
        </w:rPr>
        <w:t xml:space="preserve"> </w:t>
      </w:r>
      <w:r w:rsidRPr="00603963">
        <w:rPr>
          <w:rFonts w:ascii="Arial" w:hAnsi="Arial" w:cs="Arial"/>
          <w:sz w:val="24"/>
          <w:szCs w:val="24"/>
        </w:rPr>
        <w:t>din</w:t>
      </w:r>
      <w:r w:rsidRPr="00603963">
        <w:rPr>
          <w:rFonts w:ascii="Arial" w:hAnsi="Arial" w:cs="Arial"/>
          <w:spacing w:val="-12"/>
          <w:sz w:val="24"/>
          <w:szCs w:val="24"/>
        </w:rPr>
        <w:t xml:space="preserve"> </w:t>
      </w:r>
      <w:r w:rsidRPr="00603963">
        <w:rPr>
          <w:rFonts w:ascii="Arial" w:hAnsi="Arial" w:cs="Arial"/>
          <w:sz w:val="24"/>
          <w:szCs w:val="24"/>
        </w:rPr>
        <w:t>judeţul</w:t>
      </w:r>
      <w:r w:rsidRPr="00603963">
        <w:rPr>
          <w:rFonts w:ascii="Arial" w:hAnsi="Arial" w:cs="Arial"/>
          <w:spacing w:val="-13"/>
          <w:sz w:val="24"/>
          <w:szCs w:val="24"/>
        </w:rPr>
        <w:t xml:space="preserve"> </w:t>
      </w:r>
      <w:r w:rsidRPr="00603963">
        <w:rPr>
          <w:rFonts w:ascii="Arial" w:hAnsi="Arial" w:cs="Arial"/>
          <w:sz w:val="24"/>
          <w:szCs w:val="24"/>
        </w:rPr>
        <w:t>Arad)</w:t>
      </w:r>
      <w:r w:rsidRPr="00603963">
        <w:rPr>
          <w:rFonts w:ascii="Arial" w:hAnsi="Arial" w:cs="Arial"/>
          <w:spacing w:val="-12"/>
          <w:sz w:val="24"/>
          <w:szCs w:val="24"/>
        </w:rPr>
        <w:t xml:space="preserve"> </w:t>
      </w:r>
      <w:r w:rsidRPr="00603963">
        <w:rPr>
          <w:rFonts w:ascii="Arial" w:hAnsi="Arial" w:cs="Arial"/>
          <w:sz w:val="24"/>
          <w:szCs w:val="24"/>
        </w:rPr>
        <w:t>a</w:t>
      </w:r>
      <w:r w:rsidRPr="00603963">
        <w:rPr>
          <w:rFonts w:ascii="Arial" w:hAnsi="Arial" w:cs="Arial"/>
          <w:spacing w:val="-12"/>
          <w:sz w:val="24"/>
          <w:szCs w:val="24"/>
        </w:rPr>
        <w:t xml:space="preserve"> </w:t>
      </w:r>
      <w:r w:rsidRPr="00603963">
        <w:rPr>
          <w:rFonts w:ascii="Arial" w:hAnsi="Arial" w:cs="Arial"/>
          <w:sz w:val="24"/>
          <w:szCs w:val="24"/>
        </w:rPr>
        <w:t>atras</w:t>
      </w:r>
      <w:r w:rsidRPr="00603963">
        <w:rPr>
          <w:rFonts w:ascii="Arial" w:hAnsi="Arial" w:cs="Arial"/>
          <w:spacing w:val="-13"/>
          <w:sz w:val="24"/>
          <w:szCs w:val="24"/>
        </w:rPr>
        <w:t xml:space="preserve"> </w:t>
      </w:r>
      <w:r w:rsidRPr="00603963">
        <w:rPr>
          <w:rFonts w:ascii="Arial" w:hAnsi="Arial" w:cs="Arial"/>
          <w:sz w:val="24"/>
          <w:szCs w:val="24"/>
        </w:rPr>
        <w:t>33.993</w:t>
      </w:r>
      <w:r w:rsidRPr="00603963">
        <w:rPr>
          <w:rFonts w:ascii="Arial" w:hAnsi="Arial" w:cs="Arial"/>
          <w:spacing w:val="-12"/>
          <w:sz w:val="24"/>
          <w:szCs w:val="24"/>
        </w:rPr>
        <w:t xml:space="preserve"> </w:t>
      </w:r>
      <w:r w:rsidRPr="00603963">
        <w:rPr>
          <w:rFonts w:ascii="Arial" w:hAnsi="Arial" w:cs="Arial"/>
          <w:sz w:val="24"/>
          <w:szCs w:val="24"/>
        </w:rPr>
        <w:t>turişti</w:t>
      </w:r>
      <w:r w:rsidRPr="00603963">
        <w:rPr>
          <w:rFonts w:ascii="Arial" w:hAnsi="Arial" w:cs="Arial"/>
          <w:spacing w:val="-12"/>
          <w:sz w:val="24"/>
          <w:szCs w:val="24"/>
        </w:rPr>
        <w:t xml:space="preserve"> </w:t>
      </w:r>
      <w:r w:rsidRPr="00603963">
        <w:rPr>
          <w:rFonts w:ascii="Arial" w:hAnsi="Arial" w:cs="Arial"/>
          <w:sz w:val="24"/>
          <w:szCs w:val="24"/>
        </w:rPr>
        <w:t>sosiţi în</w:t>
      </w:r>
      <w:r w:rsidRPr="00603963">
        <w:rPr>
          <w:rFonts w:ascii="Arial" w:hAnsi="Arial" w:cs="Arial"/>
          <w:spacing w:val="-12"/>
          <w:sz w:val="24"/>
          <w:szCs w:val="24"/>
        </w:rPr>
        <w:t xml:space="preserve"> </w:t>
      </w:r>
      <w:r w:rsidRPr="00603963">
        <w:rPr>
          <w:rFonts w:ascii="Arial" w:hAnsi="Arial" w:cs="Arial"/>
          <w:sz w:val="24"/>
          <w:szCs w:val="24"/>
        </w:rPr>
        <w:t>anul</w:t>
      </w:r>
      <w:r w:rsidRPr="00603963">
        <w:rPr>
          <w:rFonts w:ascii="Arial" w:hAnsi="Arial" w:cs="Arial"/>
          <w:spacing w:val="-13"/>
          <w:sz w:val="24"/>
          <w:szCs w:val="24"/>
        </w:rPr>
        <w:t xml:space="preserve"> </w:t>
      </w:r>
      <w:r w:rsidRPr="00603963">
        <w:rPr>
          <w:rFonts w:ascii="Arial" w:hAnsi="Arial" w:cs="Arial"/>
          <w:sz w:val="24"/>
          <w:szCs w:val="24"/>
        </w:rPr>
        <w:t>2011,</w:t>
      </w:r>
      <w:r w:rsidRPr="00603963">
        <w:rPr>
          <w:rFonts w:ascii="Arial" w:hAnsi="Arial" w:cs="Arial"/>
          <w:spacing w:val="-11"/>
          <w:sz w:val="24"/>
          <w:szCs w:val="24"/>
        </w:rPr>
        <w:t xml:space="preserve"> </w:t>
      </w:r>
      <w:r w:rsidRPr="00603963">
        <w:rPr>
          <w:rFonts w:ascii="Arial" w:hAnsi="Arial" w:cs="Arial"/>
          <w:sz w:val="24"/>
          <w:szCs w:val="24"/>
        </w:rPr>
        <w:t>Geoagiu-Băi</w:t>
      </w:r>
      <w:r w:rsidRPr="00603963">
        <w:rPr>
          <w:rFonts w:ascii="Arial" w:hAnsi="Arial" w:cs="Arial"/>
          <w:spacing w:val="-12"/>
          <w:sz w:val="24"/>
          <w:szCs w:val="24"/>
        </w:rPr>
        <w:t xml:space="preserve"> </w:t>
      </w:r>
      <w:r w:rsidRPr="00603963">
        <w:rPr>
          <w:rFonts w:ascii="Arial" w:hAnsi="Arial" w:cs="Arial"/>
          <w:sz w:val="24"/>
          <w:szCs w:val="24"/>
        </w:rPr>
        <w:t>–</w:t>
      </w:r>
      <w:r w:rsidRPr="00603963">
        <w:rPr>
          <w:rFonts w:ascii="Arial" w:hAnsi="Arial" w:cs="Arial"/>
          <w:spacing w:val="-10"/>
          <w:sz w:val="24"/>
          <w:szCs w:val="24"/>
        </w:rPr>
        <w:t xml:space="preserve"> </w:t>
      </w:r>
      <w:r w:rsidRPr="00603963">
        <w:rPr>
          <w:rFonts w:ascii="Arial" w:hAnsi="Arial" w:cs="Arial"/>
          <w:sz w:val="24"/>
          <w:szCs w:val="24"/>
        </w:rPr>
        <w:t>24.934</w:t>
      </w:r>
      <w:r w:rsidRPr="00603963">
        <w:rPr>
          <w:rFonts w:ascii="Arial" w:hAnsi="Arial" w:cs="Arial"/>
          <w:spacing w:val="-12"/>
          <w:sz w:val="24"/>
          <w:szCs w:val="24"/>
        </w:rPr>
        <w:t xml:space="preserve"> </w:t>
      </w:r>
      <w:r w:rsidRPr="00603963">
        <w:rPr>
          <w:rFonts w:ascii="Arial" w:hAnsi="Arial" w:cs="Arial"/>
          <w:sz w:val="24"/>
          <w:szCs w:val="24"/>
        </w:rPr>
        <w:t>sosiţi,</w:t>
      </w:r>
      <w:r w:rsidRPr="00603963">
        <w:rPr>
          <w:rFonts w:ascii="Arial" w:hAnsi="Arial" w:cs="Arial"/>
          <w:spacing w:val="-10"/>
          <w:sz w:val="24"/>
          <w:szCs w:val="24"/>
        </w:rPr>
        <w:t xml:space="preserve"> </w:t>
      </w:r>
      <w:r w:rsidRPr="00603963">
        <w:rPr>
          <w:rFonts w:ascii="Arial" w:hAnsi="Arial" w:cs="Arial"/>
          <w:sz w:val="24"/>
          <w:szCs w:val="24"/>
        </w:rPr>
        <w:t>Buziaş</w:t>
      </w:r>
      <w:r w:rsidRPr="00603963">
        <w:rPr>
          <w:rFonts w:ascii="Arial" w:hAnsi="Arial" w:cs="Arial"/>
          <w:spacing w:val="-11"/>
          <w:sz w:val="24"/>
          <w:szCs w:val="24"/>
        </w:rPr>
        <w:t xml:space="preserve"> </w:t>
      </w:r>
      <w:r w:rsidRPr="00603963">
        <w:rPr>
          <w:rFonts w:ascii="Arial" w:hAnsi="Arial" w:cs="Arial"/>
          <w:sz w:val="24"/>
          <w:szCs w:val="24"/>
        </w:rPr>
        <w:t>–</w:t>
      </w:r>
      <w:r w:rsidRPr="00603963">
        <w:rPr>
          <w:rFonts w:ascii="Arial" w:hAnsi="Arial" w:cs="Arial"/>
          <w:spacing w:val="-12"/>
          <w:sz w:val="24"/>
          <w:szCs w:val="24"/>
        </w:rPr>
        <w:t xml:space="preserve"> </w:t>
      </w:r>
      <w:r w:rsidRPr="00603963">
        <w:rPr>
          <w:rFonts w:ascii="Arial" w:hAnsi="Arial" w:cs="Arial"/>
          <w:sz w:val="24"/>
          <w:szCs w:val="24"/>
        </w:rPr>
        <w:t>13.633</w:t>
      </w:r>
      <w:r w:rsidRPr="00603963">
        <w:rPr>
          <w:rFonts w:ascii="Arial" w:hAnsi="Arial" w:cs="Arial"/>
          <w:spacing w:val="-9"/>
          <w:sz w:val="24"/>
          <w:szCs w:val="24"/>
        </w:rPr>
        <w:t xml:space="preserve"> </w:t>
      </w:r>
      <w:r w:rsidRPr="00603963">
        <w:rPr>
          <w:rFonts w:ascii="Arial" w:hAnsi="Arial" w:cs="Arial"/>
          <w:sz w:val="24"/>
          <w:szCs w:val="24"/>
        </w:rPr>
        <w:t>sosiţi</w:t>
      </w:r>
      <w:r w:rsidRPr="00603963">
        <w:rPr>
          <w:rFonts w:ascii="Arial" w:hAnsi="Arial" w:cs="Arial"/>
          <w:spacing w:val="-11"/>
          <w:sz w:val="24"/>
          <w:szCs w:val="24"/>
        </w:rPr>
        <w:t xml:space="preserve"> </w:t>
      </w:r>
      <w:r w:rsidRPr="00603963">
        <w:rPr>
          <w:rFonts w:ascii="Arial" w:hAnsi="Arial" w:cs="Arial"/>
          <w:sz w:val="24"/>
          <w:szCs w:val="24"/>
        </w:rPr>
        <w:t>şi</w:t>
      </w:r>
      <w:r w:rsidRPr="00603963">
        <w:rPr>
          <w:rFonts w:ascii="Arial" w:hAnsi="Arial" w:cs="Arial"/>
          <w:spacing w:val="-10"/>
          <w:sz w:val="24"/>
          <w:szCs w:val="24"/>
        </w:rPr>
        <w:t xml:space="preserve"> </w:t>
      </w:r>
      <w:r w:rsidRPr="00603963">
        <w:rPr>
          <w:rFonts w:ascii="Arial" w:hAnsi="Arial" w:cs="Arial"/>
          <w:sz w:val="24"/>
          <w:szCs w:val="24"/>
        </w:rPr>
        <w:t>staţiunea</w:t>
      </w:r>
      <w:r w:rsidRPr="00603963">
        <w:rPr>
          <w:rFonts w:ascii="Arial" w:hAnsi="Arial" w:cs="Arial"/>
          <w:spacing w:val="-12"/>
          <w:sz w:val="24"/>
          <w:szCs w:val="24"/>
        </w:rPr>
        <w:t xml:space="preserve"> </w:t>
      </w:r>
      <w:r w:rsidRPr="00603963">
        <w:rPr>
          <w:rFonts w:ascii="Arial" w:hAnsi="Arial" w:cs="Arial"/>
          <w:sz w:val="24"/>
          <w:szCs w:val="24"/>
        </w:rPr>
        <w:t>Petroşani-Parâng cu 11.566</w:t>
      </w:r>
      <w:r w:rsidRPr="00603963">
        <w:rPr>
          <w:rFonts w:ascii="Arial" w:hAnsi="Arial" w:cs="Arial"/>
          <w:spacing w:val="-4"/>
          <w:sz w:val="24"/>
          <w:szCs w:val="24"/>
        </w:rPr>
        <w:t xml:space="preserve"> </w:t>
      </w:r>
      <w:r w:rsidRPr="00603963">
        <w:rPr>
          <w:rFonts w:ascii="Arial" w:hAnsi="Arial" w:cs="Arial"/>
          <w:sz w:val="24"/>
          <w:szCs w:val="24"/>
        </w:rPr>
        <w:t>sosiţi.</w:t>
      </w:r>
      <w:bookmarkStart w:id="56" w:name="_Toc465489995"/>
    </w:p>
    <w:p w:rsidR="0093612C" w:rsidRPr="0093612C" w:rsidRDefault="0093612C" w:rsidP="0093612C">
      <w:pPr>
        <w:spacing w:after="0" w:line="240" w:lineRule="auto"/>
        <w:jc w:val="both"/>
        <w:rPr>
          <w:rFonts w:ascii="Arial" w:hAnsi="Arial" w:cs="Arial"/>
          <w:sz w:val="24"/>
          <w:szCs w:val="24"/>
        </w:rPr>
      </w:pPr>
      <w:r w:rsidRPr="0093612C">
        <w:rPr>
          <w:rFonts w:ascii="Arial" w:hAnsi="Arial" w:cs="Arial"/>
          <w:sz w:val="24"/>
          <w:szCs w:val="24"/>
        </w:rPr>
        <w:t>Etnografia şi folclorul reprezintă o importantă ramură a patrimoniului imaterial, fiind compusă</w:t>
      </w:r>
      <w:r w:rsidRPr="0093612C">
        <w:rPr>
          <w:rFonts w:ascii="Arial" w:hAnsi="Arial" w:cs="Arial"/>
          <w:spacing w:val="-13"/>
          <w:sz w:val="24"/>
          <w:szCs w:val="24"/>
        </w:rPr>
        <w:t xml:space="preserve"> </w:t>
      </w:r>
      <w:r w:rsidRPr="0093612C">
        <w:rPr>
          <w:rFonts w:ascii="Arial" w:hAnsi="Arial" w:cs="Arial"/>
          <w:sz w:val="24"/>
          <w:szCs w:val="24"/>
        </w:rPr>
        <w:t>din</w:t>
      </w:r>
      <w:r w:rsidRPr="0093612C">
        <w:rPr>
          <w:rFonts w:ascii="Arial" w:hAnsi="Arial" w:cs="Arial"/>
          <w:spacing w:val="-13"/>
          <w:sz w:val="24"/>
          <w:szCs w:val="24"/>
        </w:rPr>
        <w:t xml:space="preserve"> </w:t>
      </w:r>
      <w:r w:rsidRPr="0093612C">
        <w:rPr>
          <w:rFonts w:ascii="Arial" w:hAnsi="Arial" w:cs="Arial"/>
          <w:sz w:val="24"/>
          <w:szCs w:val="24"/>
        </w:rPr>
        <w:t>arhitectura</w:t>
      </w:r>
      <w:r w:rsidRPr="0093612C">
        <w:rPr>
          <w:rFonts w:ascii="Arial" w:hAnsi="Arial" w:cs="Arial"/>
          <w:spacing w:val="-13"/>
          <w:sz w:val="24"/>
          <w:szCs w:val="24"/>
        </w:rPr>
        <w:t xml:space="preserve"> </w:t>
      </w:r>
      <w:r w:rsidRPr="0093612C">
        <w:rPr>
          <w:rFonts w:ascii="Arial" w:hAnsi="Arial" w:cs="Arial"/>
          <w:sz w:val="24"/>
          <w:szCs w:val="24"/>
        </w:rPr>
        <w:t>populară</w:t>
      </w:r>
      <w:r w:rsidRPr="0093612C">
        <w:rPr>
          <w:rFonts w:ascii="Arial" w:hAnsi="Arial" w:cs="Arial"/>
          <w:spacing w:val="-15"/>
          <w:sz w:val="24"/>
          <w:szCs w:val="24"/>
        </w:rPr>
        <w:t xml:space="preserve"> </w:t>
      </w:r>
      <w:r w:rsidRPr="0093612C">
        <w:rPr>
          <w:rFonts w:ascii="Arial" w:hAnsi="Arial" w:cs="Arial"/>
          <w:sz w:val="24"/>
          <w:szCs w:val="24"/>
        </w:rPr>
        <w:t>ţărănească,</w:t>
      </w:r>
      <w:r w:rsidRPr="0093612C">
        <w:rPr>
          <w:rFonts w:ascii="Arial" w:hAnsi="Arial" w:cs="Arial"/>
          <w:spacing w:val="-13"/>
          <w:sz w:val="24"/>
          <w:szCs w:val="24"/>
        </w:rPr>
        <w:t xml:space="preserve"> </w:t>
      </w:r>
      <w:r w:rsidRPr="0093612C">
        <w:rPr>
          <w:rFonts w:ascii="Arial" w:hAnsi="Arial" w:cs="Arial"/>
          <w:sz w:val="24"/>
          <w:szCs w:val="24"/>
        </w:rPr>
        <w:t>tehnică</w:t>
      </w:r>
      <w:r w:rsidRPr="0093612C">
        <w:rPr>
          <w:rFonts w:ascii="Arial" w:hAnsi="Arial" w:cs="Arial"/>
          <w:spacing w:val="-13"/>
          <w:sz w:val="24"/>
          <w:szCs w:val="24"/>
        </w:rPr>
        <w:t xml:space="preserve"> </w:t>
      </w:r>
      <w:r w:rsidRPr="0093612C">
        <w:rPr>
          <w:rFonts w:ascii="Arial" w:hAnsi="Arial" w:cs="Arial"/>
          <w:sz w:val="24"/>
          <w:szCs w:val="24"/>
        </w:rPr>
        <w:t>şi</w:t>
      </w:r>
      <w:r w:rsidRPr="0093612C">
        <w:rPr>
          <w:rFonts w:ascii="Arial" w:hAnsi="Arial" w:cs="Arial"/>
          <w:spacing w:val="-14"/>
          <w:sz w:val="24"/>
          <w:szCs w:val="24"/>
        </w:rPr>
        <w:t xml:space="preserve"> </w:t>
      </w:r>
      <w:r w:rsidRPr="0093612C">
        <w:rPr>
          <w:rFonts w:ascii="Arial" w:hAnsi="Arial" w:cs="Arial"/>
          <w:sz w:val="24"/>
          <w:szCs w:val="24"/>
        </w:rPr>
        <w:t>instalaţii</w:t>
      </w:r>
      <w:r w:rsidRPr="0093612C">
        <w:rPr>
          <w:rFonts w:ascii="Arial" w:hAnsi="Arial" w:cs="Arial"/>
          <w:spacing w:val="-14"/>
          <w:sz w:val="24"/>
          <w:szCs w:val="24"/>
        </w:rPr>
        <w:t xml:space="preserve"> </w:t>
      </w:r>
      <w:r w:rsidRPr="0093612C">
        <w:rPr>
          <w:rFonts w:ascii="Arial" w:hAnsi="Arial" w:cs="Arial"/>
          <w:sz w:val="24"/>
          <w:szCs w:val="24"/>
        </w:rPr>
        <w:t>populare,</w:t>
      </w:r>
      <w:r w:rsidRPr="0093612C">
        <w:rPr>
          <w:rFonts w:ascii="Arial" w:hAnsi="Arial" w:cs="Arial"/>
          <w:spacing w:val="-13"/>
          <w:sz w:val="24"/>
          <w:szCs w:val="24"/>
        </w:rPr>
        <w:t xml:space="preserve"> </w:t>
      </w:r>
      <w:r w:rsidRPr="0093612C">
        <w:rPr>
          <w:rFonts w:ascii="Arial" w:hAnsi="Arial" w:cs="Arial"/>
          <w:sz w:val="24"/>
          <w:szCs w:val="24"/>
        </w:rPr>
        <w:t>costume</w:t>
      </w:r>
      <w:r w:rsidRPr="0093612C">
        <w:rPr>
          <w:rFonts w:ascii="Arial" w:hAnsi="Arial" w:cs="Arial"/>
          <w:spacing w:val="-14"/>
          <w:sz w:val="24"/>
          <w:szCs w:val="24"/>
        </w:rPr>
        <w:t xml:space="preserve"> </w:t>
      </w:r>
      <w:r w:rsidRPr="0093612C">
        <w:rPr>
          <w:rFonts w:ascii="Arial" w:hAnsi="Arial" w:cs="Arial"/>
          <w:sz w:val="24"/>
          <w:szCs w:val="24"/>
        </w:rPr>
        <w:lastRenderedPageBreak/>
        <w:t>populare, ceramică populară, muzee etnografice săteşti, manifestări populare tradiţionale, festivaluri, manifestări artistice</w:t>
      </w:r>
      <w:r w:rsidRPr="0093612C">
        <w:rPr>
          <w:rFonts w:ascii="Arial" w:hAnsi="Arial" w:cs="Arial"/>
          <w:spacing w:val="-12"/>
          <w:sz w:val="24"/>
          <w:szCs w:val="24"/>
        </w:rPr>
        <w:t xml:space="preserve"> </w:t>
      </w:r>
      <w:r w:rsidRPr="0093612C">
        <w:rPr>
          <w:rFonts w:ascii="Arial" w:hAnsi="Arial" w:cs="Arial"/>
          <w:sz w:val="24"/>
          <w:szCs w:val="24"/>
        </w:rPr>
        <w:t>etc.</w:t>
      </w:r>
    </w:p>
    <w:p w:rsidR="0093612C" w:rsidRPr="0093612C" w:rsidRDefault="0093612C" w:rsidP="0093612C">
      <w:pPr>
        <w:spacing w:after="0" w:line="240" w:lineRule="auto"/>
        <w:jc w:val="both"/>
        <w:rPr>
          <w:rFonts w:ascii="Arial" w:hAnsi="Arial" w:cs="Arial"/>
          <w:sz w:val="24"/>
          <w:szCs w:val="24"/>
        </w:rPr>
      </w:pPr>
      <w:r w:rsidRPr="0093612C">
        <w:rPr>
          <w:rFonts w:ascii="Arial" w:hAnsi="Arial" w:cs="Arial"/>
          <w:sz w:val="24"/>
          <w:szCs w:val="24"/>
        </w:rPr>
        <w:t>Pe teritoriul Regiunii Vest sunt localizate mai multe zone de interes etnografic şi anume:</w:t>
      </w:r>
    </w:p>
    <w:p w:rsidR="0093612C" w:rsidRPr="0093612C" w:rsidRDefault="0093612C" w:rsidP="00445724">
      <w:pPr>
        <w:pStyle w:val="ListParagraph"/>
        <w:widowControl w:val="0"/>
        <w:numPr>
          <w:ilvl w:val="0"/>
          <w:numId w:val="39"/>
        </w:numPr>
        <w:tabs>
          <w:tab w:val="left" w:pos="874"/>
        </w:tabs>
        <w:spacing w:line="266" w:lineRule="auto"/>
        <w:ind w:right="152"/>
        <w:jc w:val="both"/>
        <w:rPr>
          <w:rFonts w:ascii="Arial" w:hAnsi="Arial" w:cs="Arial"/>
          <w:sz w:val="24"/>
          <w:szCs w:val="24"/>
        </w:rPr>
      </w:pPr>
      <w:r w:rsidRPr="0093612C">
        <w:rPr>
          <w:rFonts w:ascii="Arial" w:hAnsi="Arial" w:cs="Arial"/>
          <w:i/>
          <w:sz w:val="24"/>
          <w:szCs w:val="24"/>
        </w:rPr>
        <w:t>În</w:t>
      </w:r>
      <w:r w:rsidRPr="0093612C">
        <w:rPr>
          <w:rFonts w:ascii="Arial" w:hAnsi="Arial" w:cs="Arial"/>
          <w:i/>
          <w:spacing w:val="-10"/>
          <w:sz w:val="24"/>
          <w:szCs w:val="24"/>
        </w:rPr>
        <w:t xml:space="preserve"> </w:t>
      </w:r>
      <w:r w:rsidRPr="0093612C">
        <w:rPr>
          <w:rFonts w:ascii="Arial" w:hAnsi="Arial" w:cs="Arial"/>
          <w:i/>
          <w:sz w:val="24"/>
          <w:szCs w:val="24"/>
        </w:rPr>
        <w:t>judeţul</w:t>
      </w:r>
      <w:r w:rsidRPr="0093612C">
        <w:rPr>
          <w:rFonts w:ascii="Arial" w:hAnsi="Arial" w:cs="Arial"/>
          <w:i/>
          <w:spacing w:val="-10"/>
          <w:sz w:val="24"/>
          <w:szCs w:val="24"/>
        </w:rPr>
        <w:t xml:space="preserve"> </w:t>
      </w:r>
      <w:r w:rsidRPr="0093612C">
        <w:rPr>
          <w:rFonts w:ascii="Arial" w:hAnsi="Arial" w:cs="Arial"/>
          <w:i/>
          <w:sz w:val="24"/>
          <w:szCs w:val="24"/>
        </w:rPr>
        <w:t>Arad</w:t>
      </w:r>
      <w:r w:rsidRPr="0093612C">
        <w:rPr>
          <w:rFonts w:ascii="Arial" w:hAnsi="Arial" w:cs="Arial"/>
          <w:i/>
          <w:spacing w:val="-9"/>
          <w:sz w:val="24"/>
          <w:szCs w:val="24"/>
        </w:rPr>
        <w:t xml:space="preserve"> </w:t>
      </w:r>
      <w:r w:rsidRPr="0093612C">
        <w:rPr>
          <w:rFonts w:ascii="Arial" w:hAnsi="Arial" w:cs="Arial"/>
          <w:i/>
          <w:sz w:val="24"/>
          <w:szCs w:val="24"/>
        </w:rPr>
        <w:t>(de</w:t>
      </w:r>
      <w:r w:rsidRPr="0093612C">
        <w:rPr>
          <w:rFonts w:ascii="Arial" w:hAnsi="Arial" w:cs="Arial"/>
          <w:i/>
          <w:spacing w:val="-7"/>
          <w:sz w:val="24"/>
          <w:szCs w:val="24"/>
        </w:rPr>
        <w:t xml:space="preserve"> </w:t>
      </w:r>
      <w:r w:rsidRPr="0093612C">
        <w:rPr>
          <w:rFonts w:ascii="Arial" w:hAnsi="Arial" w:cs="Arial"/>
          <w:i/>
          <w:sz w:val="24"/>
          <w:szCs w:val="24"/>
        </w:rPr>
        <w:t>la</w:t>
      </w:r>
      <w:r w:rsidRPr="0093612C">
        <w:rPr>
          <w:rFonts w:ascii="Arial" w:hAnsi="Arial" w:cs="Arial"/>
          <w:i/>
          <w:spacing w:val="-10"/>
          <w:sz w:val="24"/>
          <w:szCs w:val="24"/>
        </w:rPr>
        <w:t xml:space="preserve"> </w:t>
      </w:r>
      <w:r w:rsidRPr="0093612C">
        <w:rPr>
          <w:rFonts w:ascii="Arial" w:hAnsi="Arial" w:cs="Arial"/>
          <w:i/>
          <w:sz w:val="24"/>
          <w:szCs w:val="24"/>
        </w:rPr>
        <w:t>vest</w:t>
      </w:r>
      <w:r w:rsidRPr="0093612C">
        <w:rPr>
          <w:rFonts w:ascii="Arial" w:hAnsi="Arial" w:cs="Arial"/>
          <w:i/>
          <w:spacing w:val="-11"/>
          <w:sz w:val="24"/>
          <w:szCs w:val="24"/>
        </w:rPr>
        <w:t xml:space="preserve"> </w:t>
      </w:r>
      <w:r w:rsidRPr="0093612C">
        <w:rPr>
          <w:rFonts w:ascii="Arial" w:hAnsi="Arial" w:cs="Arial"/>
          <w:i/>
          <w:sz w:val="24"/>
          <w:szCs w:val="24"/>
        </w:rPr>
        <w:t>spre</w:t>
      </w:r>
      <w:r w:rsidRPr="0093612C">
        <w:rPr>
          <w:rFonts w:ascii="Arial" w:hAnsi="Arial" w:cs="Arial"/>
          <w:i/>
          <w:spacing w:val="-9"/>
          <w:sz w:val="24"/>
          <w:szCs w:val="24"/>
        </w:rPr>
        <w:t xml:space="preserve"> </w:t>
      </w:r>
      <w:r w:rsidRPr="0093612C">
        <w:rPr>
          <w:rFonts w:ascii="Arial" w:hAnsi="Arial" w:cs="Arial"/>
          <w:i/>
          <w:sz w:val="24"/>
          <w:szCs w:val="24"/>
        </w:rPr>
        <w:t>est):</w:t>
      </w:r>
      <w:r w:rsidRPr="0093612C">
        <w:rPr>
          <w:rFonts w:ascii="Arial" w:hAnsi="Arial" w:cs="Arial"/>
          <w:i/>
          <w:spacing w:val="-7"/>
          <w:sz w:val="24"/>
          <w:szCs w:val="24"/>
        </w:rPr>
        <w:t xml:space="preserve"> </w:t>
      </w:r>
      <w:r w:rsidRPr="0093612C">
        <w:rPr>
          <w:rFonts w:ascii="Arial" w:hAnsi="Arial" w:cs="Arial"/>
          <w:sz w:val="24"/>
          <w:szCs w:val="24"/>
        </w:rPr>
        <w:t>zona</w:t>
      </w:r>
      <w:r w:rsidRPr="0093612C">
        <w:rPr>
          <w:rFonts w:ascii="Arial" w:hAnsi="Arial" w:cs="Arial"/>
          <w:spacing w:val="-9"/>
          <w:sz w:val="24"/>
          <w:szCs w:val="24"/>
        </w:rPr>
        <w:t xml:space="preserve"> </w:t>
      </w:r>
      <w:r w:rsidRPr="0093612C">
        <w:rPr>
          <w:rFonts w:ascii="Arial" w:hAnsi="Arial" w:cs="Arial"/>
          <w:sz w:val="24"/>
          <w:szCs w:val="24"/>
        </w:rPr>
        <w:t>de</w:t>
      </w:r>
      <w:r w:rsidRPr="0093612C">
        <w:rPr>
          <w:rFonts w:ascii="Arial" w:hAnsi="Arial" w:cs="Arial"/>
          <w:spacing w:val="-10"/>
          <w:sz w:val="24"/>
          <w:szCs w:val="24"/>
        </w:rPr>
        <w:t xml:space="preserve"> </w:t>
      </w:r>
      <w:r w:rsidRPr="0093612C">
        <w:rPr>
          <w:rFonts w:ascii="Arial" w:hAnsi="Arial" w:cs="Arial"/>
          <w:sz w:val="24"/>
          <w:szCs w:val="24"/>
        </w:rPr>
        <w:t>nord</w:t>
      </w:r>
      <w:r w:rsidRPr="0093612C">
        <w:rPr>
          <w:rFonts w:ascii="Arial" w:hAnsi="Arial" w:cs="Arial"/>
          <w:spacing w:val="-9"/>
          <w:sz w:val="24"/>
          <w:szCs w:val="24"/>
        </w:rPr>
        <w:t xml:space="preserve"> </w:t>
      </w:r>
      <w:r w:rsidRPr="0093612C">
        <w:rPr>
          <w:rFonts w:ascii="Arial" w:hAnsi="Arial" w:cs="Arial"/>
          <w:sz w:val="24"/>
          <w:szCs w:val="24"/>
        </w:rPr>
        <w:t>a</w:t>
      </w:r>
      <w:r w:rsidRPr="0093612C">
        <w:rPr>
          <w:rFonts w:ascii="Arial" w:hAnsi="Arial" w:cs="Arial"/>
          <w:spacing w:val="-9"/>
          <w:sz w:val="24"/>
          <w:szCs w:val="24"/>
        </w:rPr>
        <w:t xml:space="preserve"> </w:t>
      </w:r>
      <w:r w:rsidRPr="0093612C">
        <w:rPr>
          <w:rFonts w:ascii="Arial" w:hAnsi="Arial" w:cs="Arial"/>
          <w:sz w:val="24"/>
          <w:szCs w:val="24"/>
        </w:rPr>
        <w:t>Nădlacului,</w:t>
      </w:r>
      <w:r w:rsidRPr="0093612C">
        <w:rPr>
          <w:rFonts w:ascii="Arial" w:hAnsi="Arial" w:cs="Arial"/>
          <w:spacing w:val="-9"/>
          <w:sz w:val="24"/>
          <w:szCs w:val="24"/>
        </w:rPr>
        <w:t xml:space="preserve"> </w:t>
      </w:r>
      <w:r w:rsidRPr="0093612C">
        <w:rPr>
          <w:rFonts w:ascii="Arial" w:hAnsi="Arial" w:cs="Arial"/>
          <w:sz w:val="24"/>
          <w:szCs w:val="24"/>
        </w:rPr>
        <w:t>zona</w:t>
      </w:r>
      <w:r w:rsidRPr="0093612C">
        <w:rPr>
          <w:rFonts w:ascii="Arial" w:hAnsi="Arial" w:cs="Arial"/>
          <w:spacing w:val="-9"/>
          <w:sz w:val="24"/>
          <w:szCs w:val="24"/>
        </w:rPr>
        <w:t xml:space="preserve"> </w:t>
      </w:r>
      <w:r w:rsidRPr="0093612C">
        <w:rPr>
          <w:rFonts w:ascii="Arial" w:hAnsi="Arial" w:cs="Arial"/>
          <w:sz w:val="24"/>
          <w:szCs w:val="24"/>
        </w:rPr>
        <w:t>Şiria,</w:t>
      </w:r>
      <w:r w:rsidRPr="0093612C">
        <w:rPr>
          <w:rFonts w:ascii="Arial" w:hAnsi="Arial" w:cs="Arial"/>
          <w:spacing w:val="-9"/>
          <w:sz w:val="24"/>
          <w:szCs w:val="24"/>
        </w:rPr>
        <w:t xml:space="preserve"> </w:t>
      </w:r>
      <w:r w:rsidRPr="0093612C">
        <w:rPr>
          <w:rFonts w:ascii="Arial" w:hAnsi="Arial" w:cs="Arial"/>
          <w:sz w:val="24"/>
          <w:szCs w:val="24"/>
        </w:rPr>
        <w:t>zona</w:t>
      </w:r>
      <w:r w:rsidRPr="0093612C">
        <w:rPr>
          <w:rFonts w:ascii="Arial" w:hAnsi="Arial" w:cs="Arial"/>
          <w:spacing w:val="-9"/>
          <w:sz w:val="24"/>
          <w:szCs w:val="24"/>
        </w:rPr>
        <w:t xml:space="preserve"> </w:t>
      </w:r>
      <w:r w:rsidRPr="0093612C">
        <w:rPr>
          <w:rFonts w:ascii="Arial" w:hAnsi="Arial" w:cs="Arial"/>
          <w:sz w:val="24"/>
          <w:szCs w:val="24"/>
        </w:rPr>
        <w:t>Buteni, Ususău, Vărădia de Mureş şi zona</w:t>
      </w:r>
      <w:r w:rsidRPr="0093612C">
        <w:rPr>
          <w:rFonts w:ascii="Arial" w:hAnsi="Arial" w:cs="Arial"/>
          <w:spacing w:val="-11"/>
          <w:sz w:val="24"/>
          <w:szCs w:val="24"/>
        </w:rPr>
        <w:t xml:space="preserve"> </w:t>
      </w:r>
      <w:r w:rsidRPr="0093612C">
        <w:rPr>
          <w:rFonts w:ascii="Arial" w:hAnsi="Arial" w:cs="Arial"/>
          <w:sz w:val="24"/>
          <w:szCs w:val="24"/>
        </w:rPr>
        <w:t>Vârfurile.</w:t>
      </w:r>
    </w:p>
    <w:p w:rsidR="0093612C" w:rsidRPr="0093612C" w:rsidRDefault="0093612C" w:rsidP="00445724">
      <w:pPr>
        <w:pStyle w:val="ListParagraph"/>
        <w:widowControl w:val="0"/>
        <w:numPr>
          <w:ilvl w:val="0"/>
          <w:numId w:val="39"/>
        </w:numPr>
        <w:tabs>
          <w:tab w:val="left" w:pos="874"/>
        </w:tabs>
        <w:spacing w:before="13" w:line="266" w:lineRule="auto"/>
        <w:ind w:right="155"/>
        <w:jc w:val="both"/>
        <w:rPr>
          <w:rFonts w:ascii="Arial" w:hAnsi="Arial" w:cs="Arial"/>
          <w:sz w:val="24"/>
          <w:szCs w:val="24"/>
        </w:rPr>
      </w:pPr>
      <w:r w:rsidRPr="0093612C">
        <w:rPr>
          <w:rFonts w:ascii="Arial" w:hAnsi="Arial" w:cs="Arial"/>
          <w:i/>
          <w:sz w:val="24"/>
          <w:szCs w:val="24"/>
        </w:rPr>
        <w:t xml:space="preserve">În judeţul Caraş-Severin: </w:t>
      </w:r>
      <w:r w:rsidRPr="0093612C">
        <w:rPr>
          <w:rFonts w:ascii="Arial" w:hAnsi="Arial" w:cs="Arial"/>
          <w:sz w:val="24"/>
          <w:szCs w:val="24"/>
        </w:rPr>
        <w:t>Pojejena, Ciclova Română, Depresiunea Almăjului, culoarul Timiş – Cerna şi culoarul</w:t>
      </w:r>
      <w:r w:rsidRPr="0093612C">
        <w:rPr>
          <w:rFonts w:ascii="Arial" w:hAnsi="Arial" w:cs="Arial"/>
          <w:spacing w:val="-13"/>
          <w:sz w:val="24"/>
          <w:szCs w:val="24"/>
        </w:rPr>
        <w:t xml:space="preserve"> </w:t>
      </w:r>
      <w:r w:rsidRPr="0093612C">
        <w:rPr>
          <w:rFonts w:ascii="Arial" w:hAnsi="Arial" w:cs="Arial"/>
          <w:sz w:val="24"/>
          <w:szCs w:val="24"/>
        </w:rPr>
        <w:t>Bistrei</w:t>
      </w:r>
    </w:p>
    <w:p w:rsidR="0093612C" w:rsidRPr="0093612C" w:rsidRDefault="0093612C" w:rsidP="00445724">
      <w:pPr>
        <w:pStyle w:val="ListParagraph"/>
        <w:widowControl w:val="0"/>
        <w:numPr>
          <w:ilvl w:val="0"/>
          <w:numId w:val="39"/>
        </w:numPr>
        <w:tabs>
          <w:tab w:val="left" w:pos="874"/>
        </w:tabs>
        <w:spacing w:before="9" w:line="266" w:lineRule="auto"/>
        <w:ind w:right="155"/>
        <w:jc w:val="both"/>
        <w:rPr>
          <w:rFonts w:ascii="Arial" w:hAnsi="Arial" w:cs="Arial"/>
          <w:sz w:val="24"/>
          <w:szCs w:val="24"/>
        </w:rPr>
      </w:pPr>
      <w:r w:rsidRPr="0093612C">
        <w:rPr>
          <w:rFonts w:ascii="Arial" w:hAnsi="Arial" w:cs="Arial"/>
          <w:i/>
          <w:sz w:val="24"/>
          <w:szCs w:val="24"/>
        </w:rPr>
        <w:t xml:space="preserve">În judeţul Hunedoara: </w:t>
      </w:r>
      <w:r w:rsidRPr="0093612C">
        <w:rPr>
          <w:rFonts w:ascii="Arial" w:hAnsi="Arial" w:cs="Arial"/>
          <w:sz w:val="24"/>
          <w:szCs w:val="24"/>
        </w:rPr>
        <w:t>Ţinutul Pădurenilor, Ţara Zărandului, Ţinutul Orăştiei şi Zona Văii</w:t>
      </w:r>
      <w:r w:rsidRPr="0093612C">
        <w:rPr>
          <w:rFonts w:ascii="Arial" w:hAnsi="Arial" w:cs="Arial"/>
          <w:spacing w:val="-4"/>
          <w:sz w:val="24"/>
          <w:szCs w:val="24"/>
        </w:rPr>
        <w:t xml:space="preserve"> </w:t>
      </w:r>
      <w:r w:rsidRPr="0093612C">
        <w:rPr>
          <w:rFonts w:ascii="Arial" w:hAnsi="Arial" w:cs="Arial"/>
          <w:sz w:val="24"/>
          <w:szCs w:val="24"/>
        </w:rPr>
        <w:t>Mureşului.</w:t>
      </w:r>
    </w:p>
    <w:p w:rsidR="0093612C" w:rsidRPr="0093612C" w:rsidRDefault="0093612C" w:rsidP="00445724">
      <w:pPr>
        <w:pStyle w:val="ListParagraph"/>
        <w:widowControl w:val="0"/>
        <w:numPr>
          <w:ilvl w:val="0"/>
          <w:numId w:val="39"/>
        </w:numPr>
        <w:tabs>
          <w:tab w:val="left" w:pos="874"/>
        </w:tabs>
        <w:spacing w:before="13"/>
        <w:jc w:val="both"/>
        <w:rPr>
          <w:rFonts w:ascii="Arial" w:hAnsi="Arial" w:cs="Arial"/>
          <w:sz w:val="24"/>
          <w:szCs w:val="24"/>
        </w:rPr>
      </w:pPr>
      <w:r w:rsidRPr="0093612C">
        <w:rPr>
          <w:rFonts w:ascii="Arial" w:hAnsi="Arial" w:cs="Arial"/>
          <w:i/>
          <w:sz w:val="24"/>
          <w:szCs w:val="24"/>
        </w:rPr>
        <w:t xml:space="preserve">Judeţul Timiş: </w:t>
      </w:r>
      <w:r w:rsidRPr="0093612C">
        <w:rPr>
          <w:rFonts w:ascii="Arial" w:hAnsi="Arial" w:cs="Arial"/>
          <w:sz w:val="24"/>
          <w:szCs w:val="24"/>
        </w:rPr>
        <w:t>zona Dudeştiilor Vechi, zona Lenauheim, zona Lugojului şi zona</w:t>
      </w:r>
      <w:r w:rsidRPr="0093612C">
        <w:rPr>
          <w:rFonts w:ascii="Arial" w:hAnsi="Arial" w:cs="Arial"/>
          <w:spacing w:val="-24"/>
          <w:sz w:val="24"/>
          <w:szCs w:val="24"/>
        </w:rPr>
        <w:t xml:space="preserve"> </w:t>
      </w:r>
      <w:r w:rsidRPr="0093612C">
        <w:rPr>
          <w:rFonts w:ascii="Arial" w:hAnsi="Arial" w:cs="Arial"/>
          <w:sz w:val="24"/>
          <w:szCs w:val="24"/>
        </w:rPr>
        <w:t>Făget.</w:t>
      </w:r>
    </w:p>
    <w:p w:rsidR="0093612C" w:rsidRDefault="0093612C" w:rsidP="00603963">
      <w:pPr>
        <w:spacing w:after="0" w:line="240" w:lineRule="auto"/>
        <w:jc w:val="both"/>
        <w:rPr>
          <w:rFonts w:ascii="Arial" w:hAnsi="Arial" w:cs="Arial"/>
          <w:sz w:val="24"/>
          <w:szCs w:val="24"/>
        </w:rPr>
      </w:pPr>
    </w:p>
    <w:p w:rsidR="00603963" w:rsidRPr="00603963" w:rsidRDefault="00603963" w:rsidP="00603963">
      <w:pPr>
        <w:spacing w:after="0" w:line="240" w:lineRule="auto"/>
        <w:jc w:val="both"/>
        <w:rPr>
          <w:rFonts w:ascii="Arial" w:hAnsi="Arial" w:cs="Arial"/>
          <w:sz w:val="24"/>
          <w:szCs w:val="24"/>
        </w:rPr>
      </w:pPr>
    </w:p>
    <w:p w:rsidR="001A346C" w:rsidRPr="00443416" w:rsidRDefault="001A346C" w:rsidP="000C6A67">
      <w:pPr>
        <w:pStyle w:val="Heading3"/>
        <w:spacing w:before="0" w:line="240" w:lineRule="auto"/>
        <w:jc w:val="both"/>
        <w:rPr>
          <w:rFonts w:ascii="Arial" w:hAnsi="Arial" w:cs="Arial"/>
          <w:b w:val="0"/>
          <w:i/>
          <w:color w:val="auto"/>
          <w:sz w:val="24"/>
          <w:szCs w:val="24"/>
        </w:rPr>
      </w:pPr>
      <w:bookmarkStart w:id="57" w:name="_Toc488066034"/>
      <w:r w:rsidRPr="00443416">
        <w:rPr>
          <w:rFonts w:ascii="Arial" w:hAnsi="Arial" w:cs="Arial"/>
          <w:b w:val="0"/>
          <w:i/>
          <w:color w:val="auto"/>
          <w:sz w:val="24"/>
          <w:szCs w:val="24"/>
        </w:rPr>
        <w:t>4</w:t>
      </w:r>
      <w:r w:rsidR="00F2266B" w:rsidRPr="00443416">
        <w:rPr>
          <w:rFonts w:ascii="Arial" w:hAnsi="Arial" w:cs="Arial"/>
          <w:b w:val="0"/>
          <w:i/>
          <w:color w:val="auto"/>
          <w:sz w:val="24"/>
          <w:szCs w:val="24"/>
        </w:rPr>
        <w:t>.3.6.</w:t>
      </w:r>
      <w:r w:rsidRPr="00443416">
        <w:rPr>
          <w:rFonts w:ascii="Arial" w:hAnsi="Arial" w:cs="Arial"/>
          <w:b w:val="0"/>
          <w:i/>
          <w:color w:val="auto"/>
          <w:sz w:val="24"/>
          <w:szCs w:val="24"/>
        </w:rPr>
        <w:t xml:space="preserve"> </w:t>
      </w:r>
      <w:r w:rsidR="00F2266B" w:rsidRPr="00443416">
        <w:rPr>
          <w:rFonts w:ascii="Arial" w:hAnsi="Arial" w:cs="Arial"/>
          <w:b w:val="0"/>
          <w:i/>
          <w:color w:val="auto"/>
          <w:sz w:val="24"/>
          <w:szCs w:val="24"/>
        </w:rPr>
        <w:t>Dezvoltarea durabilă</w:t>
      </w:r>
      <w:bookmarkEnd w:id="56"/>
      <w:bookmarkEnd w:id="57"/>
    </w:p>
    <w:p w:rsidR="000D7C65" w:rsidRPr="0034257E" w:rsidRDefault="000D7C65" w:rsidP="000C6A67">
      <w:pPr>
        <w:spacing w:after="0" w:line="240" w:lineRule="auto"/>
        <w:jc w:val="both"/>
        <w:rPr>
          <w:rFonts w:ascii="Arial" w:hAnsi="Arial" w:cs="Arial"/>
          <w:color w:val="C00000"/>
          <w:sz w:val="24"/>
          <w:szCs w:val="24"/>
        </w:rPr>
      </w:pPr>
    </w:p>
    <w:p w:rsidR="00965358" w:rsidRPr="00965358" w:rsidRDefault="00965358" w:rsidP="000C6A67">
      <w:pPr>
        <w:pStyle w:val="Header"/>
        <w:tabs>
          <w:tab w:val="left" w:pos="284"/>
          <w:tab w:val="right" w:pos="709"/>
        </w:tabs>
        <w:jc w:val="both"/>
        <w:rPr>
          <w:rFonts w:ascii="Arial" w:hAnsi="Arial" w:cs="Arial"/>
          <w:b/>
          <w:sz w:val="24"/>
          <w:szCs w:val="24"/>
        </w:rPr>
      </w:pPr>
      <w:r w:rsidRPr="00965358">
        <w:rPr>
          <w:rFonts w:ascii="Arial" w:hAnsi="Arial" w:cs="Arial"/>
          <w:b/>
          <w:sz w:val="24"/>
          <w:szCs w:val="24"/>
        </w:rPr>
        <w:t xml:space="preserve">Strategia Naţională pentru Dezvoltare Durabilă a României Orizonturi 2013-2020-2030 </w:t>
      </w:r>
      <w:r w:rsidRPr="00965358">
        <w:rPr>
          <w:rFonts w:ascii="Arial" w:hAnsi="Arial" w:cs="Arial"/>
          <w:sz w:val="24"/>
          <w:szCs w:val="24"/>
        </w:rPr>
        <w:t>stabileşte obiective concrete pentru trecerea, într-un interval de timp rezonabil şi realist, la modelul de dezvoltare generator de valoare adăugată înaltă, propulsat de interesul pentru cunoaştere şi inovare, orientat spre îmbunătăţirea continuă a calităţii vieţii oamenilor şi a relaţiilor dintre ei în armonie cu mediul natural.</w:t>
      </w:r>
    </w:p>
    <w:p w:rsidR="00965358" w:rsidRPr="00965358" w:rsidRDefault="00965358" w:rsidP="000C6A67">
      <w:pPr>
        <w:pStyle w:val="p13"/>
        <w:spacing w:before="0" w:beforeAutospacing="0" w:after="0" w:afterAutospacing="0"/>
        <w:jc w:val="both"/>
        <w:rPr>
          <w:rFonts w:ascii="Arial" w:hAnsi="Arial" w:cs="Arial"/>
        </w:rPr>
      </w:pPr>
      <w:r w:rsidRPr="00965358">
        <w:rPr>
          <w:rFonts w:ascii="Arial" w:hAnsi="Arial" w:cs="Arial"/>
        </w:rPr>
        <w:t xml:space="preserve">Ca orientare generală, documentul vizează realizarea următoarelor </w:t>
      </w:r>
      <w:r w:rsidRPr="00965358">
        <w:rPr>
          <w:rStyle w:val="ft11"/>
          <w:rFonts w:ascii="Arial" w:hAnsi="Arial" w:cs="Arial"/>
        </w:rPr>
        <w:t xml:space="preserve">obiective strategice </w:t>
      </w:r>
      <w:r w:rsidRPr="00965358">
        <w:rPr>
          <w:rFonts w:ascii="Arial" w:hAnsi="Arial" w:cs="Arial"/>
          <w:b/>
        </w:rPr>
        <w:t>pe termen scurt, mediu şi lung:</w:t>
      </w:r>
    </w:p>
    <w:p w:rsidR="00965358" w:rsidRPr="00965358" w:rsidRDefault="00965358" w:rsidP="000C6A67">
      <w:pPr>
        <w:spacing w:after="0" w:line="240" w:lineRule="auto"/>
        <w:jc w:val="both"/>
        <w:rPr>
          <w:rFonts w:ascii="Arial" w:hAnsi="Arial" w:cs="Arial"/>
          <w:sz w:val="24"/>
          <w:szCs w:val="24"/>
        </w:rPr>
      </w:pPr>
      <w:r w:rsidRPr="00965358">
        <w:rPr>
          <w:rFonts w:ascii="Arial" w:hAnsi="Arial" w:cs="Arial"/>
          <w:b/>
          <w:bCs/>
          <w:sz w:val="24"/>
          <w:szCs w:val="24"/>
        </w:rPr>
        <w:t xml:space="preserve">Orizont 2013: </w:t>
      </w:r>
      <w:r w:rsidRPr="00965358">
        <w:rPr>
          <w:rFonts w:ascii="Arial" w:hAnsi="Arial" w:cs="Arial"/>
          <w:sz w:val="24"/>
          <w:szCs w:val="24"/>
        </w:rPr>
        <w:t>Încorporarea organică a principiilor şi practicilor dezvoltării durabile în ansamblul programelor şi politicilor publice ale României;</w:t>
      </w:r>
    </w:p>
    <w:p w:rsidR="00965358" w:rsidRPr="00965358" w:rsidRDefault="00965358" w:rsidP="000C6A67">
      <w:pPr>
        <w:spacing w:after="0" w:line="240" w:lineRule="auto"/>
        <w:jc w:val="both"/>
        <w:rPr>
          <w:rFonts w:ascii="Arial" w:hAnsi="Arial" w:cs="Arial"/>
          <w:sz w:val="24"/>
          <w:szCs w:val="24"/>
        </w:rPr>
      </w:pPr>
      <w:r w:rsidRPr="00965358">
        <w:rPr>
          <w:rFonts w:ascii="Arial" w:hAnsi="Arial" w:cs="Arial"/>
          <w:b/>
          <w:bCs/>
          <w:sz w:val="24"/>
          <w:szCs w:val="24"/>
        </w:rPr>
        <w:t xml:space="preserve">Orizont 2020: </w:t>
      </w:r>
      <w:r w:rsidRPr="00965358">
        <w:rPr>
          <w:rFonts w:ascii="Arial" w:hAnsi="Arial" w:cs="Arial"/>
          <w:sz w:val="24"/>
          <w:szCs w:val="24"/>
        </w:rPr>
        <w:t>Atingerea nivelului mediu actual al ţărilor Uniunii Europene la principalii indicatori ai dezvoltării durabile;</w:t>
      </w:r>
    </w:p>
    <w:p w:rsidR="00965358" w:rsidRPr="00965358" w:rsidRDefault="00965358" w:rsidP="000C6A67">
      <w:pPr>
        <w:spacing w:after="0" w:line="240" w:lineRule="auto"/>
        <w:jc w:val="both"/>
        <w:rPr>
          <w:rFonts w:ascii="Arial" w:hAnsi="Arial" w:cs="Arial"/>
          <w:sz w:val="24"/>
          <w:szCs w:val="24"/>
        </w:rPr>
      </w:pPr>
      <w:r w:rsidRPr="00965358">
        <w:rPr>
          <w:rFonts w:ascii="Arial" w:hAnsi="Arial" w:cs="Arial"/>
          <w:b/>
          <w:bCs/>
          <w:sz w:val="24"/>
          <w:szCs w:val="24"/>
        </w:rPr>
        <w:t xml:space="preserve">Orizont 2030: </w:t>
      </w:r>
      <w:r w:rsidRPr="00965358">
        <w:rPr>
          <w:rFonts w:ascii="Arial" w:hAnsi="Arial" w:cs="Arial"/>
          <w:sz w:val="24"/>
          <w:szCs w:val="24"/>
        </w:rPr>
        <w:t>Apropierea semnificativă a României de nivelul mediu din acel an al ţărilor UE.</w:t>
      </w:r>
    </w:p>
    <w:p w:rsidR="00965358" w:rsidRPr="00965358" w:rsidRDefault="00965358" w:rsidP="000C6A67">
      <w:pPr>
        <w:shd w:val="clear" w:color="auto" w:fill="FFFFFF" w:themeFill="background1"/>
        <w:spacing w:after="0" w:line="240" w:lineRule="auto"/>
        <w:jc w:val="both"/>
        <w:textAlignment w:val="baseline"/>
        <w:rPr>
          <w:rFonts w:ascii="Arial" w:hAnsi="Arial" w:cs="Arial"/>
          <w:sz w:val="24"/>
          <w:szCs w:val="24"/>
        </w:rPr>
      </w:pPr>
      <w:r w:rsidRPr="00965358">
        <w:rPr>
          <w:rFonts w:ascii="Arial" w:hAnsi="Arial" w:cs="Arial"/>
          <w:sz w:val="24"/>
          <w:szCs w:val="24"/>
        </w:rPr>
        <w:t>Îndeplinirea acestor obiective strategice a avut în vedere pe termen mediu şi lung, o creştere economică ridicată şi, în consecinţă, o reducere substanţială a decalajelor economico-sociale dintre România şi celelalte state membre ale UE.</w:t>
      </w:r>
    </w:p>
    <w:p w:rsidR="00965358" w:rsidRPr="00965358" w:rsidRDefault="00965358" w:rsidP="000C6A67">
      <w:pPr>
        <w:shd w:val="clear" w:color="auto" w:fill="FFFFFF" w:themeFill="background1"/>
        <w:spacing w:after="0" w:line="240" w:lineRule="auto"/>
        <w:jc w:val="both"/>
        <w:textAlignment w:val="baseline"/>
        <w:rPr>
          <w:rFonts w:ascii="Arial" w:hAnsi="Arial" w:cs="Arial"/>
          <w:i/>
          <w:sz w:val="24"/>
          <w:szCs w:val="24"/>
        </w:rPr>
      </w:pPr>
      <w:r w:rsidRPr="00965358">
        <w:rPr>
          <w:rFonts w:ascii="Arial" w:hAnsi="Arial" w:cs="Arial"/>
          <w:sz w:val="24"/>
          <w:szCs w:val="24"/>
        </w:rPr>
        <w:t xml:space="preserve">În acest moment pot fi analizate rezultatele deja înregistrate, în raport cu obiectivele stabilite pentru orizontul 2013, și pot fi reconsiderate obiectivele rămase relevante pentru Orizontul 2020 și 2030; astfel, indicatorul sintetic prin care se masoară procesul de convergenţa reală, </w:t>
      </w:r>
      <w:r w:rsidRPr="00965358">
        <w:rPr>
          <w:rFonts w:ascii="Arial" w:hAnsi="Arial" w:cs="Arial"/>
          <w:b/>
          <w:sz w:val="24"/>
          <w:szCs w:val="24"/>
        </w:rPr>
        <w:t>produsul intern brut pe cap de locuitor al României</w:t>
      </w:r>
      <w:r w:rsidRPr="00965358">
        <w:rPr>
          <w:rFonts w:ascii="Arial" w:hAnsi="Arial" w:cs="Arial"/>
          <w:sz w:val="24"/>
          <w:szCs w:val="24"/>
        </w:rPr>
        <w:t xml:space="preserve">, </w:t>
      </w:r>
      <w:r w:rsidRPr="00965358">
        <w:rPr>
          <w:rFonts w:ascii="Arial" w:hAnsi="Arial" w:cs="Arial"/>
          <w:i/>
          <w:sz w:val="24"/>
          <w:szCs w:val="24"/>
        </w:rPr>
        <w:t>era estimat să depăşească în anul 2013 media UE din acel moment, să se apropie de media UE în anul 2020 şi să fie uşor superior nivelului mediu european în anul 2030.</w:t>
      </w:r>
    </w:p>
    <w:p w:rsidR="00965358" w:rsidRPr="00965358" w:rsidRDefault="00965358" w:rsidP="000C6A67">
      <w:pPr>
        <w:pStyle w:val="NormalWeb"/>
        <w:shd w:val="clear" w:color="auto" w:fill="FFFFFF" w:themeFill="background1"/>
        <w:spacing w:after="0" w:line="240" w:lineRule="auto"/>
        <w:jc w:val="both"/>
        <w:textAlignment w:val="baseline"/>
        <w:rPr>
          <w:rFonts w:ascii="Arial" w:hAnsi="Arial" w:cs="Arial"/>
        </w:rPr>
      </w:pPr>
      <w:r w:rsidRPr="00965358">
        <w:rPr>
          <w:rFonts w:ascii="Arial" w:hAnsi="Arial" w:cs="Arial"/>
          <w:b/>
        </w:rPr>
        <w:t>Direcţiile principale de acţiune</w:t>
      </w:r>
      <w:r w:rsidRPr="00965358">
        <w:rPr>
          <w:rFonts w:ascii="Arial" w:hAnsi="Arial" w:cs="Arial"/>
        </w:rPr>
        <w:t>, printre care se regasește și educația și formarea profesională, detaliate pe sectoare şi orizonturi de timp sunt:</w:t>
      </w:r>
    </w:p>
    <w:p w:rsidR="00443416" w:rsidRDefault="00965358" w:rsidP="00445724">
      <w:pPr>
        <w:pStyle w:val="ListParagraph"/>
        <w:numPr>
          <w:ilvl w:val="0"/>
          <w:numId w:val="20"/>
        </w:numPr>
        <w:shd w:val="clear" w:color="auto" w:fill="FFFFFF" w:themeFill="background1"/>
        <w:jc w:val="both"/>
        <w:textAlignment w:val="baseline"/>
        <w:rPr>
          <w:rFonts w:ascii="Arial" w:hAnsi="Arial" w:cs="Arial"/>
          <w:sz w:val="24"/>
          <w:szCs w:val="24"/>
        </w:rPr>
      </w:pPr>
      <w:r w:rsidRPr="00443416">
        <w:rPr>
          <w:rFonts w:ascii="Arial" w:hAnsi="Arial" w:cs="Arial"/>
          <w:sz w:val="24"/>
          <w:szCs w:val="24"/>
        </w:rPr>
        <w:t>Corelarea raţională a obiectivelor de dezvoltare, inclusiv a programelor investiţionale în profil inter-sectorial şi regional, cu potenţialul şi capacitatea de susţinere a capitalului natural;</w:t>
      </w:r>
    </w:p>
    <w:p w:rsidR="00443416" w:rsidRDefault="00965358" w:rsidP="00445724">
      <w:pPr>
        <w:pStyle w:val="ListParagraph"/>
        <w:numPr>
          <w:ilvl w:val="0"/>
          <w:numId w:val="20"/>
        </w:numPr>
        <w:shd w:val="clear" w:color="auto" w:fill="FFFFFF" w:themeFill="background1"/>
        <w:jc w:val="both"/>
        <w:textAlignment w:val="baseline"/>
        <w:rPr>
          <w:rFonts w:ascii="Arial" w:hAnsi="Arial" w:cs="Arial"/>
          <w:sz w:val="24"/>
          <w:szCs w:val="24"/>
        </w:rPr>
      </w:pPr>
      <w:r w:rsidRPr="00443416">
        <w:rPr>
          <w:rFonts w:ascii="Arial" w:hAnsi="Arial" w:cs="Arial"/>
          <w:i/>
          <w:sz w:val="24"/>
          <w:szCs w:val="24"/>
        </w:rPr>
        <w:t>Modernizarea accelerată a sistemelor de educaţie şi formare profesională</w:t>
      </w:r>
      <w:r w:rsidRPr="00443416">
        <w:rPr>
          <w:rFonts w:ascii="Arial" w:hAnsi="Arial" w:cs="Arial"/>
          <w:b/>
          <w:sz w:val="24"/>
          <w:szCs w:val="24"/>
        </w:rPr>
        <w:t>,</w:t>
      </w:r>
      <w:r w:rsidRPr="00443416">
        <w:rPr>
          <w:rFonts w:ascii="Arial" w:hAnsi="Arial" w:cs="Arial"/>
          <w:sz w:val="24"/>
          <w:szCs w:val="24"/>
        </w:rPr>
        <w:t xml:space="preserve"> sănătate publică şi servicii sociale, ţinând seama de evoluţiile demografice şi de impactul acestora pe piaţa muncii;</w:t>
      </w:r>
    </w:p>
    <w:p w:rsidR="00443416" w:rsidRDefault="00965358" w:rsidP="00445724">
      <w:pPr>
        <w:pStyle w:val="ListParagraph"/>
        <w:numPr>
          <w:ilvl w:val="0"/>
          <w:numId w:val="20"/>
        </w:numPr>
        <w:shd w:val="clear" w:color="auto" w:fill="FFFFFF" w:themeFill="background1"/>
        <w:jc w:val="both"/>
        <w:textAlignment w:val="baseline"/>
        <w:rPr>
          <w:rFonts w:ascii="Arial" w:hAnsi="Arial" w:cs="Arial"/>
          <w:sz w:val="24"/>
          <w:szCs w:val="24"/>
        </w:rPr>
      </w:pPr>
      <w:r w:rsidRPr="00443416">
        <w:rPr>
          <w:rFonts w:ascii="Arial" w:hAnsi="Arial" w:cs="Arial"/>
          <w:sz w:val="24"/>
          <w:szCs w:val="24"/>
        </w:rPr>
        <w:t xml:space="preserve">Folosirea generalizată a celor mai bune tehnologii existente, din punct de vedere economic şi ecologic, în deciziile investiţionale; </w:t>
      </w:r>
    </w:p>
    <w:p w:rsidR="00443416" w:rsidRDefault="00965358" w:rsidP="00445724">
      <w:pPr>
        <w:pStyle w:val="ListParagraph"/>
        <w:numPr>
          <w:ilvl w:val="0"/>
          <w:numId w:val="20"/>
        </w:numPr>
        <w:shd w:val="clear" w:color="auto" w:fill="FFFFFF" w:themeFill="background1"/>
        <w:jc w:val="both"/>
        <w:textAlignment w:val="baseline"/>
        <w:rPr>
          <w:rFonts w:ascii="Arial" w:hAnsi="Arial" w:cs="Arial"/>
          <w:sz w:val="24"/>
          <w:szCs w:val="24"/>
        </w:rPr>
      </w:pPr>
      <w:r w:rsidRPr="00443416">
        <w:rPr>
          <w:rFonts w:ascii="Arial" w:hAnsi="Arial" w:cs="Arial"/>
          <w:sz w:val="24"/>
          <w:szCs w:val="24"/>
        </w:rPr>
        <w:t>Anticiparea efectelor schimbărilor climatice şi elaborarea atât a unor soluţii de adaptare pe termen lung, cât și  a unor planuri de măsuri pentru situaţii de criză generate de fenomene naturale sau antropice;</w:t>
      </w:r>
    </w:p>
    <w:p w:rsidR="00443416" w:rsidRDefault="00965358" w:rsidP="00445724">
      <w:pPr>
        <w:pStyle w:val="ListParagraph"/>
        <w:numPr>
          <w:ilvl w:val="0"/>
          <w:numId w:val="20"/>
        </w:numPr>
        <w:shd w:val="clear" w:color="auto" w:fill="FFFFFF" w:themeFill="background1"/>
        <w:jc w:val="both"/>
        <w:textAlignment w:val="baseline"/>
        <w:rPr>
          <w:rFonts w:ascii="Arial" w:hAnsi="Arial" w:cs="Arial"/>
          <w:sz w:val="24"/>
          <w:szCs w:val="24"/>
        </w:rPr>
      </w:pPr>
      <w:r w:rsidRPr="00443416">
        <w:rPr>
          <w:rFonts w:ascii="Arial" w:hAnsi="Arial" w:cs="Arial"/>
          <w:sz w:val="24"/>
          <w:szCs w:val="24"/>
        </w:rPr>
        <w:lastRenderedPageBreak/>
        <w:t>Asigurarea securităţii şi siguranţei alimentare;</w:t>
      </w:r>
    </w:p>
    <w:p w:rsidR="00443416" w:rsidRDefault="00965358" w:rsidP="00445724">
      <w:pPr>
        <w:pStyle w:val="ListParagraph"/>
        <w:numPr>
          <w:ilvl w:val="0"/>
          <w:numId w:val="20"/>
        </w:numPr>
        <w:shd w:val="clear" w:color="auto" w:fill="FFFFFF" w:themeFill="background1"/>
        <w:jc w:val="both"/>
        <w:textAlignment w:val="baseline"/>
        <w:rPr>
          <w:rFonts w:ascii="Arial" w:hAnsi="Arial" w:cs="Arial"/>
          <w:sz w:val="24"/>
          <w:szCs w:val="24"/>
        </w:rPr>
      </w:pPr>
      <w:r w:rsidRPr="00443416">
        <w:rPr>
          <w:rFonts w:ascii="Arial" w:hAnsi="Arial" w:cs="Arial"/>
          <w:sz w:val="24"/>
          <w:szCs w:val="24"/>
        </w:rPr>
        <w:t xml:space="preserve">Identificarea unor surse suplimentare de finanţare pentru realizarea unor proiecte şi programe de anvergură, în special în domeniile infrastructurii, energiei, protecţiei mediului, siguranţei alimentare, </w:t>
      </w:r>
      <w:r w:rsidRPr="00443416">
        <w:rPr>
          <w:rFonts w:ascii="Arial" w:hAnsi="Arial" w:cs="Arial"/>
          <w:i/>
          <w:sz w:val="24"/>
          <w:szCs w:val="24"/>
        </w:rPr>
        <w:t>educaţiei,</w:t>
      </w:r>
      <w:r w:rsidRPr="00443416">
        <w:rPr>
          <w:rFonts w:ascii="Arial" w:hAnsi="Arial" w:cs="Arial"/>
          <w:sz w:val="24"/>
          <w:szCs w:val="24"/>
        </w:rPr>
        <w:t xml:space="preserve"> sănătăţii şi serviciilor sociale;</w:t>
      </w:r>
    </w:p>
    <w:p w:rsidR="00965358" w:rsidRPr="00E142BB" w:rsidRDefault="00965358" w:rsidP="00445724">
      <w:pPr>
        <w:pStyle w:val="ListParagraph"/>
        <w:numPr>
          <w:ilvl w:val="0"/>
          <w:numId w:val="20"/>
        </w:numPr>
        <w:shd w:val="clear" w:color="auto" w:fill="FFFFFF" w:themeFill="background1"/>
        <w:jc w:val="both"/>
        <w:textAlignment w:val="baseline"/>
        <w:rPr>
          <w:rFonts w:ascii="Arial" w:hAnsi="Arial" w:cs="Arial"/>
          <w:sz w:val="24"/>
          <w:szCs w:val="24"/>
        </w:rPr>
      </w:pPr>
      <w:r w:rsidRPr="00443416">
        <w:rPr>
          <w:rFonts w:ascii="Arial" w:hAnsi="Arial" w:cs="Arial"/>
          <w:sz w:val="24"/>
          <w:szCs w:val="24"/>
        </w:rPr>
        <w:t>Protecţia şi punerea în valoare a patrimoniului cultural şi natural naţional; racordarea la normele şi standardele europene privind calitatea vieţii să fie însoţită de revitalizarea, în modernitate, a unor moduri de vieţuire tradiţionale, în special în zonele montane şi cele umede.</w:t>
      </w:r>
    </w:p>
    <w:p w:rsidR="00965358" w:rsidRPr="00965358" w:rsidRDefault="00965358" w:rsidP="000C6A67">
      <w:pPr>
        <w:shd w:val="clear" w:color="auto" w:fill="FFFFFF" w:themeFill="background1"/>
        <w:spacing w:after="0" w:line="240" w:lineRule="auto"/>
        <w:jc w:val="both"/>
        <w:textAlignment w:val="baseline"/>
        <w:rPr>
          <w:rFonts w:ascii="Arial" w:hAnsi="Arial" w:cs="Arial"/>
          <w:b/>
          <w:sz w:val="24"/>
          <w:szCs w:val="24"/>
        </w:rPr>
      </w:pPr>
      <w:r w:rsidRPr="00965358">
        <w:rPr>
          <w:rFonts w:ascii="Arial" w:hAnsi="Arial" w:cs="Arial"/>
          <w:sz w:val="24"/>
          <w:szCs w:val="24"/>
        </w:rPr>
        <w:t xml:space="preserve">In cadrul Temelor  inter - şi  trans – sectoriale sunt abordate două sectoare de interes din perspectiva noastă, a elaborării PRAI, și anume: </w:t>
      </w:r>
      <w:r w:rsidRPr="00965358">
        <w:rPr>
          <w:rFonts w:ascii="Arial" w:hAnsi="Arial" w:cs="Arial"/>
          <w:b/>
          <w:sz w:val="24"/>
          <w:szCs w:val="24"/>
        </w:rPr>
        <w:t>1.1. Educaţie şi formare profesională  și 1.2. Cercetarea ştiinţifică şi dezvoltarea tehnologică, inovarea</w:t>
      </w:r>
    </w:p>
    <w:p w:rsidR="00435DBC" w:rsidRPr="00965358" w:rsidRDefault="00965358" w:rsidP="000C6A67">
      <w:pPr>
        <w:shd w:val="clear" w:color="auto" w:fill="FFFFFF" w:themeFill="background1"/>
        <w:spacing w:after="0" w:line="240" w:lineRule="auto"/>
        <w:jc w:val="both"/>
        <w:textAlignment w:val="baseline"/>
        <w:rPr>
          <w:rFonts w:ascii="Arial" w:hAnsi="Arial" w:cs="Arial"/>
          <w:b/>
          <w:sz w:val="24"/>
          <w:szCs w:val="24"/>
        </w:rPr>
      </w:pPr>
      <w:r w:rsidRPr="00965358">
        <w:rPr>
          <w:rFonts w:ascii="Arial" w:hAnsi="Arial" w:cs="Arial"/>
          <w:b/>
          <w:sz w:val="24"/>
          <w:szCs w:val="24"/>
        </w:rPr>
        <w:t>Tabelul sin</w:t>
      </w:r>
      <w:r w:rsidR="00435DBC">
        <w:rPr>
          <w:rFonts w:ascii="Arial" w:hAnsi="Arial" w:cs="Arial"/>
          <w:b/>
          <w:sz w:val="24"/>
          <w:szCs w:val="24"/>
        </w:rPr>
        <w:t>tetic de mai jos prezintă pe scu</w:t>
      </w:r>
      <w:r w:rsidRPr="00965358">
        <w:rPr>
          <w:rFonts w:ascii="Arial" w:hAnsi="Arial" w:cs="Arial"/>
          <w:b/>
          <w:sz w:val="24"/>
          <w:szCs w:val="24"/>
        </w:rPr>
        <w:t xml:space="preserve">rt Obiectivele pe termen scurt, mediu și lung aferente acestor teme, cu exemple de direcții de acțiuni și măsuri, care apoi sunt detaliate in paragrafele ce urmează. </w:t>
      </w:r>
    </w:p>
    <w:p w:rsidR="00965358" w:rsidRPr="00435DBC" w:rsidRDefault="00435DBC" w:rsidP="000C6A67">
      <w:pPr>
        <w:shd w:val="clear" w:color="auto" w:fill="FFFFFF" w:themeFill="background1"/>
        <w:spacing w:after="0" w:line="240" w:lineRule="auto"/>
        <w:jc w:val="center"/>
        <w:textAlignment w:val="baseline"/>
        <w:rPr>
          <w:rFonts w:ascii="Arial" w:hAnsi="Arial" w:cs="Arial"/>
          <w:b/>
        </w:rPr>
      </w:pPr>
      <w:r w:rsidRPr="006F004E">
        <w:rPr>
          <w:rFonts w:ascii="Arial" w:hAnsi="Arial" w:cs="Arial"/>
        </w:rPr>
        <w:t>Tabel nr.</w:t>
      </w:r>
      <w:r w:rsidR="006F004E" w:rsidRPr="006F004E">
        <w:rPr>
          <w:rFonts w:ascii="Arial" w:hAnsi="Arial" w:cs="Arial"/>
        </w:rPr>
        <w:t>10</w:t>
      </w:r>
      <w:r w:rsidRPr="006F004E">
        <w:rPr>
          <w:rFonts w:ascii="Arial" w:hAnsi="Arial" w:cs="Arial"/>
        </w:rPr>
        <w:t>.</w:t>
      </w:r>
      <w:r w:rsidRPr="00435DBC">
        <w:rPr>
          <w:rFonts w:ascii="Arial" w:hAnsi="Arial" w:cs="Arial"/>
          <w:b/>
        </w:rPr>
        <w:t xml:space="preserve"> </w:t>
      </w:r>
      <w:r w:rsidRPr="00435DBC">
        <w:rPr>
          <w:rFonts w:ascii="Arial" w:hAnsi="Arial" w:cs="Arial"/>
        </w:rPr>
        <w:t>Temelor  inter - şi  trans – sectoriale</w:t>
      </w:r>
    </w:p>
    <w:tbl>
      <w:tblPr>
        <w:tblStyle w:val="TableGrid"/>
        <w:tblW w:w="9625" w:type="dxa"/>
        <w:tblLook w:val="04A0" w:firstRow="1" w:lastRow="0" w:firstColumn="1" w:lastColumn="0" w:noHBand="0" w:noVBand="1"/>
      </w:tblPr>
      <w:tblGrid>
        <w:gridCol w:w="1728"/>
        <w:gridCol w:w="4140"/>
        <w:gridCol w:w="3757"/>
      </w:tblGrid>
      <w:tr w:rsidR="006875A3" w:rsidRPr="00965358" w:rsidTr="00925AED">
        <w:tc>
          <w:tcPr>
            <w:tcW w:w="9625" w:type="dxa"/>
            <w:gridSpan w:val="3"/>
          </w:tcPr>
          <w:p w:rsidR="006875A3" w:rsidRPr="00965358" w:rsidRDefault="006875A3" w:rsidP="006875A3">
            <w:pPr>
              <w:pStyle w:val="p203"/>
              <w:spacing w:before="0" w:beforeAutospacing="0" w:after="0" w:afterAutospacing="0"/>
              <w:jc w:val="center"/>
              <w:rPr>
                <w:rFonts w:ascii="Arial" w:hAnsi="Arial" w:cs="Arial"/>
                <w:b/>
                <w:sz w:val="22"/>
                <w:szCs w:val="22"/>
                <w:u w:val="single"/>
              </w:rPr>
            </w:pPr>
            <w:r>
              <w:rPr>
                <w:rFonts w:ascii="Arial" w:hAnsi="Arial" w:cs="Arial"/>
                <w:b/>
                <w:sz w:val="22"/>
                <w:szCs w:val="22"/>
              </w:rPr>
              <w:t>Tema inter</w:t>
            </w:r>
            <w:r w:rsidRPr="00965358">
              <w:rPr>
                <w:rFonts w:ascii="Arial" w:hAnsi="Arial" w:cs="Arial"/>
                <w:b/>
                <w:sz w:val="22"/>
                <w:szCs w:val="22"/>
              </w:rPr>
              <w:t xml:space="preserve">- </w:t>
            </w:r>
            <w:r>
              <w:rPr>
                <w:rFonts w:ascii="Arial" w:hAnsi="Arial" w:cs="Arial"/>
                <w:b/>
                <w:sz w:val="22"/>
                <w:szCs w:val="22"/>
              </w:rPr>
              <w:t xml:space="preserve">şi  trans </w:t>
            </w:r>
            <w:r w:rsidRPr="00965358">
              <w:rPr>
                <w:rFonts w:ascii="Arial" w:hAnsi="Arial" w:cs="Arial"/>
                <w:b/>
                <w:sz w:val="22"/>
                <w:szCs w:val="22"/>
              </w:rPr>
              <w:t>-sectorială</w:t>
            </w:r>
          </w:p>
        </w:tc>
      </w:tr>
      <w:tr w:rsidR="00965358" w:rsidRPr="00965358" w:rsidTr="00965358">
        <w:tc>
          <w:tcPr>
            <w:tcW w:w="1728" w:type="dxa"/>
          </w:tcPr>
          <w:p w:rsidR="00965358" w:rsidRPr="00965358" w:rsidRDefault="00965358" w:rsidP="000C6A67">
            <w:pPr>
              <w:pStyle w:val="p203"/>
              <w:spacing w:before="0" w:beforeAutospacing="0" w:after="0" w:afterAutospacing="0"/>
              <w:jc w:val="both"/>
              <w:rPr>
                <w:rFonts w:ascii="Arial" w:hAnsi="Arial" w:cs="Arial"/>
                <w:b/>
                <w:sz w:val="22"/>
                <w:szCs w:val="22"/>
              </w:rPr>
            </w:pPr>
          </w:p>
        </w:tc>
        <w:tc>
          <w:tcPr>
            <w:tcW w:w="4140" w:type="dxa"/>
          </w:tcPr>
          <w:p w:rsidR="00965358" w:rsidRPr="00965358" w:rsidRDefault="00965358" w:rsidP="000C6A67">
            <w:pPr>
              <w:pStyle w:val="p203"/>
              <w:spacing w:before="0" w:beforeAutospacing="0" w:after="0" w:afterAutospacing="0"/>
              <w:jc w:val="both"/>
              <w:rPr>
                <w:rFonts w:ascii="Arial" w:hAnsi="Arial" w:cs="Arial"/>
                <w:b/>
                <w:sz w:val="22"/>
                <w:szCs w:val="22"/>
              </w:rPr>
            </w:pPr>
            <w:r w:rsidRPr="00965358">
              <w:rPr>
                <w:rFonts w:ascii="Arial" w:hAnsi="Arial" w:cs="Arial"/>
                <w:b/>
                <w:sz w:val="22"/>
                <w:szCs w:val="22"/>
              </w:rPr>
              <w:t>1.1. Educaţie şi formare profesională</w:t>
            </w:r>
          </w:p>
        </w:tc>
        <w:tc>
          <w:tcPr>
            <w:tcW w:w="3757" w:type="dxa"/>
          </w:tcPr>
          <w:p w:rsidR="00965358" w:rsidRPr="00965358" w:rsidRDefault="00965358" w:rsidP="000C6A67">
            <w:pPr>
              <w:pStyle w:val="p208"/>
              <w:spacing w:before="0" w:beforeAutospacing="0" w:after="0" w:afterAutospacing="0"/>
              <w:jc w:val="both"/>
              <w:rPr>
                <w:rFonts w:ascii="Arial" w:hAnsi="Arial" w:cs="Arial"/>
                <w:b/>
                <w:sz w:val="22"/>
                <w:szCs w:val="22"/>
              </w:rPr>
            </w:pPr>
            <w:r w:rsidRPr="00965358">
              <w:rPr>
                <w:rFonts w:ascii="Arial" w:hAnsi="Arial" w:cs="Arial"/>
                <w:b/>
                <w:sz w:val="22"/>
                <w:szCs w:val="22"/>
              </w:rPr>
              <w:t xml:space="preserve">1.2. Cercetarea ştiinţifică şi dezvoltarea tehnologică, inovarea </w:t>
            </w:r>
          </w:p>
        </w:tc>
      </w:tr>
      <w:tr w:rsidR="00965358" w:rsidRPr="00965358" w:rsidTr="002A61B3">
        <w:tc>
          <w:tcPr>
            <w:tcW w:w="1728" w:type="dxa"/>
            <w:shd w:val="clear" w:color="auto" w:fill="66CCFF"/>
          </w:tcPr>
          <w:p w:rsidR="00965358" w:rsidRPr="00965358" w:rsidRDefault="00965358" w:rsidP="000860D9">
            <w:pPr>
              <w:pStyle w:val="p203"/>
              <w:spacing w:before="0" w:beforeAutospacing="0" w:after="0" w:afterAutospacing="0"/>
              <w:jc w:val="center"/>
              <w:rPr>
                <w:rFonts w:ascii="Arial" w:hAnsi="Arial" w:cs="Arial"/>
                <w:sz w:val="22"/>
                <w:szCs w:val="22"/>
              </w:rPr>
            </w:pPr>
            <w:r w:rsidRPr="00965358">
              <w:rPr>
                <w:rFonts w:ascii="Arial" w:hAnsi="Arial" w:cs="Arial"/>
                <w:sz w:val="22"/>
                <w:szCs w:val="22"/>
              </w:rPr>
              <w:t>Orizont 2013 termen scurt</w:t>
            </w:r>
          </w:p>
          <w:p w:rsidR="00965358" w:rsidRPr="00965358" w:rsidRDefault="00965358" w:rsidP="000860D9">
            <w:pPr>
              <w:pStyle w:val="p203"/>
              <w:spacing w:before="0" w:beforeAutospacing="0" w:after="0" w:afterAutospacing="0"/>
              <w:jc w:val="center"/>
              <w:rPr>
                <w:rFonts w:ascii="Arial" w:hAnsi="Arial" w:cs="Arial"/>
                <w:sz w:val="22"/>
                <w:szCs w:val="22"/>
              </w:rPr>
            </w:pPr>
          </w:p>
          <w:p w:rsidR="00965358" w:rsidRPr="00965358" w:rsidRDefault="00965358" w:rsidP="000860D9">
            <w:pPr>
              <w:pStyle w:val="p203"/>
              <w:spacing w:before="0" w:beforeAutospacing="0" w:after="0" w:afterAutospacing="0"/>
              <w:jc w:val="center"/>
              <w:rPr>
                <w:rFonts w:ascii="Arial" w:hAnsi="Arial" w:cs="Arial"/>
                <w:sz w:val="22"/>
                <w:szCs w:val="22"/>
              </w:rPr>
            </w:pPr>
            <w:r w:rsidRPr="00965358">
              <w:rPr>
                <w:rFonts w:ascii="Arial" w:hAnsi="Arial" w:cs="Arial"/>
                <w:sz w:val="22"/>
                <w:szCs w:val="22"/>
              </w:rPr>
              <w:t>Obiectiv naţional</w:t>
            </w:r>
          </w:p>
        </w:tc>
        <w:tc>
          <w:tcPr>
            <w:tcW w:w="4140" w:type="dxa"/>
            <w:shd w:val="clear" w:color="auto" w:fill="66CCFF"/>
          </w:tcPr>
          <w:p w:rsidR="00965358" w:rsidRPr="00965358" w:rsidRDefault="00965358" w:rsidP="000C6A67">
            <w:pPr>
              <w:pStyle w:val="p203"/>
              <w:spacing w:before="0" w:beforeAutospacing="0" w:after="0" w:afterAutospacing="0"/>
              <w:jc w:val="both"/>
              <w:rPr>
                <w:rFonts w:ascii="Arial" w:hAnsi="Arial" w:cs="Arial"/>
                <w:sz w:val="22"/>
                <w:szCs w:val="22"/>
              </w:rPr>
            </w:pPr>
            <w:r w:rsidRPr="00965358">
              <w:rPr>
                <w:rFonts w:ascii="Arial" w:hAnsi="Arial" w:cs="Arial"/>
                <w:sz w:val="22"/>
                <w:szCs w:val="22"/>
              </w:rPr>
              <w:t>Dezvoltarea capitalului uman şi creşterea competitivităţii prin corelarea educaţiei şi învăţării pe tot parcursul vieţii cu piaţa muncii şi asigurarea oportunităţii sporite pentru participarea viitoare pe o piaţă a muncii modernă, flexibilă şi incluzivă.</w:t>
            </w:r>
          </w:p>
        </w:tc>
        <w:tc>
          <w:tcPr>
            <w:tcW w:w="3757" w:type="dxa"/>
            <w:shd w:val="clear" w:color="auto" w:fill="66CCFF"/>
          </w:tcPr>
          <w:p w:rsidR="00965358" w:rsidRPr="00965358" w:rsidRDefault="00965358" w:rsidP="000C6A67">
            <w:pPr>
              <w:pStyle w:val="p208"/>
              <w:spacing w:before="0" w:beforeAutospacing="0" w:after="0" w:afterAutospacing="0"/>
              <w:jc w:val="both"/>
              <w:rPr>
                <w:rFonts w:ascii="Arial" w:hAnsi="Arial" w:cs="Arial"/>
                <w:sz w:val="22"/>
                <w:szCs w:val="22"/>
              </w:rPr>
            </w:pPr>
            <w:r w:rsidRPr="00965358">
              <w:rPr>
                <w:rFonts w:ascii="Arial" w:hAnsi="Arial" w:cs="Arial"/>
                <w:sz w:val="22"/>
                <w:szCs w:val="22"/>
              </w:rPr>
              <w:t>Atingerea mediei UE la indicatorii de bază ce descriu structura şi performanţa sistemului de cercetare, dezvoltare şi inovare</w:t>
            </w:r>
            <w:r w:rsidRPr="00965358">
              <w:rPr>
                <w:rStyle w:val="ft16"/>
                <w:rFonts w:ascii="Arial" w:eastAsia="Calibri" w:hAnsi="Arial" w:cs="Arial"/>
                <w:sz w:val="22"/>
                <w:szCs w:val="22"/>
              </w:rPr>
              <w:t>.</w:t>
            </w:r>
          </w:p>
        </w:tc>
      </w:tr>
      <w:tr w:rsidR="00965358" w:rsidRPr="00965358" w:rsidTr="00965358">
        <w:tc>
          <w:tcPr>
            <w:tcW w:w="1728" w:type="dxa"/>
          </w:tcPr>
          <w:p w:rsidR="00965358" w:rsidRPr="00965358" w:rsidRDefault="00965358" w:rsidP="000860D9">
            <w:pPr>
              <w:pStyle w:val="p203"/>
              <w:spacing w:before="0" w:beforeAutospacing="0" w:after="0" w:afterAutospacing="0"/>
              <w:jc w:val="center"/>
              <w:rPr>
                <w:rFonts w:ascii="Arial" w:hAnsi="Arial" w:cs="Arial"/>
                <w:sz w:val="22"/>
                <w:szCs w:val="22"/>
              </w:rPr>
            </w:pPr>
          </w:p>
          <w:p w:rsidR="00965358" w:rsidRPr="00965358" w:rsidRDefault="000860D9" w:rsidP="000860D9">
            <w:pPr>
              <w:pStyle w:val="p203"/>
              <w:spacing w:before="0" w:beforeAutospacing="0" w:after="0" w:afterAutospacing="0"/>
              <w:jc w:val="center"/>
              <w:rPr>
                <w:rFonts w:ascii="Arial" w:hAnsi="Arial" w:cs="Arial"/>
                <w:sz w:val="22"/>
                <w:szCs w:val="22"/>
              </w:rPr>
            </w:pPr>
            <w:r>
              <w:rPr>
                <w:rFonts w:ascii="Arial" w:hAnsi="Arial" w:cs="Arial"/>
                <w:sz w:val="22"/>
                <w:szCs w:val="22"/>
              </w:rPr>
              <w:t>Direcții de acțiune /</w:t>
            </w:r>
            <w:r w:rsidR="00381F74">
              <w:rPr>
                <w:rFonts w:ascii="Arial" w:hAnsi="Arial" w:cs="Arial"/>
                <w:sz w:val="22"/>
                <w:szCs w:val="22"/>
              </w:rPr>
              <w:t>mă</w:t>
            </w:r>
            <w:r w:rsidR="00965358" w:rsidRPr="00965358">
              <w:rPr>
                <w:rFonts w:ascii="Arial" w:hAnsi="Arial" w:cs="Arial"/>
                <w:sz w:val="22"/>
                <w:szCs w:val="22"/>
              </w:rPr>
              <w:t>suri</w:t>
            </w:r>
          </w:p>
        </w:tc>
        <w:tc>
          <w:tcPr>
            <w:tcW w:w="4140" w:type="dxa"/>
          </w:tcPr>
          <w:p w:rsidR="00965358" w:rsidRPr="00965358" w:rsidRDefault="00965358" w:rsidP="000C6A67">
            <w:pPr>
              <w:pStyle w:val="p23"/>
              <w:spacing w:before="0" w:beforeAutospacing="0" w:after="0" w:afterAutospacing="0"/>
              <w:jc w:val="both"/>
              <w:rPr>
                <w:rFonts w:ascii="Arial" w:hAnsi="Arial" w:cs="Arial"/>
                <w:sz w:val="22"/>
                <w:szCs w:val="22"/>
              </w:rPr>
            </w:pPr>
            <w:r w:rsidRPr="00965358">
              <w:rPr>
                <w:rFonts w:ascii="Arial" w:hAnsi="Arial" w:cs="Arial"/>
                <w:sz w:val="22"/>
                <w:szCs w:val="22"/>
              </w:rPr>
              <w:t xml:space="preserve">Conţinuturi de educaţie socio-culturală pe teme locale şi </w:t>
            </w:r>
            <w:r w:rsidR="00443416">
              <w:rPr>
                <w:rFonts w:ascii="Arial" w:hAnsi="Arial" w:cs="Arial"/>
                <w:sz w:val="22"/>
                <w:szCs w:val="22"/>
              </w:rPr>
              <w:t>universal;</w:t>
            </w:r>
            <w:r w:rsidRPr="00965358">
              <w:rPr>
                <w:rFonts w:ascii="Arial" w:hAnsi="Arial" w:cs="Arial"/>
                <w:sz w:val="22"/>
                <w:szCs w:val="22"/>
              </w:rPr>
              <w:t xml:space="preserve"> </w:t>
            </w:r>
          </w:p>
          <w:p w:rsidR="00965358" w:rsidRPr="00965358" w:rsidRDefault="00965358" w:rsidP="000C6A67">
            <w:pPr>
              <w:pStyle w:val="p23"/>
              <w:spacing w:before="0" w:beforeAutospacing="0" w:after="0" w:afterAutospacing="0"/>
              <w:jc w:val="both"/>
              <w:rPr>
                <w:rFonts w:ascii="Arial" w:hAnsi="Arial" w:cs="Arial"/>
                <w:sz w:val="22"/>
                <w:szCs w:val="22"/>
              </w:rPr>
            </w:pPr>
            <w:r w:rsidRPr="00965358">
              <w:rPr>
                <w:rFonts w:ascii="Arial" w:hAnsi="Arial" w:cs="Arial"/>
                <w:sz w:val="22"/>
                <w:szCs w:val="22"/>
              </w:rPr>
              <w:t>Conţinuturi de educaţie ambientală</w:t>
            </w:r>
            <w:r w:rsidR="00443416">
              <w:rPr>
                <w:rFonts w:ascii="Arial" w:hAnsi="Arial" w:cs="Arial"/>
                <w:sz w:val="22"/>
                <w:szCs w:val="22"/>
              </w:rPr>
              <w:t>;</w:t>
            </w:r>
            <w:r w:rsidRPr="00965358">
              <w:rPr>
                <w:rFonts w:ascii="Arial" w:hAnsi="Arial" w:cs="Arial"/>
                <w:sz w:val="22"/>
                <w:szCs w:val="22"/>
              </w:rPr>
              <w:t xml:space="preserve"> </w:t>
            </w:r>
          </w:p>
          <w:p w:rsidR="00965358" w:rsidRPr="00965358" w:rsidRDefault="00965358" w:rsidP="000C6A67">
            <w:pPr>
              <w:pStyle w:val="p23"/>
              <w:spacing w:before="0" w:beforeAutospacing="0" w:after="0" w:afterAutospacing="0"/>
              <w:jc w:val="both"/>
              <w:rPr>
                <w:rFonts w:ascii="Arial" w:hAnsi="Arial" w:cs="Arial"/>
                <w:sz w:val="22"/>
                <w:szCs w:val="22"/>
              </w:rPr>
            </w:pPr>
            <w:r w:rsidRPr="00965358">
              <w:rPr>
                <w:rFonts w:ascii="Arial" w:hAnsi="Arial" w:cs="Arial"/>
                <w:sz w:val="22"/>
                <w:szCs w:val="22"/>
              </w:rPr>
              <w:t>Conţinuturi de educaţie şi formare tehnică şi profe</w:t>
            </w:r>
            <w:r w:rsidR="00443416">
              <w:rPr>
                <w:rFonts w:ascii="Arial" w:hAnsi="Arial" w:cs="Arial"/>
                <w:sz w:val="22"/>
                <w:szCs w:val="22"/>
              </w:rPr>
              <w:t>sională prin competenţe şi pro</w:t>
            </w:r>
            <w:r w:rsidRPr="00965358">
              <w:rPr>
                <w:rFonts w:ascii="Arial" w:hAnsi="Arial" w:cs="Arial"/>
                <w:sz w:val="22"/>
                <w:szCs w:val="22"/>
              </w:rPr>
              <w:t>atitudini, abilităţi şi aptitudinI; etica în mijlocul dezvoltării durabilităţii sociale.</w:t>
            </w:r>
          </w:p>
        </w:tc>
        <w:tc>
          <w:tcPr>
            <w:tcW w:w="3757" w:type="dxa"/>
          </w:tcPr>
          <w:p w:rsidR="00965358" w:rsidRPr="00965358" w:rsidRDefault="00965358" w:rsidP="000C6A67">
            <w:pPr>
              <w:pStyle w:val="p178"/>
              <w:spacing w:before="0" w:beforeAutospacing="0" w:after="0" w:afterAutospacing="0"/>
              <w:rPr>
                <w:rFonts w:ascii="Arial" w:hAnsi="Arial" w:cs="Arial"/>
                <w:sz w:val="22"/>
                <w:szCs w:val="22"/>
              </w:rPr>
            </w:pPr>
            <w:r w:rsidRPr="00965358">
              <w:rPr>
                <w:rStyle w:val="ft11"/>
                <w:rFonts w:ascii="Arial" w:hAnsi="Arial" w:cs="Arial"/>
                <w:sz w:val="22"/>
                <w:szCs w:val="22"/>
              </w:rPr>
              <w:t xml:space="preserve">Crearea de cunoştinţe </w:t>
            </w:r>
            <w:r w:rsidRPr="00965358">
              <w:rPr>
                <w:rFonts w:ascii="Arial" w:hAnsi="Arial" w:cs="Arial"/>
                <w:sz w:val="22"/>
                <w:szCs w:val="22"/>
              </w:rPr>
              <w:t>şi creşterea vizibilităţii internaţionale a cercetării româneşti</w:t>
            </w:r>
            <w:r w:rsidR="00443416">
              <w:rPr>
                <w:rFonts w:ascii="Arial" w:hAnsi="Arial" w:cs="Arial"/>
                <w:sz w:val="22"/>
                <w:szCs w:val="22"/>
              </w:rPr>
              <w:t>:</w:t>
            </w:r>
            <w:r w:rsidRPr="00965358">
              <w:rPr>
                <w:rFonts w:ascii="Arial" w:hAnsi="Arial" w:cs="Arial"/>
                <w:sz w:val="22"/>
                <w:szCs w:val="22"/>
              </w:rPr>
              <w:t xml:space="preserve"> </w:t>
            </w:r>
          </w:p>
          <w:p w:rsidR="00965358" w:rsidRPr="00965358" w:rsidRDefault="00965358" w:rsidP="000C6A67">
            <w:pPr>
              <w:pStyle w:val="p85"/>
              <w:spacing w:before="0" w:beforeAutospacing="0" w:after="0" w:afterAutospacing="0"/>
              <w:jc w:val="both"/>
              <w:rPr>
                <w:rFonts w:ascii="Arial" w:hAnsi="Arial" w:cs="Arial"/>
                <w:sz w:val="22"/>
                <w:szCs w:val="22"/>
              </w:rPr>
            </w:pPr>
            <w:r w:rsidRPr="00965358">
              <w:rPr>
                <w:rStyle w:val="ft26"/>
                <w:rFonts w:ascii="Arial" w:hAnsi="Arial" w:cs="Arial"/>
                <w:sz w:val="22"/>
                <w:szCs w:val="22"/>
              </w:rPr>
              <w:t xml:space="preserve">Creşterea competitivităţii economiei româneşti </w:t>
            </w:r>
            <w:r w:rsidRPr="00965358">
              <w:rPr>
                <w:rStyle w:val="ft10"/>
                <w:rFonts w:ascii="Arial" w:hAnsi="Arial" w:cs="Arial"/>
                <w:sz w:val="22"/>
                <w:szCs w:val="22"/>
              </w:rPr>
              <w:t xml:space="preserve">prin promovarea inovării </w:t>
            </w:r>
          </w:p>
          <w:p w:rsidR="00965358" w:rsidRPr="00965358" w:rsidRDefault="00965358" w:rsidP="000C6A67">
            <w:pPr>
              <w:pStyle w:val="p31"/>
              <w:spacing w:before="0" w:beforeAutospacing="0" w:after="0" w:afterAutospacing="0"/>
              <w:jc w:val="both"/>
              <w:rPr>
                <w:rFonts w:ascii="Arial" w:hAnsi="Arial" w:cs="Arial"/>
                <w:sz w:val="22"/>
                <w:szCs w:val="22"/>
              </w:rPr>
            </w:pPr>
            <w:r w:rsidRPr="00965358">
              <w:rPr>
                <w:rStyle w:val="ft31"/>
                <w:rFonts w:ascii="Arial" w:hAnsi="Arial" w:cs="Arial"/>
                <w:sz w:val="22"/>
                <w:szCs w:val="22"/>
              </w:rPr>
              <w:t xml:space="preserve">Creşterea calităţii sociale </w:t>
            </w:r>
            <w:r w:rsidRPr="00965358">
              <w:rPr>
                <w:rFonts w:ascii="Arial" w:hAnsi="Arial" w:cs="Arial"/>
                <w:sz w:val="22"/>
                <w:szCs w:val="22"/>
              </w:rPr>
              <w:t>a cercetării</w:t>
            </w:r>
            <w:r w:rsidR="00443416">
              <w:rPr>
                <w:rFonts w:ascii="Arial" w:hAnsi="Arial" w:cs="Arial"/>
                <w:sz w:val="22"/>
                <w:szCs w:val="22"/>
              </w:rPr>
              <w:t>.</w:t>
            </w:r>
            <w:r w:rsidRPr="00965358">
              <w:rPr>
                <w:rFonts w:ascii="Arial" w:hAnsi="Arial" w:cs="Arial"/>
                <w:sz w:val="22"/>
                <w:szCs w:val="22"/>
              </w:rPr>
              <w:t xml:space="preserve">  </w:t>
            </w:r>
          </w:p>
        </w:tc>
      </w:tr>
      <w:tr w:rsidR="00965358" w:rsidRPr="00965358" w:rsidTr="002A61B3">
        <w:trPr>
          <w:trHeight w:val="1547"/>
        </w:trPr>
        <w:tc>
          <w:tcPr>
            <w:tcW w:w="1728" w:type="dxa"/>
            <w:shd w:val="clear" w:color="auto" w:fill="66CCFF"/>
          </w:tcPr>
          <w:p w:rsidR="00965358" w:rsidRPr="00965358" w:rsidRDefault="00965358" w:rsidP="000860D9">
            <w:pPr>
              <w:pStyle w:val="p203"/>
              <w:spacing w:before="0" w:beforeAutospacing="0" w:after="0" w:afterAutospacing="0"/>
              <w:jc w:val="center"/>
              <w:rPr>
                <w:rFonts w:ascii="Arial" w:hAnsi="Arial" w:cs="Arial"/>
                <w:sz w:val="22"/>
                <w:szCs w:val="22"/>
              </w:rPr>
            </w:pPr>
            <w:r w:rsidRPr="00965358">
              <w:rPr>
                <w:rFonts w:ascii="Arial" w:hAnsi="Arial" w:cs="Arial"/>
                <w:sz w:val="22"/>
                <w:szCs w:val="22"/>
              </w:rPr>
              <w:t>Orizont 2020 - termen mediu</w:t>
            </w:r>
          </w:p>
          <w:p w:rsidR="00965358" w:rsidRPr="00965358" w:rsidRDefault="00965358" w:rsidP="000860D9">
            <w:pPr>
              <w:pStyle w:val="p203"/>
              <w:spacing w:before="0" w:beforeAutospacing="0" w:after="0" w:afterAutospacing="0"/>
              <w:jc w:val="center"/>
              <w:rPr>
                <w:rFonts w:ascii="Arial" w:hAnsi="Arial" w:cs="Arial"/>
                <w:sz w:val="22"/>
                <w:szCs w:val="22"/>
              </w:rPr>
            </w:pPr>
          </w:p>
          <w:p w:rsidR="00965358" w:rsidRPr="00965358" w:rsidRDefault="00965358" w:rsidP="000860D9">
            <w:pPr>
              <w:pStyle w:val="p203"/>
              <w:spacing w:before="0" w:beforeAutospacing="0" w:after="0" w:afterAutospacing="0"/>
              <w:jc w:val="center"/>
              <w:rPr>
                <w:rFonts w:ascii="Arial" w:hAnsi="Arial" w:cs="Arial"/>
                <w:sz w:val="22"/>
                <w:szCs w:val="22"/>
              </w:rPr>
            </w:pPr>
            <w:r w:rsidRPr="00965358">
              <w:rPr>
                <w:rFonts w:ascii="Arial" w:hAnsi="Arial" w:cs="Arial"/>
                <w:sz w:val="22"/>
                <w:szCs w:val="22"/>
              </w:rPr>
              <w:t>Obiectiv national</w:t>
            </w:r>
          </w:p>
        </w:tc>
        <w:tc>
          <w:tcPr>
            <w:tcW w:w="4140" w:type="dxa"/>
            <w:shd w:val="clear" w:color="auto" w:fill="66CCFF"/>
          </w:tcPr>
          <w:p w:rsidR="00965358" w:rsidRPr="00965358" w:rsidRDefault="00965358" w:rsidP="000C6A67">
            <w:pPr>
              <w:pStyle w:val="p87"/>
              <w:spacing w:before="0" w:beforeAutospacing="0" w:after="0" w:afterAutospacing="0"/>
              <w:jc w:val="both"/>
              <w:rPr>
                <w:rFonts w:ascii="Arial" w:hAnsi="Arial" w:cs="Arial"/>
                <w:sz w:val="22"/>
                <w:szCs w:val="22"/>
                <w:u w:val="single"/>
              </w:rPr>
            </w:pPr>
            <w:r w:rsidRPr="00965358">
              <w:rPr>
                <w:rFonts w:ascii="Arial" w:hAnsi="Arial" w:cs="Arial"/>
                <w:sz w:val="22"/>
                <w:szCs w:val="22"/>
              </w:rPr>
              <w:t>Atingerea nivelului mediu de performanţă al UE în domeniul educaţiei şi formării profesionale, cu excepţia serviciilor în mediul rural şi pentru grupurile dezavantajate, unde ţintele sunt cele ale UE pentru 2010.</w:t>
            </w:r>
          </w:p>
        </w:tc>
        <w:tc>
          <w:tcPr>
            <w:tcW w:w="3757" w:type="dxa"/>
            <w:shd w:val="clear" w:color="auto" w:fill="66CCFF"/>
          </w:tcPr>
          <w:p w:rsidR="00965358" w:rsidRPr="00965358" w:rsidRDefault="00965358" w:rsidP="000C6A67">
            <w:pPr>
              <w:pStyle w:val="p103"/>
              <w:spacing w:before="0" w:beforeAutospacing="0" w:after="0" w:afterAutospacing="0"/>
              <w:jc w:val="both"/>
              <w:rPr>
                <w:rFonts w:ascii="Arial" w:hAnsi="Arial" w:cs="Arial"/>
                <w:sz w:val="22"/>
                <w:szCs w:val="22"/>
              </w:rPr>
            </w:pPr>
            <w:r w:rsidRPr="00965358">
              <w:rPr>
                <w:rFonts w:ascii="Arial" w:hAnsi="Arial" w:cs="Arial"/>
                <w:sz w:val="22"/>
                <w:szCs w:val="22"/>
              </w:rPr>
              <w:t>Încadrarea cercetării româneşti în fluxul principal al evoluţiilor ştiinţifice şi tehnologice din UE; generalizarea activităţilor inovative; apariţia unor centre de excelenţă cu impact internaţional.</w:t>
            </w:r>
            <w:r w:rsidRPr="00965358">
              <w:rPr>
                <w:rFonts w:ascii="Arial" w:hAnsi="Arial" w:cs="Arial"/>
                <w:sz w:val="22"/>
                <w:szCs w:val="22"/>
              </w:rPr>
              <w:tab/>
            </w:r>
          </w:p>
        </w:tc>
      </w:tr>
      <w:tr w:rsidR="00965358" w:rsidRPr="00965358" w:rsidTr="00965358">
        <w:tc>
          <w:tcPr>
            <w:tcW w:w="1728" w:type="dxa"/>
          </w:tcPr>
          <w:p w:rsidR="00965358" w:rsidRPr="00965358" w:rsidRDefault="00965358" w:rsidP="000860D9">
            <w:pPr>
              <w:pStyle w:val="p203"/>
              <w:spacing w:before="0" w:beforeAutospacing="0" w:after="0" w:afterAutospacing="0"/>
              <w:jc w:val="center"/>
              <w:rPr>
                <w:rFonts w:ascii="Arial" w:hAnsi="Arial" w:cs="Arial"/>
                <w:b/>
                <w:sz w:val="22"/>
                <w:szCs w:val="22"/>
              </w:rPr>
            </w:pPr>
          </w:p>
          <w:p w:rsidR="00965358" w:rsidRPr="00965358" w:rsidRDefault="000860D9" w:rsidP="000860D9">
            <w:pPr>
              <w:pStyle w:val="p203"/>
              <w:spacing w:before="0" w:beforeAutospacing="0" w:after="0" w:afterAutospacing="0"/>
              <w:jc w:val="center"/>
              <w:rPr>
                <w:rFonts w:ascii="Arial" w:hAnsi="Arial" w:cs="Arial"/>
                <w:sz w:val="22"/>
                <w:szCs w:val="22"/>
              </w:rPr>
            </w:pPr>
            <w:r>
              <w:rPr>
                <w:rFonts w:ascii="Arial" w:hAnsi="Arial" w:cs="Arial"/>
                <w:sz w:val="22"/>
                <w:szCs w:val="22"/>
              </w:rPr>
              <w:t>Direcții de acțiune /</w:t>
            </w:r>
            <w:r w:rsidR="00381F74">
              <w:rPr>
                <w:rFonts w:ascii="Arial" w:hAnsi="Arial" w:cs="Arial"/>
                <w:sz w:val="22"/>
                <w:szCs w:val="22"/>
              </w:rPr>
              <w:t>mă</w:t>
            </w:r>
            <w:r w:rsidR="00381F74" w:rsidRPr="00965358">
              <w:rPr>
                <w:rFonts w:ascii="Arial" w:hAnsi="Arial" w:cs="Arial"/>
                <w:sz w:val="22"/>
                <w:szCs w:val="22"/>
              </w:rPr>
              <w:t>suri</w:t>
            </w:r>
          </w:p>
        </w:tc>
        <w:tc>
          <w:tcPr>
            <w:tcW w:w="4140" w:type="dxa"/>
          </w:tcPr>
          <w:p w:rsidR="00965358" w:rsidRPr="00965358" w:rsidRDefault="00965358" w:rsidP="000C6A67">
            <w:pPr>
              <w:pStyle w:val="p87"/>
              <w:spacing w:before="0" w:beforeAutospacing="0" w:after="0" w:afterAutospacing="0"/>
              <w:jc w:val="both"/>
              <w:rPr>
                <w:rFonts w:ascii="Arial" w:hAnsi="Arial" w:cs="Arial"/>
                <w:sz w:val="22"/>
                <w:szCs w:val="22"/>
              </w:rPr>
            </w:pPr>
            <w:r w:rsidRPr="00965358">
              <w:rPr>
                <w:rFonts w:ascii="Arial" w:hAnsi="Arial" w:cs="Arial"/>
                <w:sz w:val="22"/>
                <w:szCs w:val="22"/>
              </w:rPr>
              <w:t>Restructurarea ciclurilor de învăţământ pe baza Cadrul Naţional al Calificărilor</w:t>
            </w:r>
          </w:p>
          <w:p w:rsidR="00965358" w:rsidRPr="00965358" w:rsidRDefault="00965358" w:rsidP="000C6A67">
            <w:pPr>
              <w:pStyle w:val="p87"/>
              <w:spacing w:before="0" w:beforeAutospacing="0" w:after="0" w:afterAutospacing="0"/>
              <w:jc w:val="both"/>
              <w:rPr>
                <w:rFonts w:ascii="Arial" w:hAnsi="Arial" w:cs="Arial"/>
                <w:sz w:val="22"/>
                <w:szCs w:val="22"/>
              </w:rPr>
            </w:pPr>
            <w:r w:rsidRPr="00965358">
              <w:rPr>
                <w:rFonts w:ascii="Arial" w:hAnsi="Arial" w:cs="Arial"/>
                <w:sz w:val="22"/>
                <w:szCs w:val="22"/>
              </w:rPr>
              <w:t>Dezvoltarea capacităţii şi inovaţiei instituţionale</w:t>
            </w:r>
            <w:r w:rsidR="00443416">
              <w:rPr>
                <w:rFonts w:ascii="Arial" w:hAnsi="Arial" w:cs="Arial"/>
                <w:sz w:val="22"/>
                <w:szCs w:val="22"/>
              </w:rPr>
              <w:t>;</w:t>
            </w:r>
          </w:p>
          <w:p w:rsidR="00965358" w:rsidRPr="00965358" w:rsidRDefault="00965358" w:rsidP="000C6A67">
            <w:pPr>
              <w:pStyle w:val="p87"/>
              <w:spacing w:before="0" w:beforeAutospacing="0" w:after="0" w:afterAutospacing="0"/>
              <w:jc w:val="both"/>
              <w:rPr>
                <w:rFonts w:ascii="Arial" w:hAnsi="Arial" w:cs="Arial"/>
                <w:sz w:val="22"/>
                <w:szCs w:val="22"/>
              </w:rPr>
            </w:pPr>
            <w:r w:rsidRPr="00965358">
              <w:rPr>
                <w:rFonts w:ascii="Arial" w:hAnsi="Arial" w:cs="Arial"/>
                <w:sz w:val="22"/>
                <w:szCs w:val="22"/>
              </w:rPr>
              <w:t>Profesionalizarea managementului educaţional şi şcolar</w:t>
            </w:r>
            <w:r w:rsidR="00443416">
              <w:rPr>
                <w:rFonts w:ascii="Arial" w:hAnsi="Arial" w:cs="Arial"/>
                <w:sz w:val="22"/>
                <w:szCs w:val="22"/>
              </w:rPr>
              <w:t>;</w:t>
            </w:r>
          </w:p>
          <w:p w:rsidR="00965358" w:rsidRPr="00965358" w:rsidRDefault="00965358" w:rsidP="000C6A67">
            <w:pPr>
              <w:pStyle w:val="p87"/>
              <w:spacing w:before="0" w:beforeAutospacing="0" w:after="0" w:afterAutospacing="0"/>
              <w:jc w:val="both"/>
              <w:rPr>
                <w:rFonts w:ascii="Arial" w:hAnsi="Arial" w:cs="Arial"/>
                <w:sz w:val="22"/>
                <w:szCs w:val="22"/>
              </w:rPr>
            </w:pPr>
            <w:r w:rsidRPr="00965358">
              <w:rPr>
                <w:rFonts w:ascii="Arial" w:hAnsi="Arial" w:cs="Arial"/>
                <w:sz w:val="22"/>
                <w:szCs w:val="22"/>
              </w:rPr>
              <w:t>Deschiderea sistemului formal de educaţie prin recunoaşterea achiziţiilor de învăţare dobândite în cont</w:t>
            </w:r>
            <w:r w:rsidR="00443416">
              <w:rPr>
                <w:rFonts w:ascii="Arial" w:hAnsi="Arial" w:cs="Arial"/>
                <w:sz w:val="22"/>
                <w:szCs w:val="22"/>
              </w:rPr>
              <w:t>exte non-formale sau informale;</w:t>
            </w:r>
          </w:p>
          <w:p w:rsidR="00965358" w:rsidRPr="00965358" w:rsidRDefault="00965358" w:rsidP="000C6A67">
            <w:pPr>
              <w:pStyle w:val="p87"/>
              <w:spacing w:before="0" w:beforeAutospacing="0" w:after="0" w:afterAutospacing="0"/>
              <w:jc w:val="both"/>
              <w:rPr>
                <w:rFonts w:ascii="Arial" w:hAnsi="Arial" w:cs="Arial"/>
                <w:sz w:val="22"/>
                <w:szCs w:val="22"/>
              </w:rPr>
            </w:pPr>
            <w:r w:rsidRPr="00965358">
              <w:rPr>
                <w:rFonts w:ascii="Arial" w:hAnsi="Arial" w:cs="Arial"/>
                <w:sz w:val="22"/>
                <w:szCs w:val="22"/>
              </w:rPr>
              <w:t>Dezvoltarea bazei instituţionale şi logistice a s</w:t>
            </w:r>
            <w:r w:rsidR="00443416">
              <w:rPr>
                <w:rFonts w:ascii="Arial" w:hAnsi="Arial" w:cs="Arial"/>
                <w:sz w:val="22"/>
                <w:szCs w:val="22"/>
              </w:rPr>
              <w:t>istemului educaţional naţional;</w:t>
            </w:r>
          </w:p>
          <w:p w:rsidR="00965358" w:rsidRPr="00965358" w:rsidRDefault="00965358" w:rsidP="000C6A67">
            <w:pPr>
              <w:pStyle w:val="p87"/>
              <w:spacing w:before="0" w:beforeAutospacing="0" w:after="0" w:afterAutospacing="0"/>
              <w:jc w:val="both"/>
              <w:rPr>
                <w:rFonts w:ascii="Arial" w:hAnsi="Arial" w:cs="Arial"/>
                <w:sz w:val="22"/>
                <w:szCs w:val="22"/>
              </w:rPr>
            </w:pPr>
            <w:r w:rsidRPr="00965358">
              <w:rPr>
                <w:rFonts w:ascii="Arial" w:hAnsi="Arial" w:cs="Arial"/>
                <w:sz w:val="22"/>
                <w:szCs w:val="22"/>
              </w:rPr>
              <w:t>Creşterea calităţii procesului de formare a personalului didactic şi de conducere din învăţământ</w:t>
            </w:r>
            <w:r w:rsidR="00443416">
              <w:rPr>
                <w:rFonts w:ascii="Arial" w:hAnsi="Arial" w:cs="Arial"/>
                <w:sz w:val="22"/>
                <w:szCs w:val="22"/>
              </w:rPr>
              <w:t>;</w:t>
            </w:r>
            <w:r w:rsidRPr="00965358">
              <w:rPr>
                <w:rFonts w:ascii="Arial" w:hAnsi="Arial" w:cs="Arial"/>
                <w:sz w:val="22"/>
                <w:szCs w:val="22"/>
              </w:rPr>
              <w:t xml:space="preserve"> </w:t>
            </w:r>
          </w:p>
          <w:p w:rsidR="00965358" w:rsidRPr="00965358" w:rsidRDefault="00965358" w:rsidP="000C6A67">
            <w:pPr>
              <w:pStyle w:val="p87"/>
              <w:spacing w:before="0" w:beforeAutospacing="0" w:after="0" w:afterAutospacing="0"/>
              <w:jc w:val="both"/>
              <w:rPr>
                <w:rFonts w:ascii="Arial" w:hAnsi="Arial" w:cs="Arial"/>
                <w:sz w:val="22"/>
                <w:szCs w:val="22"/>
              </w:rPr>
            </w:pPr>
            <w:r w:rsidRPr="00965358">
              <w:rPr>
                <w:rFonts w:ascii="Arial" w:hAnsi="Arial" w:cs="Arial"/>
                <w:sz w:val="22"/>
                <w:szCs w:val="22"/>
              </w:rPr>
              <w:lastRenderedPageBreak/>
              <w:t>Accentuarea pregătirii tinerilor pentru a se i</w:t>
            </w:r>
            <w:r w:rsidR="00443416">
              <w:rPr>
                <w:rFonts w:ascii="Arial" w:hAnsi="Arial" w:cs="Arial"/>
                <w:sz w:val="22"/>
                <w:szCs w:val="22"/>
              </w:rPr>
              <w:t>nstrui pe tot parcursul vieţii;</w:t>
            </w:r>
          </w:p>
          <w:p w:rsidR="00965358" w:rsidRPr="00965358" w:rsidRDefault="00965358" w:rsidP="000C6A67">
            <w:pPr>
              <w:pStyle w:val="p87"/>
              <w:spacing w:before="0" w:beforeAutospacing="0" w:after="0" w:afterAutospacing="0"/>
              <w:jc w:val="both"/>
              <w:rPr>
                <w:rFonts w:ascii="Arial" w:hAnsi="Arial" w:cs="Arial"/>
                <w:sz w:val="22"/>
                <w:szCs w:val="22"/>
              </w:rPr>
            </w:pPr>
            <w:r w:rsidRPr="00965358">
              <w:rPr>
                <w:rFonts w:ascii="Arial" w:hAnsi="Arial" w:cs="Arial"/>
                <w:sz w:val="22"/>
                <w:szCs w:val="22"/>
              </w:rPr>
              <w:t>Dezvoltarea unor programe de studiu diferenţiate conform specificului r</w:t>
            </w:r>
            <w:r w:rsidR="00443416">
              <w:rPr>
                <w:rFonts w:ascii="Arial" w:hAnsi="Arial" w:cs="Arial"/>
                <w:sz w:val="22"/>
                <w:szCs w:val="22"/>
              </w:rPr>
              <w:t>egiunilor şi nevoilor elevilor;</w:t>
            </w:r>
          </w:p>
          <w:p w:rsidR="00965358" w:rsidRPr="00965358" w:rsidRDefault="00965358" w:rsidP="000C6A67">
            <w:pPr>
              <w:pStyle w:val="p87"/>
              <w:spacing w:before="0" w:beforeAutospacing="0" w:after="0" w:afterAutospacing="0"/>
              <w:jc w:val="both"/>
              <w:rPr>
                <w:rFonts w:ascii="Arial" w:hAnsi="Arial" w:cs="Arial"/>
                <w:sz w:val="22"/>
                <w:szCs w:val="22"/>
              </w:rPr>
            </w:pPr>
            <w:r w:rsidRPr="00965358">
              <w:rPr>
                <w:rFonts w:ascii="Arial" w:hAnsi="Arial" w:cs="Arial"/>
                <w:sz w:val="22"/>
                <w:szCs w:val="22"/>
              </w:rPr>
              <w:t>Extinderea învăţământului şi formării profesionale de calitate în mediul rural, cultivarea egalităţii de şanse şi atragerea în sistemul educaţional a tiner</w:t>
            </w:r>
            <w:r w:rsidR="00443416">
              <w:rPr>
                <w:rFonts w:ascii="Arial" w:hAnsi="Arial" w:cs="Arial"/>
                <w:sz w:val="22"/>
                <w:szCs w:val="22"/>
              </w:rPr>
              <w:t>ilor din grupurile defavorizate;</w:t>
            </w:r>
          </w:p>
          <w:p w:rsidR="00965358" w:rsidRPr="00965358" w:rsidRDefault="00965358" w:rsidP="000C6A67">
            <w:pPr>
              <w:pStyle w:val="p87"/>
              <w:spacing w:before="0" w:beforeAutospacing="0" w:after="0" w:afterAutospacing="0"/>
              <w:jc w:val="both"/>
              <w:rPr>
                <w:rFonts w:ascii="Arial" w:hAnsi="Arial" w:cs="Arial"/>
                <w:b/>
                <w:sz w:val="22"/>
                <w:szCs w:val="22"/>
                <w:u w:val="single"/>
              </w:rPr>
            </w:pPr>
            <w:r w:rsidRPr="00965358">
              <w:rPr>
                <w:rFonts w:ascii="Arial" w:hAnsi="Arial" w:cs="Arial"/>
                <w:sz w:val="22"/>
                <w:szCs w:val="22"/>
              </w:rPr>
              <w:t>Extinderea cooperării internaţionale</w:t>
            </w:r>
            <w:r w:rsidR="00443416">
              <w:rPr>
                <w:rFonts w:ascii="Arial" w:hAnsi="Arial" w:cs="Arial"/>
                <w:sz w:val="22"/>
                <w:szCs w:val="22"/>
              </w:rPr>
              <w:t>;</w:t>
            </w:r>
          </w:p>
        </w:tc>
        <w:tc>
          <w:tcPr>
            <w:tcW w:w="3757" w:type="dxa"/>
          </w:tcPr>
          <w:p w:rsidR="00965358" w:rsidRPr="00965358" w:rsidRDefault="00965358" w:rsidP="000C6A67">
            <w:pPr>
              <w:pStyle w:val="p203"/>
              <w:spacing w:before="0" w:beforeAutospacing="0" w:after="0" w:afterAutospacing="0"/>
              <w:jc w:val="both"/>
              <w:rPr>
                <w:rFonts w:ascii="Arial" w:hAnsi="Arial" w:cs="Arial"/>
                <w:b/>
                <w:sz w:val="22"/>
                <w:szCs w:val="22"/>
                <w:u w:val="single"/>
              </w:rPr>
            </w:pPr>
            <w:r w:rsidRPr="00965358">
              <w:rPr>
                <w:rFonts w:ascii="Arial" w:hAnsi="Arial" w:cs="Arial"/>
                <w:sz w:val="22"/>
                <w:szCs w:val="22"/>
              </w:rPr>
              <w:lastRenderedPageBreak/>
              <w:t>Se are în vedere perfecţionarea, în continuare, a cadrului legislativ, regulatori</w:t>
            </w:r>
            <w:r w:rsidR="00435DBC">
              <w:rPr>
                <w:rFonts w:ascii="Arial" w:hAnsi="Arial" w:cs="Arial"/>
                <w:sz w:val="22"/>
                <w:szCs w:val="22"/>
              </w:rPr>
              <w:t xml:space="preserve">u şi instituţional, dezvoltarea </w:t>
            </w:r>
            <w:r w:rsidRPr="00965358">
              <w:rPr>
                <w:rFonts w:ascii="Arial" w:hAnsi="Arial" w:cs="Arial"/>
                <w:sz w:val="22"/>
                <w:szCs w:val="22"/>
              </w:rPr>
              <w:t>interfeţei cu firmele inovative şi promovarea cofinanţării cu capitalul privat. Cheltuielile publice pentru cercetare-dezvoltare-inovare în universităţi şi unităţi specializate se vor ridica la cel puţin 3% din PIB.</w:t>
            </w:r>
          </w:p>
        </w:tc>
      </w:tr>
      <w:tr w:rsidR="00965358" w:rsidRPr="00965358" w:rsidTr="002A61B3">
        <w:tc>
          <w:tcPr>
            <w:tcW w:w="1728" w:type="dxa"/>
            <w:shd w:val="clear" w:color="auto" w:fill="66CCFF"/>
          </w:tcPr>
          <w:p w:rsidR="00965358" w:rsidRPr="00965358" w:rsidRDefault="00965358" w:rsidP="000860D9">
            <w:pPr>
              <w:pStyle w:val="p207"/>
              <w:spacing w:before="0" w:beforeAutospacing="0" w:after="0" w:afterAutospacing="0"/>
              <w:jc w:val="center"/>
              <w:rPr>
                <w:rFonts w:ascii="Arial" w:hAnsi="Arial" w:cs="Arial"/>
                <w:sz w:val="22"/>
                <w:szCs w:val="22"/>
              </w:rPr>
            </w:pPr>
            <w:r w:rsidRPr="00965358">
              <w:rPr>
                <w:rFonts w:ascii="Arial" w:hAnsi="Arial" w:cs="Arial"/>
                <w:sz w:val="22"/>
                <w:szCs w:val="22"/>
              </w:rPr>
              <w:t>Orizont 2030-termen lung</w:t>
            </w:r>
          </w:p>
          <w:p w:rsidR="00965358" w:rsidRPr="00965358" w:rsidRDefault="00965358" w:rsidP="000860D9">
            <w:pPr>
              <w:pStyle w:val="p207"/>
              <w:spacing w:before="0" w:beforeAutospacing="0" w:after="0" w:afterAutospacing="0"/>
              <w:jc w:val="center"/>
              <w:rPr>
                <w:rFonts w:ascii="Arial" w:hAnsi="Arial" w:cs="Arial"/>
                <w:sz w:val="22"/>
                <w:szCs w:val="22"/>
              </w:rPr>
            </w:pPr>
          </w:p>
          <w:p w:rsidR="00965358" w:rsidRPr="00965358" w:rsidRDefault="00965358" w:rsidP="000860D9">
            <w:pPr>
              <w:pStyle w:val="p207"/>
              <w:spacing w:before="0" w:beforeAutospacing="0" w:after="0" w:afterAutospacing="0"/>
              <w:jc w:val="center"/>
              <w:rPr>
                <w:rFonts w:ascii="Arial" w:hAnsi="Arial" w:cs="Arial"/>
                <w:sz w:val="22"/>
                <w:szCs w:val="22"/>
              </w:rPr>
            </w:pPr>
            <w:r w:rsidRPr="00965358">
              <w:rPr>
                <w:rFonts w:ascii="Arial" w:hAnsi="Arial" w:cs="Arial"/>
                <w:sz w:val="22"/>
                <w:szCs w:val="22"/>
              </w:rPr>
              <w:t>Obiectiv naţional:</w:t>
            </w:r>
          </w:p>
        </w:tc>
        <w:tc>
          <w:tcPr>
            <w:tcW w:w="4140" w:type="dxa"/>
            <w:shd w:val="clear" w:color="auto" w:fill="66CCFF"/>
          </w:tcPr>
          <w:p w:rsidR="00965358" w:rsidRPr="00965358" w:rsidRDefault="00965358" w:rsidP="000C6A67">
            <w:pPr>
              <w:pStyle w:val="p207"/>
              <w:spacing w:before="0" w:beforeAutospacing="0" w:after="0" w:afterAutospacing="0"/>
              <w:jc w:val="both"/>
              <w:rPr>
                <w:rFonts w:ascii="Arial" w:hAnsi="Arial" w:cs="Arial"/>
                <w:sz w:val="22"/>
                <w:szCs w:val="22"/>
              </w:rPr>
            </w:pPr>
            <w:r w:rsidRPr="00965358">
              <w:rPr>
                <w:rFonts w:ascii="Arial" w:hAnsi="Arial" w:cs="Arial"/>
                <w:sz w:val="22"/>
                <w:szCs w:val="22"/>
              </w:rPr>
              <w:t>Situarea sistemului de învăţământ şi formare profesională din România la nivelul performanţelor superioare din UE; apropierea semnificativă de nivelul mediu al UE în privinţa serviciilor educaţionale oferite în mediul rural şi pentru persoanele provenite din medii dezavantajate sau cu dizabilităţi.</w:t>
            </w:r>
          </w:p>
        </w:tc>
        <w:tc>
          <w:tcPr>
            <w:tcW w:w="3757" w:type="dxa"/>
            <w:shd w:val="clear" w:color="auto" w:fill="66CCFF"/>
          </w:tcPr>
          <w:p w:rsidR="00965358" w:rsidRPr="00965358" w:rsidRDefault="00965358" w:rsidP="000C6A67">
            <w:pPr>
              <w:pStyle w:val="p18"/>
              <w:spacing w:before="0" w:beforeAutospacing="0" w:after="0" w:afterAutospacing="0"/>
              <w:jc w:val="both"/>
              <w:rPr>
                <w:rFonts w:ascii="Arial" w:hAnsi="Arial" w:cs="Arial"/>
                <w:sz w:val="22"/>
                <w:szCs w:val="22"/>
              </w:rPr>
            </w:pPr>
            <w:r w:rsidRPr="00965358">
              <w:rPr>
                <w:rFonts w:ascii="Arial" w:hAnsi="Arial" w:cs="Arial"/>
                <w:sz w:val="22"/>
                <w:szCs w:val="22"/>
              </w:rPr>
              <w:t>Statornicirea principalelor elemente ale societăţii şi economiei bazate pe cunoaştere; contribuţii esenţiale ale cercetării româneşti la realizarea obiectivelor complexe ale dezvoltării durabile.</w:t>
            </w:r>
          </w:p>
          <w:p w:rsidR="00965358" w:rsidRPr="00965358" w:rsidRDefault="00965358" w:rsidP="000C6A67">
            <w:pPr>
              <w:pStyle w:val="p203"/>
              <w:spacing w:before="0" w:beforeAutospacing="0" w:after="0" w:afterAutospacing="0"/>
              <w:jc w:val="both"/>
              <w:rPr>
                <w:rFonts w:ascii="Arial" w:hAnsi="Arial" w:cs="Arial"/>
                <w:sz w:val="22"/>
                <w:szCs w:val="22"/>
                <w:u w:val="single"/>
              </w:rPr>
            </w:pPr>
          </w:p>
        </w:tc>
      </w:tr>
      <w:tr w:rsidR="00965358" w:rsidRPr="00965358" w:rsidTr="00965358">
        <w:tc>
          <w:tcPr>
            <w:tcW w:w="1728" w:type="dxa"/>
          </w:tcPr>
          <w:p w:rsidR="000860D9" w:rsidRDefault="000860D9" w:rsidP="000860D9">
            <w:pPr>
              <w:pStyle w:val="p207"/>
              <w:spacing w:before="0" w:beforeAutospacing="0" w:after="0" w:afterAutospacing="0"/>
              <w:rPr>
                <w:rFonts w:ascii="Arial" w:hAnsi="Arial" w:cs="Arial"/>
                <w:b/>
                <w:sz w:val="22"/>
                <w:szCs w:val="22"/>
              </w:rPr>
            </w:pPr>
          </w:p>
          <w:p w:rsidR="000860D9" w:rsidRDefault="000860D9" w:rsidP="000860D9">
            <w:pPr>
              <w:pStyle w:val="p207"/>
              <w:spacing w:before="0" w:beforeAutospacing="0" w:after="0" w:afterAutospacing="0"/>
              <w:rPr>
                <w:rFonts w:ascii="Arial" w:hAnsi="Arial" w:cs="Arial"/>
                <w:b/>
                <w:sz w:val="22"/>
                <w:szCs w:val="22"/>
              </w:rPr>
            </w:pPr>
          </w:p>
          <w:p w:rsidR="000860D9" w:rsidRDefault="000860D9" w:rsidP="000860D9">
            <w:pPr>
              <w:pStyle w:val="p207"/>
              <w:spacing w:before="0" w:beforeAutospacing="0" w:after="0" w:afterAutospacing="0"/>
              <w:rPr>
                <w:rFonts w:ascii="Arial" w:hAnsi="Arial" w:cs="Arial"/>
                <w:b/>
                <w:sz w:val="22"/>
                <w:szCs w:val="22"/>
              </w:rPr>
            </w:pPr>
          </w:p>
          <w:p w:rsidR="00965358" w:rsidRPr="00965358" w:rsidRDefault="000860D9" w:rsidP="000860D9">
            <w:pPr>
              <w:pStyle w:val="p207"/>
              <w:spacing w:before="0" w:beforeAutospacing="0" w:after="0" w:afterAutospacing="0"/>
              <w:jc w:val="center"/>
              <w:rPr>
                <w:rFonts w:ascii="Arial" w:hAnsi="Arial" w:cs="Arial"/>
                <w:sz w:val="22"/>
                <w:szCs w:val="22"/>
              </w:rPr>
            </w:pPr>
            <w:r>
              <w:rPr>
                <w:rFonts w:ascii="Arial" w:hAnsi="Arial" w:cs="Arial"/>
                <w:sz w:val="22"/>
                <w:szCs w:val="22"/>
              </w:rPr>
              <w:t>Direcții de acțiune /</w:t>
            </w:r>
            <w:r w:rsidR="00381F74">
              <w:rPr>
                <w:rFonts w:ascii="Arial" w:hAnsi="Arial" w:cs="Arial"/>
                <w:sz w:val="22"/>
                <w:szCs w:val="22"/>
              </w:rPr>
              <w:t>mă</w:t>
            </w:r>
            <w:r w:rsidR="00381F74" w:rsidRPr="00965358">
              <w:rPr>
                <w:rFonts w:ascii="Arial" w:hAnsi="Arial" w:cs="Arial"/>
                <w:sz w:val="22"/>
                <w:szCs w:val="22"/>
              </w:rPr>
              <w:t>suri</w:t>
            </w:r>
          </w:p>
        </w:tc>
        <w:tc>
          <w:tcPr>
            <w:tcW w:w="4140" w:type="dxa"/>
          </w:tcPr>
          <w:p w:rsidR="00965358" w:rsidRPr="00965358" w:rsidRDefault="00965358" w:rsidP="000C6A67">
            <w:pPr>
              <w:pStyle w:val="p203"/>
              <w:spacing w:before="0" w:beforeAutospacing="0" w:after="0" w:afterAutospacing="0"/>
              <w:jc w:val="both"/>
              <w:rPr>
                <w:rFonts w:ascii="Arial" w:hAnsi="Arial" w:cs="Arial"/>
                <w:sz w:val="22"/>
                <w:szCs w:val="22"/>
              </w:rPr>
            </w:pPr>
            <w:r w:rsidRPr="00965358">
              <w:rPr>
                <w:rFonts w:ascii="Arial" w:hAnsi="Arial" w:cs="Arial"/>
                <w:sz w:val="22"/>
                <w:szCs w:val="22"/>
              </w:rPr>
              <w:t>Principiile şi practicile dezvoltării durabile vor fi încorporate organic în ansamblul politicilor educaţionale</w:t>
            </w:r>
            <w:r w:rsidR="00443416">
              <w:rPr>
                <w:rFonts w:ascii="Arial" w:hAnsi="Arial" w:cs="Arial"/>
                <w:sz w:val="22"/>
                <w:szCs w:val="22"/>
              </w:rPr>
              <w:t>;</w:t>
            </w:r>
            <w:r w:rsidRPr="00965358">
              <w:rPr>
                <w:rFonts w:ascii="Arial" w:hAnsi="Arial" w:cs="Arial"/>
                <w:sz w:val="22"/>
                <w:szCs w:val="22"/>
              </w:rPr>
              <w:t xml:space="preserve"> </w:t>
            </w:r>
          </w:p>
          <w:p w:rsidR="00965358" w:rsidRPr="00965358" w:rsidRDefault="00965358" w:rsidP="000C6A67">
            <w:pPr>
              <w:pStyle w:val="p207"/>
              <w:spacing w:before="0" w:beforeAutospacing="0" w:after="0" w:afterAutospacing="0"/>
              <w:jc w:val="both"/>
              <w:rPr>
                <w:rFonts w:ascii="Arial" w:hAnsi="Arial" w:cs="Arial"/>
                <w:sz w:val="22"/>
                <w:szCs w:val="22"/>
              </w:rPr>
            </w:pPr>
            <w:r w:rsidRPr="00965358">
              <w:rPr>
                <w:rFonts w:ascii="Arial" w:hAnsi="Arial" w:cs="Arial"/>
                <w:sz w:val="22"/>
                <w:szCs w:val="22"/>
              </w:rPr>
              <w:t>Eficienţa internă şi externă a sistemului de educaţie va fi în continuare obiectivul</w:t>
            </w:r>
            <w:r w:rsidR="00443416">
              <w:rPr>
                <w:rFonts w:ascii="Arial" w:hAnsi="Arial" w:cs="Arial"/>
                <w:sz w:val="22"/>
                <w:szCs w:val="22"/>
              </w:rPr>
              <w:t xml:space="preserve"> principal;</w:t>
            </w:r>
          </w:p>
          <w:p w:rsidR="00965358" w:rsidRPr="00965358" w:rsidRDefault="00965358" w:rsidP="000C6A67">
            <w:pPr>
              <w:pStyle w:val="p207"/>
              <w:spacing w:before="0" w:beforeAutospacing="0" w:after="0" w:afterAutospacing="0"/>
              <w:jc w:val="both"/>
              <w:rPr>
                <w:rFonts w:ascii="Arial" w:hAnsi="Arial" w:cs="Arial"/>
                <w:sz w:val="22"/>
                <w:szCs w:val="22"/>
              </w:rPr>
            </w:pPr>
            <w:r w:rsidRPr="00965358">
              <w:rPr>
                <w:rFonts w:ascii="Arial" w:hAnsi="Arial" w:cs="Arial"/>
                <w:sz w:val="22"/>
                <w:szCs w:val="22"/>
              </w:rPr>
              <w:t>Metodologia de evaluare, certificare şi atestare a calităţii actului educaţional se va alinia la procedurile de raportare la reperele de performanţă adoptate în Uniunea Europeană</w:t>
            </w:r>
            <w:r w:rsidR="00443416">
              <w:rPr>
                <w:rFonts w:ascii="Arial" w:hAnsi="Arial" w:cs="Arial"/>
                <w:sz w:val="22"/>
                <w:szCs w:val="22"/>
              </w:rPr>
              <w:t>;</w:t>
            </w:r>
          </w:p>
          <w:p w:rsidR="00965358" w:rsidRPr="00965358" w:rsidRDefault="00965358" w:rsidP="000C6A67">
            <w:pPr>
              <w:pStyle w:val="p25"/>
              <w:spacing w:before="0" w:beforeAutospacing="0" w:after="0" w:afterAutospacing="0"/>
              <w:jc w:val="both"/>
              <w:rPr>
                <w:rFonts w:ascii="Arial" w:hAnsi="Arial" w:cs="Arial"/>
                <w:sz w:val="22"/>
                <w:szCs w:val="22"/>
              </w:rPr>
            </w:pPr>
            <w:r w:rsidRPr="00965358">
              <w:rPr>
                <w:rFonts w:ascii="Arial" w:hAnsi="Arial" w:cs="Arial"/>
                <w:sz w:val="22"/>
                <w:szCs w:val="22"/>
              </w:rPr>
              <w:t xml:space="preserve">Extinderea </w:t>
            </w:r>
            <w:r w:rsidRPr="00965358">
              <w:rPr>
                <w:rFonts w:ascii="Arial" w:hAnsi="Arial" w:cs="Arial"/>
                <w:sz w:val="22"/>
                <w:szCs w:val="22"/>
                <w:lang w:val="ro-RO"/>
              </w:rPr>
              <w:t>î</w:t>
            </w:r>
            <w:r w:rsidRPr="00965358">
              <w:rPr>
                <w:rFonts w:ascii="Arial" w:hAnsi="Arial" w:cs="Arial"/>
                <w:sz w:val="22"/>
                <w:szCs w:val="22"/>
              </w:rPr>
              <w:t xml:space="preserve">n continuare a cooperării internaționale. </w:t>
            </w:r>
          </w:p>
        </w:tc>
        <w:tc>
          <w:tcPr>
            <w:tcW w:w="3757" w:type="dxa"/>
          </w:tcPr>
          <w:p w:rsidR="00965358" w:rsidRPr="00965358" w:rsidRDefault="00965358" w:rsidP="000C6A67">
            <w:pPr>
              <w:pStyle w:val="p203"/>
              <w:spacing w:before="0" w:beforeAutospacing="0" w:after="0" w:afterAutospacing="0"/>
              <w:jc w:val="both"/>
              <w:rPr>
                <w:rFonts w:ascii="Arial" w:hAnsi="Arial" w:cs="Arial"/>
                <w:b/>
                <w:sz w:val="22"/>
                <w:szCs w:val="22"/>
                <w:u w:val="single"/>
              </w:rPr>
            </w:pPr>
          </w:p>
        </w:tc>
      </w:tr>
    </w:tbl>
    <w:p w:rsidR="000D7C65" w:rsidRPr="0034257E" w:rsidRDefault="000D7C65" w:rsidP="000C6A67">
      <w:pPr>
        <w:spacing w:after="0" w:line="240" w:lineRule="auto"/>
        <w:jc w:val="both"/>
        <w:rPr>
          <w:rFonts w:ascii="Arial" w:hAnsi="Arial" w:cs="Arial"/>
          <w:color w:val="C00000"/>
          <w:sz w:val="24"/>
          <w:szCs w:val="24"/>
        </w:rPr>
      </w:pPr>
    </w:p>
    <w:p w:rsidR="001A346C" w:rsidRPr="00443416" w:rsidRDefault="001A346C" w:rsidP="00443416">
      <w:pPr>
        <w:pStyle w:val="Heading3"/>
        <w:spacing w:before="0" w:after="240" w:line="240" w:lineRule="auto"/>
        <w:jc w:val="both"/>
        <w:rPr>
          <w:rFonts w:ascii="Arial" w:hAnsi="Arial" w:cs="Arial"/>
          <w:b w:val="0"/>
          <w:i/>
          <w:color w:val="auto"/>
          <w:sz w:val="24"/>
          <w:szCs w:val="24"/>
          <w:lang w:eastAsia="ro-RO"/>
        </w:rPr>
      </w:pPr>
      <w:bookmarkStart w:id="58" w:name="_Toc488066035"/>
      <w:r w:rsidRPr="00443416">
        <w:rPr>
          <w:rFonts w:ascii="Arial" w:hAnsi="Arial" w:cs="Arial"/>
          <w:b w:val="0"/>
          <w:i/>
          <w:color w:val="auto"/>
          <w:sz w:val="24"/>
          <w:szCs w:val="24"/>
          <w:lang w:eastAsia="ro-RO"/>
        </w:rPr>
        <w:t>4.3.7. Zona montană şi dezvoltarea durabilă–aspecte specifice ruralului montan</w:t>
      </w:r>
      <w:bookmarkEnd w:id="58"/>
    </w:p>
    <w:p w:rsidR="00443416" w:rsidRDefault="00186EA4" w:rsidP="00443416">
      <w:pPr>
        <w:spacing w:after="0" w:line="240" w:lineRule="auto"/>
        <w:jc w:val="both"/>
        <w:rPr>
          <w:rFonts w:ascii="Arial" w:hAnsi="Arial" w:cs="Arial"/>
          <w:sz w:val="24"/>
          <w:szCs w:val="24"/>
        </w:rPr>
      </w:pPr>
      <w:r w:rsidRPr="008B6646">
        <w:rPr>
          <w:rFonts w:ascii="Arial" w:hAnsi="Arial" w:cs="Arial"/>
          <w:b/>
          <w:sz w:val="24"/>
          <w:szCs w:val="24"/>
        </w:rPr>
        <w:t>Egalitatea  de  şanse</w:t>
      </w:r>
      <w:r w:rsidRPr="004E7FD9">
        <w:rPr>
          <w:rFonts w:ascii="Arial" w:hAnsi="Arial" w:cs="Arial"/>
          <w:sz w:val="24"/>
          <w:szCs w:val="24"/>
        </w:rPr>
        <w:t xml:space="preserve">  și  de  tratament este principiul conform căruia se asigură participarea deplină a fiecărei persoane la viaţa economică, politică şi socială, fără deosebire de origine etnică, sex, religie, vârstă, dizabilităţi sau orientare sexuală.</w:t>
      </w:r>
    </w:p>
    <w:p w:rsidR="00186EA4" w:rsidRPr="004E7FD9" w:rsidRDefault="00186EA4" w:rsidP="00443416">
      <w:pPr>
        <w:spacing w:after="0" w:line="240" w:lineRule="auto"/>
        <w:jc w:val="both"/>
        <w:rPr>
          <w:rFonts w:ascii="Arial" w:hAnsi="Arial" w:cs="Arial"/>
          <w:sz w:val="24"/>
          <w:szCs w:val="24"/>
        </w:rPr>
      </w:pPr>
      <w:r w:rsidRPr="004E7FD9">
        <w:rPr>
          <w:rFonts w:ascii="Arial" w:hAnsi="Arial" w:cs="Arial"/>
          <w:sz w:val="24"/>
          <w:szCs w:val="24"/>
        </w:rPr>
        <w:t>El reprezintă  un  drept  fundamental și o  valoare de  bază a Uniunii</w:t>
      </w:r>
      <w:r>
        <w:rPr>
          <w:rFonts w:ascii="Arial" w:hAnsi="Arial" w:cs="Arial"/>
          <w:sz w:val="24"/>
          <w:szCs w:val="24"/>
        </w:rPr>
        <w:t xml:space="preserve">  Europene, stipulată  în  arti</w:t>
      </w:r>
      <w:r w:rsidRPr="004E7FD9">
        <w:rPr>
          <w:rFonts w:ascii="Arial" w:hAnsi="Arial" w:cs="Arial"/>
          <w:sz w:val="24"/>
          <w:szCs w:val="24"/>
        </w:rPr>
        <w:t>olul  8 al  Tratatului  privind F</w:t>
      </w:r>
      <w:r w:rsidR="008B6646">
        <w:rPr>
          <w:rFonts w:ascii="Arial" w:hAnsi="Arial" w:cs="Arial"/>
          <w:sz w:val="24"/>
          <w:szCs w:val="24"/>
        </w:rPr>
        <w:t xml:space="preserve">uncționarea  Uniunii  Europene, și punerea în practică a acestui principiu poate asigura inclusiv </w:t>
      </w:r>
      <w:r w:rsidR="008B6646">
        <w:rPr>
          <w:rFonts w:ascii="Arial" w:hAnsi="Arial" w:cs="Arial"/>
          <w:b/>
          <w:sz w:val="24"/>
          <w:szCs w:val="24"/>
          <w:lang w:eastAsia="ro-RO"/>
        </w:rPr>
        <w:t xml:space="preserve">dezvoltarea durabilă a zonelor montane, cu </w:t>
      </w:r>
      <w:r w:rsidR="008B6646" w:rsidRPr="008B6646">
        <w:rPr>
          <w:rFonts w:ascii="Arial" w:hAnsi="Arial" w:cs="Arial"/>
          <w:b/>
          <w:sz w:val="24"/>
          <w:szCs w:val="24"/>
          <w:lang w:eastAsia="ro-RO"/>
        </w:rPr>
        <w:t>aspecte specifice ruralului montan</w:t>
      </w:r>
      <w:r w:rsidR="00443416">
        <w:rPr>
          <w:rFonts w:ascii="Arial" w:hAnsi="Arial" w:cs="Arial"/>
          <w:b/>
          <w:sz w:val="24"/>
          <w:szCs w:val="24"/>
          <w:lang w:eastAsia="ro-RO"/>
        </w:rPr>
        <w:t>.</w:t>
      </w:r>
    </w:p>
    <w:p w:rsidR="00186EA4" w:rsidRPr="004E7FD9" w:rsidRDefault="00186EA4" w:rsidP="00443416">
      <w:pPr>
        <w:spacing w:after="0" w:line="240" w:lineRule="auto"/>
        <w:jc w:val="both"/>
        <w:rPr>
          <w:rFonts w:ascii="Arial" w:hAnsi="Arial" w:cs="Arial"/>
          <w:sz w:val="24"/>
          <w:szCs w:val="24"/>
        </w:rPr>
      </w:pPr>
      <w:r w:rsidRPr="004E7FD9">
        <w:rPr>
          <w:rFonts w:ascii="Arial" w:hAnsi="Arial" w:cs="Arial"/>
          <w:sz w:val="24"/>
          <w:szCs w:val="24"/>
        </w:rPr>
        <w:t>Valorificarea diversității culturale, etnice sau a diferențelor de vârstă sunt premise pentru dezvoltarea societății și asigură o creștere inteligentă, sustenabilă  și  incluzivă, asigurând, în același timp, un cadru în care relațiile sociale au la bază valori precum toleranța și egalitatea.</w:t>
      </w:r>
    </w:p>
    <w:p w:rsidR="00186EA4" w:rsidRPr="004E7FD9" w:rsidRDefault="00186EA4" w:rsidP="00443416">
      <w:pPr>
        <w:spacing w:after="0" w:line="240" w:lineRule="auto"/>
        <w:jc w:val="both"/>
        <w:rPr>
          <w:rFonts w:ascii="Arial" w:hAnsi="Arial" w:cs="Arial"/>
          <w:sz w:val="24"/>
          <w:szCs w:val="24"/>
        </w:rPr>
      </w:pPr>
      <w:r w:rsidRPr="004E7FD9">
        <w:rPr>
          <w:rFonts w:ascii="Arial" w:hAnsi="Arial" w:cs="Arial"/>
          <w:sz w:val="24"/>
          <w:szCs w:val="24"/>
        </w:rPr>
        <w:t>La nivelul Uniunii Europene au fost emise o serie de acte normative pentru implementarea principiului egalității de șanse, care se aplică în majoritatea domeniilor: accesul la încadrarea în muncă; promovarea și formarea profesională;</w:t>
      </w:r>
      <w:r w:rsidR="00735116">
        <w:rPr>
          <w:rFonts w:ascii="Arial" w:hAnsi="Arial" w:cs="Arial"/>
          <w:sz w:val="24"/>
          <w:szCs w:val="24"/>
        </w:rPr>
        <w:t xml:space="preserve"> condițiile de muncă; </w:t>
      </w:r>
      <w:r w:rsidRPr="004E7FD9">
        <w:rPr>
          <w:rFonts w:ascii="Arial" w:hAnsi="Arial" w:cs="Arial"/>
          <w:sz w:val="24"/>
          <w:szCs w:val="24"/>
        </w:rPr>
        <w:t>securitate socială.</w:t>
      </w:r>
    </w:p>
    <w:p w:rsidR="00186EA4" w:rsidRPr="004E7FD9" w:rsidRDefault="00186EA4" w:rsidP="00443416">
      <w:pPr>
        <w:spacing w:after="0" w:line="240" w:lineRule="auto"/>
        <w:jc w:val="both"/>
        <w:rPr>
          <w:rFonts w:ascii="Arial" w:hAnsi="Arial" w:cs="Arial"/>
          <w:sz w:val="24"/>
          <w:szCs w:val="24"/>
        </w:rPr>
      </w:pPr>
      <w:r w:rsidRPr="004E7FD9">
        <w:rPr>
          <w:rFonts w:ascii="Arial" w:hAnsi="Arial" w:cs="Arial"/>
          <w:sz w:val="24"/>
          <w:szCs w:val="24"/>
        </w:rPr>
        <w:t>În plus, egalitatea de șanse este privită în contextul schimbărilor demografice, din perspectiva efectelor îmbătrânirii populației și al eliminării decalajelor dintre generații.</w:t>
      </w:r>
    </w:p>
    <w:p w:rsidR="00186EA4" w:rsidRPr="004E7FD9" w:rsidRDefault="00186EA4" w:rsidP="00443416">
      <w:pPr>
        <w:spacing w:after="0" w:line="240" w:lineRule="auto"/>
        <w:jc w:val="both"/>
        <w:rPr>
          <w:rFonts w:ascii="Arial" w:hAnsi="Arial" w:cs="Arial"/>
          <w:sz w:val="24"/>
          <w:szCs w:val="24"/>
        </w:rPr>
      </w:pPr>
      <w:r w:rsidRPr="004E7FD9">
        <w:rPr>
          <w:rFonts w:ascii="Arial" w:hAnsi="Arial" w:cs="Arial"/>
          <w:sz w:val="24"/>
          <w:szCs w:val="24"/>
        </w:rPr>
        <w:t xml:space="preserve">Pornind de la două componente importante ale dezvoltării, economia şi populaţia, în care România ocupă încă o poziție fragilă în rândul țărilor europene, a fost elaborată </w:t>
      </w:r>
      <w:r w:rsidRPr="004E7FD9">
        <w:rPr>
          <w:rFonts w:ascii="Arial" w:hAnsi="Arial" w:cs="Arial"/>
          <w:b/>
          <w:sz w:val="24"/>
          <w:szCs w:val="24"/>
        </w:rPr>
        <w:t xml:space="preserve">Strategia de dezvoltare teritorială a României-România policentrică 2035 </w:t>
      </w:r>
      <w:r w:rsidRPr="004E7FD9">
        <w:rPr>
          <w:rFonts w:ascii="Arial" w:hAnsi="Arial" w:cs="Arial"/>
          <w:b/>
          <w:sz w:val="24"/>
          <w:szCs w:val="24"/>
        </w:rPr>
        <w:lastRenderedPageBreak/>
        <w:t>(SDTR)</w:t>
      </w:r>
      <w:r w:rsidRPr="004E7FD9">
        <w:rPr>
          <w:rFonts w:ascii="Arial" w:hAnsi="Arial" w:cs="Arial"/>
          <w:sz w:val="24"/>
          <w:szCs w:val="24"/>
        </w:rPr>
        <w:t>, în perspectiva asigurării coeziunii şi competitivității teritoriale, dezvoltării şi şanselor egale pentru oameni.</w:t>
      </w:r>
    </w:p>
    <w:p w:rsidR="00186EA4" w:rsidRPr="004E7FD9" w:rsidRDefault="00186EA4" w:rsidP="00443416">
      <w:pPr>
        <w:spacing w:after="0" w:line="240" w:lineRule="auto"/>
        <w:jc w:val="both"/>
        <w:rPr>
          <w:rFonts w:ascii="Arial" w:hAnsi="Arial" w:cs="Arial"/>
          <w:sz w:val="24"/>
          <w:szCs w:val="24"/>
        </w:rPr>
      </w:pPr>
      <w:r w:rsidRPr="004E7FD9">
        <w:rPr>
          <w:rFonts w:ascii="Arial" w:hAnsi="Arial" w:cs="Arial"/>
          <w:sz w:val="24"/>
          <w:szCs w:val="24"/>
        </w:rPr>
        <w:t xml:space="preserve">Acest document reprezintă viziunea asumată a Guvernului şi Parlamentului României privind dezvoltarea teritoriului naţional pentru orizontul de timp 2035: </w:t>
      </w:r>
      <w:r w:rsidRPr="004E7FD9">
        <w:rPr>
          <w:rFonts w:ascii="Arial" w:hAnsi="Arial" w:cs="Arial"/>
          <w:b/>
          <w:sz w:val="24"/>
          <w:szCs w:val="24"/>
        </w:rPr>
        <w:t>România 2035, o țară cu un teritoriu funcțional, administrat eficient, care asigură condiții atractive de viață și locuire pentru cetățenii săi, cu un rol important în dezvoltarea zonei de sud-est a Europei.</w:t>
      </w:r>
    </w:p>
    <w:p w:rsidR="00186EA4" w:rsidRPr="004E7FD9" w:rsidRDefault="00186EA4" w:rsidP="00443416">
      <w:pPr>
        <w:spacing w:after="0" w:line="240" w:lineRule="auto"/>
        <w:jc w:val="both"/>
        <w:rPr>
          <w:rFonts w:ascii="Arial" w:hAnsi="Arial" w:cs="Arial"/>
          <w:sz w:val="24"/>
          <w:szCs w:val="24"/>
        </w:rPr>
      </w:pPr>
      <w:r w:rsidRPr="004E7FD9">
        <w:rPr>
          <w:rFonts w:ascii="Arial" w:hAnsi="Arial" w:cs="Arial"/>
          <w:sz w:val="24"/>
          <w:szCs w:val="24"/>
        </w:rPr>
        <w:t>SDTR a fost elaborată cu scopul de a crea un instrument strategic de planificare teritorială la nivel național pentru sprijinirea şi direcționarea procesului de dezvoltare teritorială la nivel naţional, cu scopul valorificării oportunităţilor şi a nivelului de dezvoltare al fiecărui teritoriu, ţinând cont de prevederile principalelor documentele strategice europene și naționale și în special de:obiectivele Strategiei Europa 2020;</w:t>
      </w:r>
      <w:r w:rsidR="003D62A0">
        <w:rPr>
          <w:rFonts w:ascii="Arial" w:hAnsi="Arial" w:cs="Arial"/>
          <w:sz w:val="24"/>
          <w:szCs w:val="24"/>
        </w:rPr>
        <w:t xml:space="preserve"> </w:t>
      </w:r>
      <w:r w:rsidRPr="004E7FD9">
        <w:rPr>
          <w:rFonts w:ascii="Arial" w:hAnsi="Arial" w:cs="Arial"/>
          <w:sz w:val="24"/>
          <w:szCs w:val="24"/>
        </w:rPr>
        <w:t>prioritățile Agendei Teritoriale revizuite UE 2020</w:t>
      </w:r>
      <w:r w:rsidR="003D62A0">
        <w:rPr>
          <w:rFonts w:ascii="Arial" w:hAnsi="Arial" w:cs="Arial"/>
          <w:sz w:val="24"/>
          <w:szCs w:val="24"/>
        </w:rPr>
        <w:t xml:space="preserve"> </w:t>
      </w:r>
      <w:r w:rsidRPr="004E7FD9">
        <w:rPr>
          <w:rFonts w:ascii="Arial" w:hAnsi="Arial" w:cs="Arial"/>
          <w:sz w:val="24"/>
          <w:szCs w:val="24"/>
        </w:rPr>
        <w:t>Programul de guvernare;</w:t>
      </w:r>
      <w:r w:rsidR="00735116">
        <w:rPr>
          <w:rFonts w:ascii="Arial" w:hAnsi="Arial" w:cs="Arial"/>
          <w:sz w:val="24"/>
          <w:szCs w:val="24"/>
        </w:rPr>
        <w:t xml:space="preserve"> </w:t>
      </w:r>
      <w:r w:rsidRPr="004E7FD9">
        <w:rPr>
          <w:rFonts w:ascii="Arial" w:hAnsi="Arial" w:cs="Arial"/>
          <w:sz w:val="24"/>
          <w:szCs w:val="24"/>
        </w:rPr>
        <w:t>Acordul de parteneriat 2014 – 2020;</w:t>
      </w:r>
      <w:r w:rsidR="00305590">
        <w:rPr>
          <w:rFonts w:ascii="Arial" w:hAnsi="Arial" w:cs="Arial"/>
          <w:sz w:val="24"/>
          <w:szCs w:val="24"/>
        </w:rPr>
        <w:t xml:space="preserve"> </w:t>
      </w:r>
      <w:r w:rsidR="00735116">
        <w:rPr>
          <w:rFonts w:ascii="Arial" w:hAnsi="Arial" w:cs="Arial"/>
          <w:sz w:val="24"/>
          <w:szCs w:val="24"/>
        </w:rPr>
        <w:t>O</w:t>
      </w:r>
      <w:r w:rsidRPr="004E7FD9">
        <w:rPr>
          <w:rFonts w:ascii="Arial" w:hAnsi="Arial" w:cs="Arial"/>
          <w:sz w:val="24"/>
          <w:szCs w:val="24"/>
        </w:rPr>
        <w:t>biectivele strategiilor politicilor sectoriale din România.</w:t>
      </w:r>
    </w:p>
    <w:p w:rsidR="00186EA4" w:rsidRPr="004E7FD9" w:rsidRDefault="00186EA4" w:rsidP="00443416">
      <w:pPr>
        <w:spacing w:after="0" w:line="240" w:lineRule="auto"/>
        <w:jc w:val="both"/>
        <w:rPr>
          <w:rFonts w:ascii="Arial" w:hAnsi="Arial" w:cs="Arial"/>
          <w:sz w:val="24"/>
          <w:szCs w:val="24"/>
        </w:rPr>
      </w:pPr>
      <w:r w:rsidRPr="004E7FD9">
        <w:rPr>
          <w:rFonts w:ascii="Arial" w:hAnsi="Arial" w:cs="Arial"/>
          <w:sz w:val="24"/>
          <w:szCs w:val="24"/>
        </w:rPr>
        <w:t>La nivel european, obiectivele coeziunii economice și sociale stabilite în documentele strategice au fost completate cu cel al coeziunii teritoriale, concept cu înțeles cuprinzător care se referă la elemente precum accesul echitabil la servicii, valorificarea potenţialului teritorial sau coordonarea politicilor sectoriale.</w:t>
      </w:r>
    </w:p>
    <w:p w:rsidR="00186EA4" w:rsidRPr="004E7FD9" w:rsidRDefault="00186EA4" w:rsidP="00443416">
      <w:pPr>
        <w:spacing w:after="0" w:line="240" w:lineRule="auto"/>
        <w:jc w:val="both"/>
        <w:rPr>
          <w:rFonts w:ascii="Arial" w:hAnsi="Arial" w:cs="Arial"/>
          <w:sz w:val="24"/>
          <w:szCs w:val="24"/>
        </w:rPr>
      </w:pPr>
      <w:r w:rsidRPr="004E7FD9">
        <w:rPr>
          <w:rFonts w:ascii="Arial" w:hAnsi="Arial" w:cs="Arial"/>
          <w:sz w:val="24"/>
          <w:szCs w:val="24"/>
        </w:rPr>
        <w:t>Conceptul de coeziune teritorială include mai multe direcții majore, astfel:dezvoltarea armonioasă a teritoriului; valorificarea elementelor de potenţial teritorial;utilizarea caracteristicilor geografice în dezvoltarea teritorială; orientarea în jurul a trei coordonate strategice cheie, respectiv concentrarea activităților umane, conectarea orașelor și teritoriilor și cooperarea reală în diverse domenii.</w:t>
      </w:r>
    </w:p>
    <w:p w:rsidR="00186EA4" w:rsidRPr="004E7FD9" w:rsidRDefault="00186EA4" w:rsidP="00443416">
      <w:pPr>
        <w:spacing w:after="0" w:line="240" w:lineRule="auto"/>
        <w:jc w:val="both"/>
        <w:rPr>
          <w:rFonts w:ascii="Arial" w:hAnsi="Arial" w:cs="Arial"/>
          <w:b/>
          <w:sz w:val="24"/>
          <w:szCs w:val="24"/>
        </w:rPr>
      </w:pPr>
      <w:r w:rsidRPr="004E7FD9">
        <w:rPr>
          <w:rFonts w:ascii="Arial" w:hAnsi="Arial" w:cs="Arial"/>
          <w:b/>
          <w:sz w:val="24"/>
          <w:szCs w:val="24"/>
        </w:rPr>
        <w:t>Pe plan național, există încă disparităţi profunde cauzate de bariere naturale, accesibilitate redusă către unele zone rurale sau montane, dar şi acces scăzut la servicii publice de interes general. Aceste disparităţi conduc spre un grad scăzut de coeziune şi de participare a cetăţenilor la viața publică, precum şi imposibilitatea valorificării potenţialului întregului teritoriu naţional.</w:t>
      </w:r>
    </w:p>
    <w:p w:rsidR="00186EA4" w:rsidRPr="00443416" w:rsidRDefault="00186EA4" w:rsidP="00443416">
      <w:pPr>
        <w:spacing w:after="0" w:line="240" w:lineRule="auto"/>
        <w:jc w:val="both"/>
        <w:rPr>
          <w:rFonts w:ascii="Arial" w:hAnsi="Arial" w:cs="Arial"/>
          <w:sz w:val="24"/>
          <w:szCs w:val="24"/>
        </w:rPr>
      </w:pPr>
      <w:r w:rsidRPr="004E7FD9">
        <w:rPr>
          <w:rFonts w:ascii="Arial" w:hAnsi="Arial" w:cs="Arial"/>
          <w:sz w:val="24"/>
          <w:szCs w:val="24"/>
        </w:rPr>
        <w:t>Viziunea de dezvoltare pentru orizontul de timp 2035 se concretizează într-un scenariu de dezvoltare care înglobează premisele de dezvoltare caracteristice ale teritoriului naţional și a cărui implementare are ca efect creşterea competitivităţii teritoriului odată cu reducerea disparităţilor importante dintre anumite zone de la nivelul teritoriului, asigurând, în același timp șanse egale tuturor cetățenilor țării, indiferent de mediul în care trăiesc, învață și muncesc.</w:t>
      </w:r>
    </w:p>
    <w:p w:rsidR="00186EA4" w:rsidRPr="004E7FD9" w:rsidRDefault="00186EA4" w:rsidP="00443416">
      <w:pPr>
        <w:spacing w:after="0" w:line="240" w:lineRule="auto"/>
        <w:jc w:val="both"/>
        <w:rPr>
          <w:rFonts w:ascii="Arial" w:hAnsi="Arial" w:cs="Arial"/>
          <w:sz w:val="24"/>
          <w:szCs w:val="24"/>
        </w:rPr>
      </w:pPr>
      <w:r w:rsidRPr="004E7FD9">
        <w:rPr>
          <w:rFonts w:ascii="Arial" w:hAnsi="Arial" w:cs="Arial"/>
          <w:b/>
          <w:sz w:val="24"/>
          <w:szCs w:val="24"/>
        </w:rPr>
        <w:t xml:space="preserve">Operaționalizarea </w:t>
      </w:r>
      <w:r w:rsidRPr="004E7FD9">
        <w:rPr>
          <w:rFonts w:ascii="Arial" w:hAnsi="Arial" w:cs="Arial"/>
          <w:sz w:val="24"/>
          <w:szCs w:val="24"/>
        </w:rPr>
        <w:t xml:space="preserve">obiectivelor SDTR se realizează prin cadrul de măsuri teritoriale și acțiuni strategice la nivel national și la nivelul zonelor </w:t>
      </w:r>
      <w:r>
        <w:rPr>
          <w:rFonts w:ascii="Arial" w:hAnsi="Arial" w:cs="Arial"/>
          <w:sz w:val="24"/>
          <w:szCs w:val="24"/>
        </w:rPr>
        <w:t xml:space="preserve">specifice; </w:t>
      </w:r>
      <w:r w:rsidRPr="004E7FD9">
        <w:rPr>
          <w:rFonts w:ascii="Arial" w:hAnsi="Arial" w:cs="Arial"/>
          <w:sz w:val="24"/>
          <w:szCs w:val="24"/>
        </w:rPr>
        <w:t>acțiuni cu impact direct în asigurarea de șanse egale la educație, sunt:</w:t>
      </w:r>
    </w:p>
    <w:p w:rsidR="00735116" w:rsidRDefault="00186EA4" w:rsidP="00445724">
      <w:pPr>
        <w:pStyle w:val="ListParagraph"/>
        <w:numPr>
          <w:ilvl w:val="0"/>
          <w:numId w:val="21"/>
        </w:numPr>
        <w:tabs>
          <w:tab w:val="left" w:pos="360"/>
        </w:tabs>
        <w:ind w:left="0" w:firstLine="90"/>
        <w:jc w:val="both"/>
        <w:rPr>
          <w:rFonts w:ascii="Arial" w:hAnsi="Arial" w:cs="Arial"/>
          <w:sz w:val="24"/>
          <w:szCs w:val="24"/>
        </w:rPr>
      </w:pPr>
      <w:r w:rsidRPr="00735116">
        <w:rPr>
          <w:rFonts w:ascii="Arial" w:hAnsi="Arial" w:cs="Arial"/>
          <w:sz w:val="24"/>
          <w:szCs w:val="24"/>
        </w:rPr>
        <w:t xml:space="preserve">Înfiinţarea, modernizarea și dotarea grădiniţelor și a creșelor din mediul </w:t>
      </w:r>
      <w:r w:rsidR="008B6646" w:rsidRPr="00735116">
        <w:rPr>
          <w:rFonts w:ascii="Arial" w:hAnsi="Arial" w:cs="Arial"/>
          <w:sz w:val="24"/>
          <w:szCs w:val="24"/>
        </w:rPr>
        <w:t>rural</w:t>
      </w:r>
    </w:p>
    <w:p w:rsidR="00735116" w:rsidRDefault="00186EA4" w:rsidP="00445724">
      <w:pPr>
        <w:pStyle w:val="ListParagraph"/>
        <w:numPr>
          <w:ilvl w:val="0"/>
          <w:numId w:val="21"/>
        </w:numPr>
        <w:tabs>
          <w:tab w:val="left" w:pos="360"/>
        </w:tabs>
        <w:ind w:left="0" w:firstLine="90"/>
        <w:jc w:val="both"/>
        <w:rPr>
          <w:rFonts w:ascii="Arial" w:hAnsi="Arial" w:cs="Arial"/>
          <w:sz w:val="24"/>
          <w:szCs w:val="24"/>
        </w:rPr>
      </w:pPr>
      <w:r w:rsidRPr="00735116">
        <w:rPr>
          <w:rFonts w:ascii="Arial" w:hAnsi="Arial" w:cs="Arial"/>
          <w:sz w:val="24"/>
          <w:szCs w:val="24"/>
        </w:rPr>
        <w:t>Reabilitarea, modernizarea și dotarea școlil</w:t>
      </w:r>
      <w:r w:rsidR="008B6646" w:rsidRPr="00735116">
        <w:rPr>
          <w:rFonts w:ascii="Arial" w:hAnsi="Arial" w:cs="Arial"/>
          <w:sz w:val="24"/>
          <w:szCs w:val="24"/>
        </w:rPr>
        <w:t>or gimnaziale din mediul rural</w:t>
      </w:r>
    </w:p>
    <w:p w:rsidR="00735116" w:rsidRDefault="00186EA4" w:rsidP="00445724">
      <w:pPr>
        <w:pStyle w:val="ListParagraph"/>
        <w:numPr>
          <w:ilvl w:val="0"/>
          <w:numId w:val="21"/>
        </w:numPr>
        <w:tabs>
          <w:tab w:val="left" w:pos="360"/>
        </w:tabs>
        <w:ind w:left="0" w:firstLine="90"/>
        <w:jc w:val="both"/>
        <w:rPr>
          <w:rFonts w:ascii="Arial" w:hAnsi="Arial" w:cs="Arial"/>
          <w:sz w:val="24"/>
          <w:szCs w:val="24"/>
        </w:rPr>
      </w:pPr>
      <w:r w:rsidRPr="00735116">
        <w:rPr>
          <w:rFonts w:ascii="Arial" w:hAnsi="Arial" w:cs="Arial"/>
          <w:sz w:val="24"/>
          <w:szCs w:val="24"/>
        </w:rPr>
        <w:t>Înfiinţarea, modernizarea și dotarea centrelor de tip “Afte</w:t>
      </w:r>
      <w:r w:rsidR="008B6646" w:rsidRPr="00735116">
        <w:rPr>
          <w:rFonts w:ascii="Arial" w:hAnsi="Arial" w:cs="Arial"/>
          <w:sz w:val="24"/>
          <w:szCs w:val="24"/>
        </w:rPr>
        <w:t>r-School” din mediul rural</w:t>
      </w:r>
    </w:p>
    <w:p w:rsidR="00735116" w:rsidRDefault="00186EA4" w:rsidP="00445724">
      <w:pPr>
        <w:pStyle w:val="ListParagraph"/>
        <w:numPr>
          <w:ilvl w:val="0"/>
          <w:numId w:val="21"/>
        </w:numPr>
        <w:tabs>
          <w:tab w:val="left" w:pos="360"/>
        </w:tabs>
        <w:ind w:left="0" w:firstLine="90"/>
        <w:jc w:val="both"/>
        <w:rPr>
          <w:rFonts w:ascii="Arial" w:hAnsi="Arial" w:cs="Arial"/>
          <w:sz w:val="24"/>
          <w:szCs w:val="24"/>
        </w:rPr>
      </w:pPr>
      <w:r w:rsidRPr="00735116">
        <w:rPr>
          <w:rFonts w:ascii="Arial" w:hAnsi="Arial" w:cs="Arial"/>
          <w:sz w:val="24"/>
          <w:szCs w:val="24"/>
        </w:rPr>
        <w:t>Implementarea soluţiilor de tip e-educaţie la unităţile de învăţământ din zona montană, cu precădere în localităţile rurale;</w:t>
      </w:r>
    </w:p>
    <w:p w:rsidR="00735116" w:rsidRDefault="00186EA4" w:rsidP="00445724">
      <w:pPr>
        <w:pStyle w:val="ListParagraph"/>
        <w:numPr>
          <w:ilvl w:val="0"/>
          <w:numId w:val="21"/>
        </w:numPr>
        <w:tabs>
          <w:tab w:val="left" w:pos="360"/>
        </w:tabs>
        <w:ind w:left="0" w:firstLine="90"/>
        <w:jc w:val="both"/>
        <w:rPr>
          <w:rFonts w:ascii="Arial" w:hAnsi="Arial" w:cs="Arial"/>
          <w:sz w:val="24"/>
          <w:szCs w:val="24"/>
        </w:rPr>
      </w:pPr>
      <w:r w:rsidRPr="00735116">
        <w:rPr>
          <w:rFonts w:ascii="Arial" w:hAnsi="Arial" w:cs="Arial"/>
          <w:sz w:val="24"/>
          <w:szCs w:val="24"/>
        </w:rPr>
        <w:t>Reabilitarea, modernizarea și dotarea unităţilor de învăţământ preuniversit</w:t>
      </w:r>
      <w:r w:rsidR="008B6646" w:rsidRPr="00735116">
        <w:rPr>
          <w:rFonts w:ascii="Arial" w:hAnsi="Arial" w:cs="Arial"/>
          <w:sz w:val="24"/>
          <w:szCs w:val="24"/>
        </w:rPr>
        <w:t>ar din localităţile montane</w:t>
      </w:r>
      <w:r w:rsidR="00735116" w:rsidRPr="00735116">
        <w:rPr>
          <w:rFonts w:ascii="Arial" w:hAnsi="Arial" w:cs="Arial"/>
          <w:sz w:val="24"/>
          <w:szCs w:val="24"/>
        </w:rPr>
        <w:t>;</w:t>
      </w:r>
    </w:p>
    <w:p w:rsidR="00735116" w:rsidRDefault="00186EA4" w:rsidP="00445724">
      <w:pPr>
        <w:pStyle w:val="ListParagraph"/>
        <w:numPr>
          <w:ilvl w:val="0"/>
          <w:numId w:val="21"/>
        </w:numPr>
        <w:tabs>
          <w:tab w:val="left" w:pos="360"/>
        </w:tabs>
        <w:ind w:left="0" w:firstLine="90"/>
        <w:jc w:val="both"/>
        <w:rPr>
          <w:rFonts w:ascii="Arial" w:hAnsi="Arial" w:cs="Arial"/>
          <w:sz w:val="24"/>
          <w:szCs w:val="24"/>
        </w:rPr>
      </w:pPr>
      <w:r w:rsidRPr="00735116">
        <w:rPr>
          <w:rFonts w:ascii="Arial" w:hAnsi="Arial" w:cs="Arial"/>
          <w:sz w:val="24"/>
          <w:szCs w:val="24"/>
        </w:rPr>
        <w:t>Achiziţionarea de autobuze școlare pentru transportul copiilor și elevilor din satele de munte lipsite de unităţi de învăţământ;</w:t>
      </w:r>
    </w:p>
    <w:p w:rsidR="00735116" w:rsidRDefault="00186EA4" w:rsidP="00445724">
      <w:pPr>
        <w:pStyle w:val="ListParagraph"/>
        <w:numPr>
          <w:ilvl w:val="0"/>
          <w:numId w:val="21"/>
        </w:numPr>
        <w:tabs>
          <w:tab w:val="left" w:pos="360"/>
        </w:tabs>
        <w:ind w:left="0" w:firstLine="90"/>
        <w:jc w:val="both"/>
        <w:rPr>
          <w:rFonts w:ascii="Arial" w:hAnsi="Arial" w:cs="Arial"/>
          <w:sz w:val="24"/>
          <w:szCs w:val="24"/>
        </w:rPr>
      </w:pPr>
      <w:r w:rsidRPr="00735116">
        <w:rPr>
          <w:rFonts w:ascii="Arial" w:hAnsi="Arial" w:cs="Arial"/>
          <w:sz w:val="24"/>
          <w:szCs w:val="24"/>
        </w:rPr>
        <w:t>Înfiinţarea, reabilitarea, modernizarea și dotarea campusurilor școlare și de formare profesională continuă din zonele montane, cu precădere în jurul liceelor cu profil tehnologic;</w:t>
      </w:r>
    </w:p>
    <w:p w:rsidR="00186EA4" w:rsidRPr="00735116" w:rsidRDefault="00186EA4" w:rsidP="00445724">
      <w:pPr>
        <w:pStyle w:val="ListParagraph"/>
        <w:numPr>
          <w:ilvl w:val="0"/>
          <w:numId w:val="21"/>
        </w:numPr>
        <w:tabs>
          <w:tab w:val="left" w:pos="360"/>
        </w:tabs>
        <w:ind w:left="0" w:firstLine="90"/>
        <w:jc w:val="both"/>
        <w:rPr>
          <w:rFonts w:ascii="Arial" w:hAnsi="Arial" w:cs="Arial"/>
          <w:sz w:val="24"/>
          <w:szCs w:val="24"/>
        </w:rPr>
      </w:pPr>
      <w:r w:rsidRPr="00735116">
        <w:rPr>
          <w:rFonts w:ascii="Arial" w:hAnsi="Arial" w:cs="Arial"/>
          <w:sz w:val="24"/>
          <w:szCs w:val="24"/>
        </w:rPr>
        <w:t>Derularea de programe de formare profesională continuă pentru ocupaţii tradiţionale, cu precădere în zone montane cu potenţial turistic ridicat;</w:t>
      </w:r>
    </w:p>
    <w:p w:rsidR="00186EA4" w:rsidRPr="004E7FD9" w:rsidRDefault="00186EA4" w:rsidP="00443416">
      <w:pPr>
        <w:tabs>
          <w:tab w:val="left" w:pos="601"/>
        </w:tabs>
        <w:spacing w:after="0" w:line="240" w:lineRule="auto"/>
        <w:ind w:right="-138"/>
        <w:jc w:val="both"/>
        <w:rPr>
          <w:rFonts w:ascii="Arial" w:hAnsi="Arial" w:cs="Arial"/>
          <w:sz w:val="24"/>
          <w:szCs w:val="24"/>
        </w:rPr>
      </w:pPr>
      <w:r w:rsidRPr="004E7FD9">
        <w:rPr>
          <w:rFonts w:ascii="Arial" w:hAnsi="Arial" w:cs="Arial"/>
          <w:sz w:val="24"/>
          <w:szCs w:val="24"/>
        </w:rPr>
        <w:lastRenderedPageBreak/>
        <w:t>Implementarea Strategiei de Dezvoltare Teritorială a României și asigurarea unui caracter integrat al acesteia, va fi asigurat prin corelarea acțiunilor instituţiilor publice şi actorilor privaţi ale căror decizii influenţează dezvoltarea spaţială, unul din principiile de bază care stă la baza procesului fiind reprezentat de cooperarea interinstituţională strânsă la nivel central și local.</w:t>
      </w:r>
    </w:p>
    <w:p w:rsidR="000D7C65" w:rsidRPr="000D7C65" w:rsidRDefault="000D7C65" w:rsidP="000C6A67">
      <w:pPr>
        <w:spacing w:after="0" w:line="240" w:lineRule="auto"/>
        <w:jc w:val="both"/>
        <w:rPr>
          <w:rFonts w:ascii="Arial" w:hAnsi="Arial" w:cs="Arial"/>
          <w:color w:val="000000" w:themeColor="text1"/>
          <w:sz w:val="24"/>
          <w:szCs w:val="24"/>
          <w:lang w:eastAsia="ro-RO"/>
        </w:rPr>
      </w:pPr>
    </w:p>
    <w:p w:rsidR="00F2266B" w:rsidRPr="00DD5F85" w:rsidRDefault="001A346C" w:rsidP="000C6A67">
      <w:pPr>
        <w:pStyle w:val="Heading2"/>
        <w:spacing w:before="0" w:line="240" w:lineRule="auto"/>
        <w:jc w:val="both"/>
        <w:rPr>
          <w:rFonts w:ascii="Arial" w:hAnsi="Arial" w:cs="Arial"/>
          <w:i/>
          <w:color w:val="000000" w:themeColor="text1"/>
          <w:sz w:val="24"/>
          <w:szCs w:val="24"/>
        </w:rPr>
      </w:pPr>
      <w:bookmarkStart w:id="59" w:name="_Toc465489996"/>
      <w:bookmarkStart w:id="60" w:name="_Toc488066036"/>
      <w:r w:rsidRPr="00DD5F85">
        <w:rPr>
          <w:rFonts w:ascii="Arial" w:hAnsi="Arial" w:cs="Arial"/>
          <w:i/>
          <w:color w:val="000000" w:themeColor="text1"/>
          <w:sz w:val="24"/>
          <w:szCs w:val="24"/>
        </w:rPr>
        <w:t>4</w:t>
      </w:r>
      <w:r w:rsidR="00F2266B" w:rsidRPr="00DD5F85">
        <w:rPr>
          <w:rFonts w:ascii="Arial" w:hAnsi="Arial" w:cs="Arial"/>
          <w:i/>
          <w:color w:val="000000" w:themeColor="text1"/>
          <w:sz w:val="24"/>
          <w:szCs w:val="24"/>
        </w:rPr>
        <w:t>.4. Principalele concluzi</w:t>
      </w:r>
      <w:r w:rsidR="00080628" w:rsidRPr="00DD5F85">
        <w:rPr>
          <w:rFonts w:ascii="Arial" w:hAnsi="Arial" w:cs="Arial"/>
          <w:i/>
          <w:color w:val="000000" w:themeColor="text1"/>
          <w:sz w:val="24"/>
          <w:szCs w:val="24"/>
        </w:rPr>
        <w:t>i din analiza mediului economic</w:t>
      </w:r>
      <w:r w:rsidR="00F2266B" w:rsidRPr="00DD5F85">
        <w:rPr>
          <w:rFonts w:ascii="Arial" w:hAnsi="Arial" w:cs="Arial"/>
          <w:i/>
          <w:color w:val="000000" w:themeColor="text1"/>
          <w:sz w:val="24"/>
          <w:szCs w:val="24"/>
        </w:rPr>
        <w:t>. Implicaţii pentru ÎPT</w:t>
      </w:r>
      <w:bookmarkEnd w:id="59"/>
      <w:bookmarkEnd w:id="60"/>
    </w:p>
    <w:p w:rsidR="00D003F7" w:rsidRDefault="00D003F7" w:rsidP="000C6A67">
      <w:pPr>
        <w:spacing w:after="0" w:line="240" w:lineRule="auto"/>
        <w:jc w:val="both"/>
        <w:rPr>
          <w:rFonts w:ascii="Arial" w:hAnsi="Arial" w:cs="Arial"/>
          <w:color w:val="000000" w:themeColor="text1"/>
          <w:sz w:val="24"/>
          <w:szCs w:val="24"/>
        </w:rPr>
      </w:pPr>
    </w:p>
    <w:p w:rsidR="005A08AD" w:rsidRPr="00BF41E1" w:rsidRDefault="00D14344" w:rsidP="00445724">
      <w:pPr>
        <w:pStyle w:val="ListParagraph"/>
        <w:numPr>
          <w:ilvl w:val="0"/>
          <w:numId w:val="22"/>
        </w:numPr>
        <w:ind w:left="90" w:firstLine="270"/>
        <w:jc w:val="both"/>
        <w:rPr>
          <w:rFonts w:ascii="Arial" w:hAnsi="Arial" w:cs="Arial"/>
          <w:color w:val="000000" w:themeColor="text1"/>
          <w:sz w:val="24"/>
          <w:szCs w:val="24"/>
        </w:rPr>
      </w:pPr>
      <w:r w:rsidRPr="00BF41E1">
        <w:rPr>
          <w:rFonts w:ascii="Arial" w:hAnsi="Arial" w:cs="Arial"/>
          <w:color w:val="000000" w:themeColor="text1"/>
          <w:sz w:val="24"/>
          <w:szCs w:val="24"/>
        </w:rPr>
        <w:t xml:space="preserve">Mediul economic este bine conturat la nivelul Regiunii, și oferă repere importante pentru IPT. Este deosebit de clara tendința de dezvoltare a sectoarelor economiei către domenii cu productivitate ridicată, iar competitivitatea regională are una dintre cele mai importate resurse cea umană, existentă și viitoare. </w:t>
      </w:r>
    </w:p>
    <w:p w:rsidR="000D7C65" w:rsidRPr="00BF41E1" w:rsidRDefault="00D14344" w:rsidP="00445724">
      <w:pPr>
        <w:pStyle w:val="ListParagraph"/>
        <w:numPr>
          <w:ilvl w:val="0"/>
          <w:numId w:val="22"/>
        </w:numPr>
        <w:ind w:left="90" w:firstLine="270"/>
        <w:jc w:val="both"/>
        <w:rPr>
          <w:rFonts w:ascii="Arial" w:hAnsi="Arial" w:cs="Arial"/>
          <w:color w:val="000000" w:themeColor="text1"/>
          <w:sz w:val="24"/>
          <w:szCs w:val="24"/>
        </w:rPr>
      </w:pPr>
      <w:r w:rsidRPr="00BF41E1">
        <w:rPr>
          <w:rFonts w:ascii="Arial" w:hAnsi="Arial" w:cs="Arial"/>
          <w:color w:val="000000" w:themeColor="text1"/>
          <w:sz w:val="24"/>
          <w:szCs w:val="24"/>
        </w:rPr>
        <w:t>Având în vedere gradul de îmbătrânire a forței de muncă și lipsa unui surplus de calificări pe piața muncii, investitorii se orientează puternic către forța de mucă pe care și-o dezvoltă încă din etapa de formare inițială, pe toate nivelurile (</w:t>
      </w:r>
      <w:r w:rsidR="0034257E" w:rsidRPr="00BF41E1">
        <w:rPr>
          <w:rFonts w:ascii="Arial" w:hAnsi="Arial" w:cs="Arial"/>
          <w:color w:val="000000" w:themeColor="text1"/>
          <w:sz w:val="24"/>
          <w:szCs w:val="24"/>
        </w:rPr>
        <w:t xml:space="preserve">muncitori calificați, specialiși și experți cu studii superioare). </w:t>
      </w:r>
    </w:p>
    <w:p w:rsidR="005A08AD" w:rsidRPr="00BF41E1" w:rsidRDefault="0034257E" w:rsidP="00445724">
      <w:pPr>
        <w:pStyle w:val="ListParagraph"/>
        <w:numPr>
          <w:ilvl w:val="0"/>
          <w:numId w:val="22"/>
        </w:numPr>
        <w:ind w:left="0" w:firstLine="360"/>
        <w:jc w:val="both"/>
        <w:rPr>
          <w:rFonts w:ascii="Arial" w:hAnsi="Arial" w:cs="Arial"/>
          <w:color w:val="000000" w:themeColor="text1"/>
          <w:sz w:val="24"/>
          <w:szCs w:val="24"/>
        </w:rPr>
      </w:pPr>
      <w:r w:rsidRPr="00BF41E1">
        <w:rPr>
          <w:rFonts w:ascii="Arial" w:hAnsi="Arial" w:cs="Arial"/>
          <w:color w:val="000000" w:themeColor="text1"/>
          <w:sz w:val="24"/>
          <w:szCs w:val="24"/>
        </w:rPr>
        <w:t xml:space="preserve">În județele regiunii se contureaza zone de interes pentru sectoare economice mai relevante, ceea ce ar necesita o planificare regională a ofertei de formare profesională: ar fi eficiente daca ar funcționa centre de formare puternice acolo unde exista și cea mai importanta cerere de calificări, și care poate investi în instruirea practică. </w:t>
      </w:r>
    </w:p>
    <w:p w:rsidR="0034257E" w:rsidRPr="00BF41E1" w:rsidRDefault="0034257E" w:rsidP="00445724">
      <w:pPr>
        <w:pStyle w:val="ListParagraph"/>
        <w:numPr>
          <w:ilvl w:val="0"/>
          <w:numId w:val="22"/>
        </w:numPr>
        <w:tabs>
          <w:tab w:val="left" w:pos="540"/>
        </w:tabs>
        <w:ind w:left="0" w:firstLine="360"/>
        <w:jc w:val="both"/>
        <w:rPr>
          <w:rFonts w:ascii="Arial" w:hAnsi="Arial" w:cs="Arial"/>
          <w:color w:val="000000" w:themeColor="text1"/>
          <w:sz w:val="24"/>
          <w:szCs w:val="24"/>
        </w:rPr>
      </w:pPr>
      <w:r w:rsidRPr="00BF41E1">
        <w:rPr>
          <w:rFonts w:ascii="Arial" w:hAnsi="Arial" w:cs="Arial"/>
          <w:color w:val="000000" w:themeColor="text1"/>
          <w:sz w:val="24"/>
          <w:szCs w:val="24"/>
        </w:rPr>
        <w:t xml:space="preserve">Nu este eficient nici din perspectiva costurilor păstrarea acelorași oferte în fiecare județ, în raport de competiție între aceste centre. Abordarea ofertelor </w:t>
      </w:r>
      <w:r w:rsidR="00E07FFB">
        <w:rPr>
          <w:rFonts w:ascii="Arial" w:hAnsi="Arial" w:cs="Arial"/>
          <w:color w:val="000000" w:themeColor="text1"/>
          <w:sz w:val="24"/>
          <w:szCs w:val="24"/>
          <w:lang w:val="ro-RO"/>
        </w:rPr>
        <w:t>î</w:t>
      </w:r>
      <w:r w:rsidRPr="00BF41E1">
        <w:rPr>
          <w:rFonts w:ascii="Arial" w:hAnsi="Arial" w:cs="Arial"/>
          <w:color w:val="000000" w:themeColor="text1"/>
          <w:sz w:val="24"/>
          <w:szCs w:val="24"/>
        </w:rPr>
        <w:t xml:space="preserve">n mod complementar ar aduce un plus de eficiență, cu condiția asigurării unui grad mai ridicat de mobilitate a tinerilor pentru perioada de formare profesională. </w:t>
      </w:r>
    </w:p>
    <w:p w:rsidR="000D7C65" w:rsidRDefault="000D7C65" w:rsidP="000C6A67">
      <w:pPr>
        <w:spacing w:after="0" w:line="240" w:lineRule="auto"/>
        <w:jc w:val="both"/>
        <w:rPr>
          <w:rFonts w:ascii="Arial" w:hAnsi="Arial" w:cs="Arial"/>
          <w:color w:val="000000" w:themeColor="text1"/>
          <w:sz w:val="24"/>
          <w:szCs w:val="24"/>
        </w:rPr>
      </w:pPr>
    </w:p>
    <w:p w:rsidR="005763E2" w:rsidRDefault="005763E2" w:rsidP="000C6A67">
      <w:pPr>
        <w:spacing w:after="0" w:line="240" w:lineRule="auto"/>
        <w:rPr>
          <w:rFonts w:ascii="Arial" w:hAnsi="Arial" w:cs="Arial"/>
          <w:color w:val="000000" w:themeColor="text1"/>
          <w:sz w:val="24"/>
          <w:szCs w:val="24"/>
        </w:rPr>
      </w:pPr>
      <w:r>
        <w:rPr>
          <w:rFonts w:ascii="Arial" w:hAnsi="Arial" w:cs="Arial"/>
          <w:color w:val="000000" w:themeColor="text1"/>
          <w:sz w:val="24"/>
          <w:szCs w:val="24"/>
        </w:rPr>
        <w:br w:type="page"/>
      </w:r>
    </w:p>
    <w:p w:rsidR="000D7C65" w:rsidRPr="00DD5F85" w:rsidRDefault="000D7C65" w:rsidP="000C6A67">
      <w:pPr>
        <w:spacing w:after="0" w:line="240" w:lineRule="auto"/>
        <w:jc w:val="both"/>
        <w:rPr>
          <w:rFonts w:ascii="Arial" w:hAnsi="Arial" w:cs="Arial"/>
          <w:color w:val="000000" w:themeColor="text1"/>
          <w:sz w:val="24"/>
          <w:szCs w:val="24"/>
        </w:rPr>
      </w:pPr>
    </w:p>
    <w:p w:rsidR="00D45E55" w:rsidRPr="00DD5F85" w:rsidRDefault="00AF2F7A" w:rsidP="000C6A67">
      <w:pPr>
        <w:pStyle w:val="BodyTextIndent3"/>
        <w:spacing w:after="0"/>
        <w:ind w:left="0"/>
        <w:jc w:val="center"/>
        <w:outlineLvl w:val="0"/>
        <w:rPr>
          <w:rFonts w:ascii="Arial" w:hAnsi="Arial" w:cs="Arial"/>
          <w:b/>
          <w:sz w:val="28"/>
          <w:szCs w:val="28"/>
          <w:lang w:eastAsia="ro-RO"/>
        </w:rPr>
      </w:pPr>
      <w:bookmarkStart w:id="61" w:name="_Toc488066037"/>
      <w:r w:rsidRPr="00DD5F85">
        <w:rPr>
          <w:rFonts w:ascii="Arial" w:hAnsi="Arial" w:cs="Arial"/>
          <w:b/>
          <w:sz w:val="28"/>
          <w:szCs w:val="28"/>
          <w:lang w:eastAsia="ro-RO"/>
        </w:rPr>
        <w:t>5</w:t>
      </w:r>
      <w:r w:rsidR="00D45E55" w:rsidRPr="00DD5F85">
        <w:rPr>
          <w:rFonts w:ascii="Arial" w:hAnsi="Arial" w:cs="Arial"/>
          <w:b/>
          <w:sz w:val="28"/>
          <w:szCs w:val="28"/>
          <w:lang w:eastAsia="ro-RO"/>
        </w:rPr>
        <w:t>. Piaţa muncii la nivel regional</w:t>
      </w:r>
      <w:bookmarkEnd w:id="61"/>
    </w:p>
    <w:p w:rsidR="00AF2F7A" w:rsidRPr="000D7C65" w:rsidRDefault="00AF2F7A" w:rsidP="000C6A67">
      <w:pPr>
        <w:pStyle w:val="BodyTextIndent3"/>
        <w:spacing w:after="0"/>
        <w:ind w:left="0"/>
        <w:jc w:val="both"/>
        <w:rPr>
          <w:rFonts w:ascii="Arial" w:hAnsi="Arial" w:cs="Arial"/>
          <w:b/>
          <w:sz w:val="28"/>
          <w:szCs w:val="28"/>
          <w:lang w:eastAsia="ro-RO"/>
        </w:rPr>
      </w:pPr>
    </w:p>
    <w:p w:rsidR="00D45E55" w:rsidRPr="000302B3" w:rsidRDefault="00AF2F7A" w:rsidP="000302B3">
      <w:pPr>
        <w:pStyle w:val="Heading1"/>
        <w:rPr>
          <w:rFonts w:ascii="Arial" w:hAnsi="Arial" w:cs="Arial"/>
          <w:color w:val="auto"/>
          <w:sz w:val="24"/>
          <w:szCs w:val="24"/>
          <w:lang w:eastAsia="ro-RO"/>
        </w:rPr>
      </w:pPr>
      <w:bookmarkStart w:id="62" w:name="_Toc488066038"/>
      <w:r w:rsidRPr="000302B3">
        <w:rPr>
          <w:rFonts w:ascii="Arial" w:hAnsi="Arial" w:cs="Arial"/>
          <w:color w:val="auto"/>
          <w:sz w:val="24"/>
          <w:szCs w:val="24"/>
          <w:lang w:eastAsia="ro-RO"/>
        </w:rPr>
        <w:t>5</w:t>
      </w:r>
      <w:r w:rsidR="00D45E55" w:rsidRPr="000302B3">
        <w:rPr>
          <w:rFonts w:ascii="Arial" w:hAnsi="Arial" w:cs="Arial"/>
          <w:color w:val="auto"/>
          <w:sz w:val="24"/>
          <w:szCs w:val="24"/>
          <w:lang w:eastAsia="ro-RO"/>
        </w:rPr>
        <w:t>.1. Evoluţii şi situaţia curentă - principalii  indicatori ai pieţei muncii conform anchetei forţei de muncă în gospodării (AMIGO)</w:t>
      </w:r>
      <w:bookmarkEnd w:id="62"/>
    </w:p>
    <w:p w:rsidR="00DB3AFF" w:rsidRDefault="00DB3AFF" w:rsidP="000C6A67">
      <w:pPr>
        <w:pStyle w:val="BodyTextIndent3"/>
        <w:spacing w:after="0"/>
        <w:ind w:left="0"/>
        <w:jc w:val="both"/>
        <w:rPr>
          <w:rFonts w:ascii="Arial" w:hAnsi="Arial" w:cs="Arial"/>
          <w:sz w:val="24"/>
          <w:szCs w:val="24"/>
          <w:lang w:eastAsia="ro-RO"/>
        </w:rPr>
      </w:pPr>
    </w:p>
    <w:p w:rsidR="00DB3AFF" w:rsidRPr="00F56B12" w:rsidRDefault="00DB3AFF" w:rsidP="00FC7199">
      <w:pPr>
        <w:pStyle w:val="BodyTextIndent3"/>
        <w:spacing w:after="0"/>
        <w:ind w:left="0"/>
        <w:jc w:val="both"/>
        <w:rPr>
          <w:rFonts w:ascii="Arial" w:hAnsi="Arial" w:cs="Arial"/>
          <w:i/>
          <w:sz w:val="24"/>
          <w:szCs w:val="24"/>
          <w:lang w:eastAsia="ro-RO"/>
        </w:rPr>
      </w:pPr>
      <w:r w:rsidRPr="00F56B12">
        <w:rPr>
          <w:rFonts w:ascii="Arial" w:hAnsi="Arial" w:cs="Arial"/>
          <w:i/>
          <w:sz w:val="24"/>
          <w:szCs w:val="24"/>
          <w:lang w:eastAsia="ro-RO"/>
        </w:rPr>
        <w:t>5.1.1. Structura populaţiei, după participarea la activitatea economică, pe grupe de vârstă, sexe şi medii</w:t>
      </w:r>
      <w:r w:rsidRPr="00F56B12">
        <w:rPr>
          <w:rStyle w:val="FootnoteReference"/>
          <w:rFonts w:ascii="Arial" w:hAnsi="Arial" w:cs="Arial"/>
          <w:i/>
          <w:sz w:val="24"/>
          <w:szCs w:val="24"/>
          <w:lang w:eastAsia="ro-RO"/>
        </w:rPr>
        <w:footnoteReference w:id="32"/>
      </w:r>
      <w:r w:rsidRPr="00F56B12">
        <w:rPr>
          <w:rFonts w:ascii="Arial" w:hAnsi="Arial" w:cs="Arial"/>
          <w:i/>
          <w:sz w:val="24"/>
          <w:szCs w:val="24"/>
          <w:lang w:eastAsia="ro-RO"/>
        </w:rPr>
        <w:t>:</w:t>
      </w:r>
    </w:p>
    <w:p w:rsidR="006867E4" w:rsidRPr="000302B3" w:rsidRDefault="00F56B12" w:rsidP="00FC7199">
      <w:pPr>
        <w:spacing w:after="0" w:line="240" w:lineRule="auto"/>
        <w:jc w:val="both"/>
        <w:rPr>
          <w:rFonts w:ascii="Arial" w:hAnsi="Arial" w:cs="Arial"/>
          <w:sz w:val="24"/>
          <w:szCs w:val="24"/>
        </w:rPr>
      </w:pPr>
      <w:r w:rsidRPr="000302B3">
        <w:rPr>
          <w:rFonts w:ascii="Arial" w:hAnsi="Arial" w:cs="Arial"/>
          <w:i/>
          <w:sz w:val="24"/>
          <w:szCs w:val="24"/>
        </w:rPr>
        <w:t xml:space="preserve">5.1.1.a. </w:t>
      </w:r>
      <w:r w:rsidR="006867E4" w:rsidRPr="000302B3">
        <w:rPr>
          <w:rFonts w:ascii="Arial" w:hAnsi="Arial" w:cs="Arial"/>
          <w:i/>
          <w:sz w:val="24"/>
          <w:szCs w:val="24"/>
        </w:rPr>
        <w:t>Populaţia activă</w:t>
      </w:r>
      <w:r w:rsidRPr="000302B3">
        <w:rPr>
          <w:rFonts w:ascii="Arial" w:hAnsi="Arial" w:cs="Arial"/>
          <w:i/>
          <w:sz w:val="24"/>
          <w:szCs w:val="24"/>
        </w:rPr>
        <w:t>.</w:t>
      </w:r>
      <w:r w:rsidR="006867E4" w:rsidRPr="000302B3">
        <w:rPr>
          <w:rFonts w:ascii="Arial" w:hAnsi="Arial" w:cs="Arial"/>
          <w:b/>
          <w:sz w:val="24"/>
          <w:szCs w:val="24"/>
        </w:rPr>
        <w:t xml:space="preserve"> </w:t>
      </w:r>
      <w:r w:rsidR="0034257E" w:rsidRPr="000302B3">
        <w:rPr>
          <w:rFonts w:ascii="Arial" w:hAnsi="Arial" w:cs="Arial"/>
          <w:b/>
          <w:sz w:val="24"/>
          <w:szCs w:val="24"/>
        </w:rPr>
        <w:t xml:space="preserve"> </w:t>
      </w:r>
      <w:r w:rsidR="0034257E" w:rsidRPr="000302B3">
        <w:rPr>
          <w:rFonts w:ascii="Arial" w:hAnsi="Arial" w:cs="Arial"/>
          <w:sz w:val="24"/>
          <w:szCs w:val="24"/>
        </w:rPr>
        <w:t>I</w:t>
      </w:r>
      <w:r w:rsidR="006867E4" w:rsidRPr="000302B3">
        <w:rPr>
          <w:rFonts w:ascii="Arial" w:hAnsi="Arial" w:cs="Arial"/>
          <w:sz w:val="24"/>
          <w:szCs w:val="24"/>
        </w:rPr>
        <w:t>n perioada 2002 - 2015 populația activă din Regiunea Vest număra 11.697 mii persoane, respectiv 8,69% din populația activă la nivel național. Din punct de vedere al evoluţiei, în perioada analizată, tendința de scădere a populației active s-a manifestat atât la nivelul Regiunii Vest cât și la nivel național. La nivel regional,  după un maxim în 2007 (885 mii persoane), numărul populaţiei active a ajuns în 2015 la 771 mii persoane.</w:t>
      </w:r>
    </w:p>
    <w:p w:rsidR="006867E4" w:rsidRPr="000302B3" w:rsidRDefault="006867E4" w:rsidP="00FC7199">
      <w:pPr>
        <w:spacing w:after="0" w:line="240" w:lineRule="auto"/>
        <w:jc w:val="both"/>
        <w:rPr>
          <w:rFonts w:ascii="Arial" w:hAnsi="Arial" w:cs="Arial"/>
          <w:sz w:val="24"/>
          <w:szCs w:val="24"/>
        </w:rPr>
      </w:pPr>
      <w:r w:rsidRPr="000302B3">
        <w:rPr>
          <w:rFonts w:ascii="Arial" w:hAnsi="Arial" w:cs="Arial"/>
          <w:sz w:val="24"/>
          <w:szCs w:val="24"/>
        </w:rPr>
        <w:t>Pe medii rezidenţiale, față de anul 2007, doar în rândul populației active din mediul urban s-a înregistrat tendința de scădere, de la 566 mii persoane la  486 mii persoane în 2015. In mediul rural evoluția populației active a fost oscilantă cu un maxim de 338 mii persoane în  2002 (începutul perioadei analizate) și un minim de 285 mii persoane în anul 2015 (sfîrșitul perioadei analizate).</w:t>
      </w:r>
    </w:p>
    <w:p w:rsidR="006867E4" w:rsidRPr="000302B3" w:rsidRDefault="006867E4" w:rsidP="00FC7199">
      <w:pPr>
        <w:spacing w:after="0" w:line="240" w:lineRule="auto"/>
        <w:jc w:val="both"/>
        <w:rPr>
          <w:rFonts w:ascii="Arial" w:hAnsi="Arial" w:cs="Arial"/>
          <w:sz w:val="24"/>
          <w:szCs w:val="24"/>
        </w:rPr>
      </w:pPr>
      <w:r w:rsidRPr="000302B3">
        <w:rPr>
          <w:rFonts w:ascii="Arial" w:hAnsi="Arial" w:cs="Arial"/>
          <w:sz w:val="24"/>
          <w:szCs w:val="24"/>
        </w:rPr>
        <w:t xml:space="preserve">La nivelul anului 2015 numărul persoanelor active de gen masculin înregistrează o uşoară  scădere cu 38 mii persoane (454 mii persoane ) faţă de anul  2007 (492 mii persoane) iar în cazul populaţiei active de gen feminin se constată o scădere  cu 76 mii persoane  (393 mii persoane) faţă de 2007 (317 mii persoane). </w:t>
      </w:r>
    </w:p>
    <w:p w:rsidR="00294FF4" w:rsidRPr="000302B3" w:rsidRDefault="00F56B12" w:rsidP="00FC7199">
      <w:pPr>
        <w:spacing w:after="0" w:line="240" w:lineRule="auto"/>
        <w:jc w:val="both"/>
        <w:rPr>
          <w:rFonts w:ascii="Arial" w:hAnsi="Arial" w:cs="Arial"/>
          <w:bCs/>
          <w:sz w:val="24"/>
          <w:szCs w:val="24"/>
        </w:rPr>
      </w:pPr>
      <w:bookmarkStart w:id="63" w:name="_Toc487475150"/>
      <w:r w:rsidRPr="000302B3">
        <w:rPr>
          <w:rFonts w:ascii="Arial" w:hAnsi="Arial" w:cs="Arial"/>
          <w:bCs/>
          <w:i/>
          <w:sz w:val="24"/>
          <w:szCs w:val="24"/>
        </w:rPr>
        <w:t>5.1.1.b.</w:t>
      </w:r>
      <w:r w:rsidRPr="000302B3">
        <w:rPr>
          <w:rFonts w:ascii="Arial" w:hAnsi="Arial" w:cs="Arial"/>
          <w:bCs/>
          <w:sz w:val="24"/>
          <w:szCs w:val="24"/>
        </w:rPr>
        <w:t xml:space="preserve"> </w:t>
      </w:r>
      <w:r w:rsidR="00294FF4" w:rsidRPr="000302B3">
        <w:rPr>
          <w:rFonts w:ascii="Arial" w:hAnsi="Arial" w:cs="Arial"/>
          <w:bCs/>
          <w:sz w:val="24"/>
          <w:szCs w:val="24"/>
        </w:rPr>
        <w:t xml:space="preserve">La nivelul Regiunii Vest </w:t>
      </w:r>
      <w:r w:rsidR="00294FF4" w:rsidRPr="000302B3">
        <w:rPr>
          <w:rFonts w:ascii="Arial" w:hAnsi="Arial" w:cs="Arial"/>
          <w:bCs/>
          <w:i/>
          <w:sz w:val="24"/>
          <w:szCs w:val="24"/>
        </w:rPr>
        <w:t>ponderea persoanelor inactive</w:t>
      </w:r>
      <w:r w:rsidR="00294FF4" w:rsidRPr="000302B3">
        <w:rPr>
          <w:rFonts w:ascii="Arial" w:hAnsi="Arial" w:cs="Arial"/>
          <w:b/>
          <w:bCs/>
          <w:sz w:val="24"/>
          <w:szCs w:val="24"/>
        </w:rPr>
        <w:t xml:space="preserve"> </w:t>
      </w:r>
      <w:r w:rsidR="00294FF4" w:rsidRPr="000302B3">
        <w:rPr>
          <w:rFonts w:ascii="Arial" w:hAnsi="Arial" w:cs="Arial"/>
          <w:bCs/>
          <w:sz w:val="24"/>
          <w:szCs w:val="24"/>
        </w:rPr>
        <w:t>înregistrează valori între 54,3% (în 2008), și 57,4% (în 2015), cu o distribuție diferențiată pe grupe de vârstă.</w:t>
      </w:r>
      <w:bookmarkEnd w:id="63"/>
      <w:r w:rsidR="00294FF4" w:rsidRPr="000302B3">
        <w:rPr>
          <w:rFonts w:ascii="Arial" w:hAnsi="Arial" w:cs="Arial"/>
          <w:bCs/>
          <w:sz w:val="24"/>
          <w:szCs w:val="24"/>
        </w:rPr>
        <w:t xml:space="preserve"> </w:t>
      </w:r>
      <w:bookmarkStart w:id="64" w:name="_Toc487475151"/>
      <w:r w:rsidR="00294FF4" w:rsidRPr="000302B3">
        <w:rPr>
          <w:rFonts w:ascii="Arial" w:hAnsi="Arial" w:cs="Arial"/>
          <w:bCs/>
          <w:sz w:val="24"/>
          <w:szCs w:val="24"/>
        </w:rPr>
        <w:t>Pentru grupele de vârstă 25-34 ani, 35-44 ani, și 45-54 ani, aproximativ fiecare a cincea persoană este inactivă.</w:t>
      </w:r>
      <w:bookmarkEnd w:id="64"/>
      <w:r w:rsidR="00294FF4" w:rsidRPr="000302B3">
        <w:rPr>
          <w:rFonts w:ascii="Arial" w:hAnsi="Arial" w:cs="Arial"/>
          <w:bCs/>
          <w:sz w:val="24"/>
          <w:szCs w:val="24"/>
        </w:rPr>
        <w:t xml:space="preserve">  </w:t>
      </w:r>
    </w:p>
    <w:p w:rsidR="00294FF4" w:rsidRPr="000302B3" w:rsidRDefault="00294FF4" w:rsidP="00FC7199">
      <w:pPr>
        <w:spacing w:after="0" w:line="240" w:lineRule="auto"/>
        <w:jc w:val="both"/>
        <w:rPr>
          <w:rFonts w:ascii="Arial" w:hAnsi="Arial" w:cs="Arial"/>
          <w:bCs/>
          <w:sz w:val="24"/>
          <w:szCs w:val="24"/>
        </w:rPr>
      </w:pPr>
      <w:bookmarkStart w:id="65" w:name="_Toc487475152"/>
      <w:r w:rsidRPr="000302B3">
        <w:rPr>
          <w:rFonts w:ascii="Arial" w:hAnsi="Arial" w:cs="Arial"/>
          <w:bCs/>
          <w:sz w:val="24"/>
          <w:szCs w:val="24"/>
        </w:rPr>
        <w:t>O creștere îngrijorătoare avem pentru grupa de vârstă 55-64  ani, persoane care sunt inactive într-o pondere de peste 60%, cu un maxim de 65,1% în 2015.</w:t>
      </w:r>
      <w:bookmarkEnd w:id="65"/>
      <w:r w:rsidRPr="000302B3">
        <w:rPr>
          <w:rFonts w:ascii="Arial" w:hAnsi="Arial" w:cs="Arial"/>
          <w:bCs/>
          <w:sz w:val="24"/>
          <w:szCs w:val="24"/>
        </w:rPr>
        <w:t xml:space="preserve"> </w:t>
      </w:r>
    </w:p>
    <w:p w:rsidR="00294FF4" w:rsidRPr="000302B3" w:rsidRDefault="00294FF4" w:rsidP="00FC7199">
      <w:pPr>
        <w:spacing w:after="0" w:line="240" w:lineRule="auto"/>
        <w:jc w:val="both"/>
        <w:rPr>
          <w:rFonts w:ascii="Arial" w:hAnsi="Arial" w:cs="Arial"/>
          <w:bCs/>
          <w:sz w:val="24"/>
          <w:szCs w:val="24"/>
        </w:rPr>
      </w:pPr>
      <w:bookmarkStart w:id="66" w:name="_Toc487475153"/>
      <w:r w:rsidRPr="000302B3">
        <w:rPr>
          <w:rFonts w:ascii="Arial" w:hAnsi="Arial" w:cs="Arial"/>
          <w:bCs/>
          <w:sz w:val="24"/>
          <w:szCs w:val="24"/>
        </w:rPr>
        <w:t>Aceste valori pot indica șanse reduse de angajare sau opțiuni pentru pensionare anticipată, și semnaleză nevoia unor intervenții de tip „îmbătrânire activă„.</w:t>
      </w:r>
      <w:bookmarkEnd w:id="66"/>
      <w:r w:rsidRPr="000302B3">
        <w:rPr>
          <w:rFonts w:ascii="Arial" w:hAnsi="Arial" w:cs="Arial"/>
          <w:bCs/>
          <w:sz w:val="24"/>
          <w:szCs w:val="24"/>
        </w:rPr>
        <w:t xml:space="preserve"> </w:t>
      </w:r>
    </w:p>
    <w:p w:rsidR="00294FF4" w:rsidRPr="000302B3" w:rsidRDefault="00294FF4" w:rsidP="00FC7199">
      <w:pPr>
        <w:spacing w:after="0" w:line="240" w:lineRule="auto"/>
        <w:jc w:val="both"/>
        <w:rPr>
          <w:rFonts w:ascii="Arial" w:hAnsi="Arial" w:cs="Arial"/>
          <w:bCs/>
          <w:sz w:val="24"/>
          <w:szCs w:val="24"/>
        </w:rPr>
      </w:pPr>
      <w:r w:rsidRPr="000302B3">
        <w:rPr>
          <w:rFonts w:ascii="Arial" w:hAnsi="Arial" w:cs="Arial"/>
          <w:bCs/>
          <w:sz w:val="24"/>
          <w:szCs w:val="24"/>
        </w:rPr>
        <w:t xml:space="preserve">Distribuția pe sexe indică o situație defavorizată pentru femei, grupa de vârstă 55-64 de ani, iar pe medii rezidențiale diferențele se păstrează în defavoarea mediului urban. </w:t>
      </w:r>
    </w:p>
    <w:p w:rsidR="006867E4" w:rsidRPr="000302B3" w:rsidRDefault="00F56B12" w:rsidP="00FC7199">
      <w:pPr>
        <w:spacing w:after="0" w:line="240" w:lineRule="auto"/>
        <w:jc w:val="both"/>
        <w:rPr>
          <w:rFonts w:ascii="Arial" w:hAnsi="Arial" w:cs="Arial"/>
          <w:sz w:val="24"/>
          <w:szCs w:val="24"/>
        </w:rPr>
      </w:pPr>
      <w:r w:rsidRPr="000302B3">
        <w:rPr>
          <w:rFonts w:ascii="Arial" w:hAnsi="Arial" w:cs="Arial"/>
          <w:i/>
          <w:sz w:val="24"/>
          <w:szCs w:val="24"/>
        </w:rPr>
        <w:t>5.1.1.c.</w:t>
      </w:r>
      <w:r w:rsidR="00A4735D" w:rsidRPr="000302B3">
        <w:rPr>
          <w:rFonts w:ascii="Arial" w:hAnsi="Arial" w:cs="Arial"/>
          <w:i/>
          <w:sz w:val="24"/>
          <w:szCs w:val="24"/>
        </w:rPr>
        <w:t xml:space="preserve"> </w:t>
      </w:r>
      <w:r w:rsidR="0034257E" w:rsidRPr="000302B3">
        <w:rPr>
          <w:rFonts w:ascii="Arial" w:hAnsi="Arial" w:cs="Arial"/>
          <w:i/>
          <w:sz w:val="24"/>
          <w:szCs w:val="24"/>
        </w:rPr>
        <w:t>Populaţia ocupată</w:t>
      </w:r>
      <w:r w:rsidR="0034257E" w:rsidRPr="000302B3">
        <w:rPr>
          <w:rFonts w:ascii="Arial" w:hAnsi="Arial" w:cs="Arial"/>
          <w:b/>
          <w:sz w:val="24"/>
          <w:szCs w:val="24"/>
        </w:rPr>
        <w:t xml:space="preserve">: </w:t>
      </w:r>
      <w:r w:rsidR="006867E4" w:rsidRPr="000302B3">
        <w:rPr>
          <w:rFonts w:ascii="Arial" w:hAnsi="Arial" w:cs="Arial"/>
          <w:sz w:val="24"/>
          <w:szCs w:val="24"/>
        </w:rPr>
        <w:t>Populaţia ocupată</w:t>
      </w:r>
      <w:r w:rsidR="006867E4" w:rsidRPr="000302B3">
        <w:rPr>
          <w:rFonts w:ascii="Arial" w:hAnsi="Arial" w:cs="Arial"/>
          <w:color w:val="0000FF"/>
          <w:sz w:val="24"/>
          <w:szCs w:val="24"/>
        </w:rPr>
        <w:t xml:space="preserve"> </w:t>
      </w:r>
      <w:r w:rsidR="006867E4" w:rsidRPr="000302B3">
        <w:rPr>
          <w:rFonts w:ascii="Arial" w:hAnsi="Arial" w:cs="Arial"/>
          <w:sz w:val="24"/>
          <w:szCs w:val="24"/>
        </w:rPr>
        <w:t>totală în</w:t>
      </w:r>
      <w:r w:rsidR="006867E4" w:rsidRPr="000302B3">
        <w:rPr>
          <w:rFonts w:ascii="Arial" w:hAnsi="Arial" w:cs="Arial"/>
          <w:color w:val="0000FF"/>
          <w:sz w:val="24"/>
          <w:szCs w:val="24"/>
        </w:rPr>
        <w:t xml:space="preserve"> </w:t>
      </w:r>
      <w:r w:rsidR="006867E4" w:rsidRPr="000302B3">
        <w:rPr>
          <w:rFonts w:ascii="Arial" w:hAnsi="Arial" w:cs="Arial"/>
          <w:sz w:val="24"/>
          <w:szCs w:val="24"/>
        </w:rPr>
        <w:t>Regiunea Vest</w:t>
      </w:r>
      <w:r w:rsidR="006867E4" w:rsidRPr="000302B3">
        <w:rPr>
          <w:rFonts w:ascii="Arial" w:hAnsi="Arial" w:cs="Arial"/>
          <w:color w:val="0000FF"/>
          <w:sz w:val="24"/>
          <w:szCs w:val="24"/>
        </w:rPr>
        <w:t xml:space="preserve"> </w:t>
      </w:r>
      <w:r w:rsidR="006867E4" w:rsidRPr="000302B3">
        <w:rPr>
          <w:rFonts w:ascii="Arial" w:hAnsi="Arial" w:cs="Arial"/>
          <w:sz w:val="24"/>
          <w:szCs w:val="24"/>
        </w:rPr>
        <w:t xml:space="preserve"> a fost în anul 2002 de 803 mii persoane, înregistrând  un vârf de 835 mii persoane în 2007 după care a urmat o scădere anuală aproape constantă ajungând în 2015 la 729 mii persoane. Procentual, populația ocupată a crescut în intervalul 2002-2</w:t>
      </w:r>
      <w:r w:rsidR="005A08AD" w:rsidRPr="000302B3">
        <w:rPr>
          <w:rFonts w:ascii="Arial" w:hAnsi="Arial" w:cs="Arial"/>
          <w:sz w:val="24"/>
          <w:szCs w:val="24"/>
        </w:rPr>
        <w:t xml:space="preserve">015 cu 0,1 puncte procentuale. </w:t>
      </w:r>
      <w:r w:rsidR="006867E4" w:rsidRPr="000302B3">
        <w:rPr>
          <w:rFonts w:ascii="Arial" w:hAnsi="Arial" w:cs="Arial"/>
          <w:sz w:val="24"/>
          <w:szCs w:val="24"/>
        </w:rPr>
        <w:t xml:space="preserve">În perioada analizată, populația ocupată la nivel regional reprezenta 8,78% din populația ocupată la nivel național. </w:t>
      </w:r>
    </w:p>
    <w:p w:rsidR="006867E4" w:rsidRPr="000302B3" w:rsidRDefault="006867E4" w:rsidP="00FC7199">
      <w:pPr>
        <w:spacing w:after="0" w:line="240" w:lineRule="auto"/>
        <w:jc w:val="both"/>
        <w:rPr>
          <w:rFonts w:ascii="Arial" w:hAnsi="Arial" w:cs="Arial"/>
          <w:sz w:val="24"/>
          <w:szCs w:val="24"/>
        </w:rPr>
      </w:pPr>
      <w:r w:rsidRPr="000302B3">
        <w:rPr>
          <w:rFonts w:ascii="Arial" w:hAnsi="Arial" w:cs="Arial"/>
          <w:sz w:val="24"/>
          <w:szCs w:val="24"/>
        </w:rPr>
        <w:t>In ceea ce privește evoluția pe sexe, d</w:t>
      </w:r>
      <w:r w:rsidRPr="000302B3">
        <w:rPr>
          <w:rFonts w:ascii="Arial" w:hAnsi="Arial" w:cs="Arial"/>
          <w:bCs/>
          <w:iCs/>
          <w:sz w:val="24"/>
          <w:szCs w:val="24"/>
        </w:rPr>
        <w:t xml:space="preserve">e-a lungul perioadei analizate, atât </w:t>
      </w:r>
      <w:r w:rsidRPr="000302B3">
        <w:rPr>
          <w:rFonts w:ascii="Arial" w:hAnsi="Arial" w:cs="Arial"/>
          <w:iCs/>
          <w:sz w:val="24"/>
          <w:szCs w:val="24"/>
        </w:rPr>
        <w:t>populaţia ocupată</w:t>
      </w:r>
      <w:r w:rsidRPr="000302B3">
        <w:rPr>
          <w:rFonts w:ascii="Arial" w:hAnsi="Arial" w:cs="Arial"/>
          <w:bCs/>
          <w:iCs/>
          <w:sz w:val="24"/>
          <w:szCs w:val="24"/>
        </w:rPr>
        <w:t xml:space="preserve"> de sex masculin cât și cea de sex feminin a cunoscut evoluţii oscilante de la un an la altul</w:t>
      </w:r>
      <w:r w:rsidRPr="000302B3">
        <w:rPr>
          <w:rFonts w:ascii="Arial" w:hAnsi="Arial" w:cs="Arial"/>
          <w:sz w:val="24"/>
          <w:szCs w:val="24"/>
        </w:rPr>
        <w:t xml:space="preserve">. </w:t>
      </w:r>
    </w:p>
    <w:p w:rsidR="006867E4" w:rsidRPr="000302B3" w:rsidRDefault="006867E4" w:rsidP="00FC7199">
      <w:pPr>
        <w:spacing w:after="0" w:line="240" w:lineRule="auto"/>
        <w:jc w:val="both"/>
        <w:rPr>
          <w:rFonts w:ascii="Arial" w:hAnsi="Arial" w:cs="Arial"/>
          <w:sz w:val="24"/>
          <w:szCs w:val="24"/>
        </w:rPr>
      </w:pPr>
      <w:r w:rsidRPr="000302B3">
        <w:rPr>
          <w:rFonts w:ascii="Arial" w:hAnsi="Arial" w:cs="Arial"/>
          <w:sz w:val="24"/>
          <w:szCs w:val="24"/>
        </w:rPr>
        <w:t>In anul 2015, pe medii de rezidență în mediul urban populația ocupată a scăzut cu 19  mii persoane iar în mediul rural a scăzut cu 55 mii persoane față de  anul 2002.</w:t>
      </w:r>
    </w:p>
    <w:p w:rsidR="006867E4" w:rsidRPr="000302B3" w:rsidRDefault="00DA53C8" w:rsidP="00FC7199">
      <w:pPr>
        <w:spacing w:after="0" w:line="240" w:lineRule="auto"/>
        <w:jc w:val="both"/>
        <w:rPr>
          <w:rFonts w:ascii="Arial" w:hAnsi="Arial" w:cs="Arial"/>
          <w:sz w:val="24"/>
          <w:szCs w:val="24"/>
        </w:rPr>
      </w:pPr>
      <w:r w:rsidRPr="000302B3">
        <w:rPr>
          <w:rFonts w:ascii="Arial" w:hAnsi="Arial" w:cs="Arial"/>
          <w:i/>
          <w:sz w:val="24"/>
          <w:szCs w:val="24"/>
        </w:rPr>
        <w:lastRenderedPageBreak/>
        <w:t>5.1.1.d.</w:t>
      </w:r>
      <w:r w:rsidR="00A4735D" w:rsidRPr="000302B3">
        <w:rPr>
          <w:rFonts w:ascii="Arial" w:hAnsi="Arial" w:cs="Arial"/>
          <w:i/>
          <w:sz w:val="24"/>
          <w:szCs w:val="24"/>
        </w:rPr>
        <w:t xml:space="preserve"> </w:t>
      </w:r>
      <w:r w:rsidR="006867E4" w:rsidRPr="000302B3">
        <w:rPr>
          <w:rFonts w:ascii="Arial" w:hAnsi="Arial" w:cs="Arial"/>
          <w:i/>
          <w:sz w:val="24"/>
          <w:szCs w:val="24"/>
        </w:rPr>
        <w:t>Șomerii</w:t>
      </w:r>
      <w:r w:rsidR="0034257E" w:rsidRPr="000302B3">
        <w:rPr>
          <w:rFonts w:ascii="Arial" w:hAnsi="Arial" w:cs="Arial"/>
          <w:b/>
          <w:sz w:val="24"/>
          <w:szCs w:val="24"/>
        </w:rPr>
        <w:t xml:space="preserve">: </w:t>
      </w:r>
      <w:r w:rsidR="006867E4" w:rsidRPr="000302B3">
        <w:rPr>
          <w:rFonts w:ascii="Arial" w:hAnsi="Arial" w:cs="Arial"/>
          <w:sz w:val="24"/>
          <w:szCs w:val="24"/>
        </w:rPr>
        <w:t xml:space="preserve">Numarul total al șomerilor din  Regiunea Vest se ridica în perioada 2002 </w:t>
      </w:r>
      <w:r w:rsidRPr="000302B3">
        <w:rPr>
          <w:rFonts w:ascii="Arial" w:hAnsi="Arial" w:cs="Arial"/>
          <w:sz w:val="24"/>
          <w:szCs w:val="24"/>
        </w:rPr>
        <w:t>–</w:t>
      </w:r>
      <w:r w:rsidR="006867E4" w:rsidRPr="000302B3">
        <w:rPr>
          <w:rFonts w:ascii="Arial" w:hAnsi="Arial" w:cs="Arial"/>
          <w:sz w:val="24"/>
          <w:szCs w:val="24"/>
        </w:rPr>
        <w:t xml:space="preserve"> 2015</w:t>
      </w:r>
      <w:r w:rsidRPr="000302B3">
        <w:rPr>
          <w:rFonts w:ascii="Arial" w:hAnsi="Arial" w:cs="Arial"/>
          <w:sz w:val="24"/>
          <w:szCs w:val="24"/>
        </w:rPr>
        <w:t>,</w:t>
      </w:r>
      <w:r w:rsidR="006867E4" w:rsidRPr="000302B3">
        <w:rPr>
          <w:rFonts w:ascii="Arial" w:hAnsi="Arial" w:cs="Arial"/>
          <w:sz w:val="24"/>
          <w:szCs w:val="24"/>
        </w:rPr>
        <w:t xml:space="preserve"> la 695 mii persoane ceea ce reprezintă 7,39% din numărul total al șomerilor la nivel național.</w:t>
      </w:r>
    </w:p>
    <w:p w:rsidR="006867E4" w:rsidRPr="000302B3" w:rsidRDefault="006867E4" w:rsidP="00FC7199">
      <w:pPr>
        <w:spacing w:after="0" w:line="240" w:lineRule="auto"/>
        <w:jc w:val="both"/>
        <w:rPr>
          <w:rFonts w:ascii="Arial" w:hAnsi="Arial" w:cs="Arial"/>
          <w:sz w:val="24"/>
          <w:szCs w:val="24"/>
        </w:rPr>
      </w:pPr>
      <w:r w:rsidRPr="000302B3">
        <w:rPr>
          <w:rFonts w:ascii="Arial" w:hAnsi="Arial" w:cs="Arial"/>
          <w:sz w:val="24"/>
          <w:szCs w:val="24"/>
        </w:rPr>
        <w:t xml:space="preserve">Situația șomajului pe sexe arată că, din totalul șomerilor în perioada analizată, 62,5% sunt de sex masculin și 37,5% sunt de sex feminin. </w:t>
      </w:r>
    </w:p>
    <w:p w:rsidR="006867E4" w:rsidRPr="000302B3" w:rsidRDefault="006867E4" w:rsidP="00FC7199">
      <w:pPr>
        <w:spacing w:after="0" w:line="240" w:lineRule="auto"/>
        <w:jc w:val="both"/>
        <w:rPr>
          <w:rFonts w:ascii="Arial" w:hAnsi="Arial" w:cs="Arial"/>
          <w:sz w:val="24"/>
          <w:szCs w:val="24"/>
        </w:rPr>
      </w:pPr>
      <w:r w:rsidRPr="000302B3">
        <w:rPr>
          <w:rFonts w:ascii="Arial" w:hAnsi="Arial" w:cs="Arial"/>
          <w:sz w:val="24"/>
          <w:szCs w:val="24"/>
        </w:rPr>
        <w:t xml:space="preserve">Analizând situația șomerilor pe medii de rezidență se contată că: în mediul urban scăderea numărului de şomeri a fost destul de accentuată, scădere cu 21 mii persoane în 2015 faţă de 2002 (-3,7%) în timp ce în mediul rural evoluţia a fost fluctuantă şi cu o creștere lentă de  1 mii persoane în 2015 faţă de 2002 (1,4%).   </w:t>
      </w:r>
    </w:p>
    <w:p w:rsidR="006867E4" w:rsidRPr="000302B3" w:rsidRDefault="00155087" w:rsidP="00FC7199">
      <w:pPr>
        <w:spacing w:after="0" w:line="240" w:lineRule="auto"/>
        <w:jc w:val="both"/>
        <w:rPr>
          <w:rFonts w:ascii="Arial" w:hAnsi="Arial" w:cs="Arial"/>
          <w:sz w:val="24"/>
          <w:szCs w:val="24"/>
        </w:rPr>
      </w:pPr>
      <w:r w:rsidRPr="000302B3">
        <w:rPr>
          <w:rFonts w:ascii="Arial" w:hAnsi="Arial" w:cs="Arial"/>
          <w:bCs/>
          <w:i/>
          <w:sz w:val="24"/>
          <w:szCs w:val="24"/>
        </w:rPr>
        <w:t>5.1.1.e.</w:t>
      </w:r>
      <w:r w:rsidR="00A4735D" w:rsidRPr="000302B3">
        <w:rPr>
          <w:rFonts w:ascii="Arial" w:hAnsi="Arial" w:cs="Arial"/>
          <w:bCs/>
          <w:i/>
          <w:sz w:val="24"/>
          <w:szCs w:val="24"/>
        </w:rPr>
        <w:t xml:space="preserve"> </w:t>
      </w:r>
      <w:r w:rsidR="006867E4" w:rsidRPr="000302B3">
        <w:rPr>
          <w:rFonts w:ascii="Arial" w:hAnsi="Arial" w:cs="Arial"/>
          <w:bCs/>
          <w:i/>
          <w:sz w:val="24"/>
          <w:szCs w:val="24"/>
        </w:rPr>
        <w:t>Rata de activitate pentru grupa de vârstă 15-24 ani, pe sexe</w:t>
      </w:r>
      <w:r w:rsidR="0034257E" w:rsidRPr="000302B3">
        <w:rPr>
          <w:rFonts w:ascii="Arial" w:hAnsi="Arial" w:cs="Arial"/>
          <w:b/>
          <w:bCs/>
          <w:sz w:val="24"/>
          <w:szCs w:val="24"/>
        </w:rPr>
        <w:t xml:space="preserve">: </w:t>
      </w:r>
      <w:r w:rsidR="006867E4" w:rsidRPr="000302B3">
        <w:rPr>
          <w:rFonts w:ascii="Arial" w:hAnsi="Arial" w:cs="Arial"/>
          <w:sz w:val="24"/>
          <w:szCs w:val="24"/>
        </w:rPr>
        <w:t xml:space="preserve">Rata de activitate a tinerilor de vârstă 15-24 ani a scăzut în intervalul analizat, de la  36,2% în 2002 la 25,7% în 2015. Ponderile mai ridicate le regăsim la persoanele de sex masculin, înregistrând o diferentă de 6,3 % în 2002 și de 7,7% în 2015 față de sexul feminin.In general, ponderile înregistrate la nivelul Regiunii Vest sunt mai scăzute decât cele de la nivel național. </w:t>
      </w:r>
    </w:p>
    <w:p w:rsidR="006867E4" w:rsidRPr="000302B3" w:rsidRDefault="00A4735D" w:rsidP="00FC7199">
      <w:pPr>
        <w:spacing w:after="0" w:line="240" w:lineRule="auto"/>
        <w:jc w:val="both"/>
        <w:rPr>
          <w:rFonts w:ascii="Arial" w:hAnsi="Arial" w:cs="Arial"/>
          <w:b/>
          <w:sz w:val="24"/>
          <w:szCs w:val="24"/>
        </w:rPr>
      </w:pPr>
      <w:r w:rsidRPr="000302B3">
        <w:rPr>
          <w:rFonts w:ascii="Arial" w:hAnsi="Arial" w:cs="Arial"/>
          <w:bCs/>
          <w:i/>
          <w:sz w:val="24"/>
          <w:szCs w:val="24"/>
        </w:rPr>
        <w:t>5.1.1.f.</w:t>
      </w:r>
      <w:r w:rsidR="006867E4" w:rsidRPr="000302B3">
        <w:rPr>
          <w:rFonts w:ascii="Arial" w:hAnsi="Arial" w:cs="Arial"/>
          <w:bCs/>
          <w:i/>
          <w:sz w:val="24"/>
          <w:szCs w:val="24"/>
        </w:rPr>
        <w:t xml:space="preserve">Rata de activitate pentru grupa de </w:t>
      </w:r>
      <w:r w:rsidR="000E7106" w:rsidRPr="000302B3">
        <w:rPr>
          <w:rFonts w:ascii="Arial" w:hAnsi="Arial" w:cs="Arial"/>
          <w:bCs/>
          <w:i/>
          <w:sz w:val="24"/>
          <w:szCs w:val="24"/>
        </w:rPr>
        <w:t>vârstă</w:t>
      </w:r>
      <w:r w:rsidR="006867E4" w:rsidRPr="000302B3">
        <w:rPr>
          <w:rFonts w:ascii="Arial" w:hAnsi="Arial" w:cs="Arial"/>
          <w:bCs/>
          <w:i/>
          <w:sz w:val="24"/>
          <w:szCs w:val="24"/>
        </w:rPr>
        <w:t xml:space="preserve"> 15-24 an</w:t>
      </w:r>
      <w:r w:rsidR="0034257E" w:rsidRPr="000302B3">
        <w:rPr>
          <w:rFonts w:ascii="Arial" w:hAnsi="Arial" w:cs="Arial"/>
          <w:bCs/>
          <w:i/>
          <w:sz w:val="24"/>
          <w:szCs w:val="24"/>
        </w:rPr>
        <w:t>i</w:t>
      </w:r>
      <w:r w:rsidR="006867E4" w:rsidRPr="000302B3">
        <w:rPr>
          <w:rFonts w:ascii="Arial" w:hAnsi="Arial" w:cs="Arial"/>
          <w:bCs/>
          <w:i/>
          <w:sz w:val="24"/>
          <w:szCs w:val="24"/>
        </w:rPr>
        <w:t>,  pe medii de rezidenţă</w:t>
      </w:r>
      <w:r w:rsidR="0034257E" w:rsidRPr="000302B3">
        <w:rPr>
          <w:rFonts w:ascii="Arial" w:hAnsi="Arial" w:cs="Arial"/>
          <w:bCs/>
          <w:i/>
          <w:sz w:val="24"/>
          <w:szCs w:val="24"/>
        </w:rPr>
        <w:t>:</w:t>
      </w:r>
      <w:r w:rsidR="0034257E" w:rsidRPr="000302B3">
        <w:rPr>
          <w:rFonts w:ascii="Arial" w:hAnsi="Arial" w:cs="Arial"/>
          <w:b/>
          <w:bCs/>
          <w:sz w:val="24"/>
          <w:szCs w:val="24"/>
        </w:rPr>
        <w:t xml:space="preserve"> </w:t>
      </w:r>
      <w:r w:rsidR="006867E4" w:rsidRPr="000302B3">
        <w:rPr>
          <w:rFonts w:ascii="Arial" w:hAnsi="Arial" w:cs="Arial"/>
          <w:bCs/>
          <w:sz w:val="24"/>
          <w:szCs w:val="24"/>
        </w:rPr>
        <w:t>Rata de activitate</w:t>
      </w:r>
      <w:r w:rsidR="006867E4" w:rsidRPr="000302B3">
        <w:rPr>
          <w:rFonts w:ascii="Arial" w:hAnsi="Arial" w:cs="Arial"/>
          <w:b/>
          <w:bCs/>
          <w:sz w:val="24"/>
          <w:szCs w:val="24"/>
        </w:rPr>
        <w:t xml:space="preserve"> </w:t>
      </w:r>
      <w:r w:rsidR="006867E4" w:rsidRPr="000302B3">
        <w:rPr>
          <w:rFonts w:ascii="Arial" w:hAnsi="Arial" w:cs="Arial"/>
          <w:sz w:val="24"/>
          <w:szCs w:val="24"/>
        </w:rPr>
        <w:t xml:space="preserve">pentru grupa de vârstă 15-24 ani a fost  în 2004 de  38,2% cea mai mare din Regiunea Vest, iar în 2014 a fost înregistrată cea mai mică pondere 20,0% . Intre cele 2 medii de rezidenţă s-au înregistrat discrepanțe semnificative, valorile cele mai ridicate fiind în mediul rural, iar  pe întreaga perioadă analizată rata de activitate arată o tendință de descreștere pronunțată. </w:t>
      </w:r>
      <w:r w:rsidR="006867E4" w:rsidRPr="000302B3">
        <w:rPr>
          <w:rFonts w:ascii="Arial" w:hAnsi="Arial" w:cs="Arial"/>
          <w:sz w:val="24"/>
          <w:szCs w:val="24"/>
        </w:rPr>
        <w:tab/>
      </w:r>
    </w:p>
    <w:p w:rsidR="006867E4" w:rsidRPr="000302B3" w:rsidRDefault="00A4735D" w:rsidP="00FC7199">
      <w:pPr>
        <w:spacing w:after="0" w:line="240" w:lineRule="auto"/>
        <w:jc w:val="both"/>
        <w:rPr>
          <w:rFonts w:ascii="Arial" w:hAnsi="Arial" w:cs="Arial"/>
          <w:b/>
          <w:bCs/>
          <w:sz w:val="24"/>
          <w:szCs w:val="24"/>
        </w:rPr>
      </w:pPr>
      <w:r w:rsidRPr="000302B3">
        <w:rPr>
          <w:rFonts w:ascii="Arial" w:hAnsi="Arial" w:cs="Arial"/>
          <w:bCs/>
          <w:i/>
          <w:sz w:val="24"/>
          <w:szCs w:val="24"/>
        </w:rPr>
        <w:t>5.1.1.</w:t>
      </w:r>
      <w:r w:rsidR="000E7106" w:rsidRPr="000302B3">
        <w:rPr>
          <w:rFonts w:ascii="Arial" w:hAnsi="Arial" w:cs="Arial"/>
          <w:bCs/>
          <w:i/>
          <w:sz w:val="24"/>
          <w:szCs w:val="24"/>
        </w:rPr>
        <w:t xml:space="preserve">g. </w:t>
      </w:r>
      <w:r w:rsidR="006867E4" w:rsidRPr="000302B3">
        <w:rPr>
          <w:rFonts w:ascii="Arial" w:hAnsi="Arial" w:cs="Arial"/>
          <w:bCs/>
          <w:i/>
          <w:sz w:val="24"/>
          <w:szCs w:val="24"/>
        </w:rPr>
        <w:t xml:space="preserve">Rata de ocupare pentru grupa de </w:t>
      </w:r>
      <w:r w:rsidR="000E7106" w:rsidRPr="000302B3">
        <w:rPr>
          <w:rFonts w:ascii="Arial" w:hAnsi="Arial" w:cs="Arial"/>
          <w:bCs/>
          <w:i/>
          <w:sz w:val="24"/>
          <w:szCs w:val="24"/>
        </w:rPr>
        <w:t>vârstă</w:t>
      </w:r>
      <w:r w:rsidR="006867E4" w:rsidRPr="000302B3">
        <w:rPr>
          <w:rFonts w:ascii="Arial" w:hAnsi="Arial" w:cs="Arial"/>
          <w:bCs/>
          <w:i/>
          <w:sz w:val="24"/>
          <w:szCs w:val="24"/>
        </w:rPr>
        <w:t xml:space="preserve"> 15-24 ani, pe sexe</w:t>
      </w:r>
      <w:r w:rsidR="0034257E" w:rsidRPr="000302B3">
        <w:rPr>
          <w:rFonts w:ascii="Arial" w:hAnsi="Arial" w:cs="Arial"/>
          <w:bCs/>
          <w:i/>
          <w:sz w:val="24"/>
          <w:szCs w:val="24"/>
        </w:rPr>
        <w:t>:</w:t>
      </w:r>
      <w:r w:rsidR="0034257E" w:rsidRPr="000302B3">
        <w:rPr>
          <w:rFonts w:ascii="Arial" w:hAnsi="Arial" w:cs="Arial"/>
          <w:bCs/>
          <w:sz w:val="24"/>
          <w:szCs w:val="24"/>
        </w:rPr>
        <w:t xml:space="preserve"> </w:t>
      </w:r>
      <w:r w:rsidR="006867E4" w:rsidRPr="000302B3">
        <w:rPr>
          <w:rFonts w:ascii="Arial" w:hAnsi="Arial" w:cs="Arial"/>
          <w:sz w:val="24"/>
          <w:szCs w:val="24"/>
        </w:rPr>
        <w:t>La nivelul Regiunii Vest rata de ocupare se situează sub media națională, cel mai mare decalaj de 8 puncte procentuale înregistrându-se în anul 2014. Rata</w:t>
      </w:r>
      <w:r w:rsidR="000E7106" w:rsidRPr="000302B3">
        <w:rPr>
          <w:rFonts w:ascii="Arial" w:hAnsi="Arial" w:cs="Arial"/>
          <w:sz w:val="24"/>
          <w:szCs w:val="24"/>
        </w:rPr>
        <w:t xml:space="preserve"> de ocupare, la nivel regional,</w:t>
      </w:r>
      <w:r w:rsidR="006867E4" w:rsidRPr="000302B3">
        <w:rPr>
          <w:rFonts w:ascii="Arial" w:hAnsi="Arial" w:cs="Arial"/>
          <w:sz w:val="24"/>
          <w:szCs w:val="24"/>
        </w:rPr>
        <w:t xml:space="preserve"> la tinerii din grupa de vârstă 15-24 ani prezintă un t</w:t>
      </w:r>
      <w:r w:rsidR="000E7106" w:rsidRPr="000302B3">
        <w:rPr>
          <w:rFonts w:ascii="Arial" w:hAnsi="Arial" w:cs="Arial"/>
          <w:sz w:val="24"/>
          <w:szCs w:val="24"/>
        </w:rPr>
        <w:t xml:space="preserve">rend descrescător în  perioada </w:t>
      </w:r>
      <w:r w:rsidR="006867E4" w:rsidRPr="000302B3">
        <w:rPr>
          <w:rFonts w:ascii="Arial" w:hAnsi="Arial" w:cs="Arial"/>
          <w:sz w:val="24"/>
          <w:szCs w:val="24"/>
        </w:rPr>
        <w:t>2002-2015 (de la 29,9% la 20,6%).</w:t>
      </w:r>
      <w:r w:rsidR="000E7106" w:rsidRPr="000302B3">
        <w:rPr>
          <w:rFonts w:ascii="Arial" w:hAnsi="Arial" w:cs="Arial"/>
          <w:sz w:val="24"/>
          <w:szCs w:val="24"/>
        </w:rPr>
        <w:t xml:space="preserve"> </w:t>
      </w:r>
      <w:r w:rsidR="006867E4" w:rsidRPr="000302B3">
        <w:rPr>
          <w:rFonts w:ascii="Arial" w:hAnsi="Arial" w:cs="Arial"/>
          <w:sz w:val="24"/>
          <w:szCs w:val="24"/>
        </w:rPr>
        <w:t xml:space="preserve">În ceea ce priveşte diferenţierea pe sexe, este de remarcat faptul că rata de ocupare a populaţiei de sex feminin este mai scăzută faţă de populaţia de sex masculin </w:t>
      </w:r>
      <w:r w:rsidR="000E7106" w:rsidRPr="000302B3">
        <w:rPr>
          <w:rFonts w:ascii="Arial" w:hAnsi="Arial" w:cs="Arial"/>
          <w:sz w:val="24"/>
          <w:szCs w:val="24"/>
        </w:rPr>
        <w:t>î</w:t>
      </w:r>
      <w:r w:rsidR="006867E4" w:rsidRPr="000302B3">
        <w:rPr>
          <w:rFonts w:ascii="Arial" w:hAnsi="Arial" w:cs="Arial"/>
          <w:sz w:val="24"/>
          <w:szCs w:val="24"/>
        </w:rPr>
        <w:t>n medie cu 6,33 puncte procentuale.</w:t>
      </w:r>
    </w:p>
    <w:p w:rsidR="006867E4" w:rsidRPr="000302B3" w:rsidRDefault="000E7106" w:rsidP="00FC7199">
      <w:pPr>
        <w:spacing w:after="0" w:line="240" w:lineRule="auto"/>
        <w:jc w:val="both"/>
        <w:rPr>
          <w:rFonts w:ascii="Arial" w:hAnsi="Arial" w:cs="Arial"/>
          <w:sz w:val="24"/>
          <w:szCs w:val="24"/>
        </w:rPr>
      </w:pPr>
      <w:r w:rsidRPr="000302B3">
        <w:rPr>
          <w:rFonts w:ascii="Arial" w:hAnsi="Arial" w:cs="Arial"/>
          <w:bCs/>
          <w:i/>
          <w:sz w:val="24"/>
          <w:szCs w:val="24"/>
        </w:rPr>
        <w:t xml:space="preserve">5.1.1.h. </w:t>
      </w:r>
      <w:r w:rsidR="006867E4" w:rsidRPr="000302B3">
        <w:rPr>
          <w:rFonts w:ascii="Arial" w:hAnsi="Arial" w:cs="Arial"/>
          <w:bCs/>
          <w:i/>
          <w:sz w:val="24"/>
          <w:szCs w:val="24"/>
        </w:rPr>
        <w:t xml:space="preserve">Rata de ocupare pentru grupa de </w:t>
      </w:r>
      <w:r w:rsidRPr="000302B3">
        <w:rPr>
          <w:rFonts w:ascii="Arial" w:hAnsi="Arial" w:cs="Arial"/>
          <w:bCs/>
          <w:i/>
          <w:sz w:val="24"/>
          <w:szCs w:val="24"/>
        </w:rPr>
        <w:t>vârstă</w:t>
      </w:r>
      <w:r w:rsidR="006867E4" w:rsidRPr="000302B3">
        <w:rPr>
          <w:rFonts w:ascii="Arial" w:hAnsi="Arial" w:cs="Arial"/>
          <w:bCs/>
          <w:i/>
          <w:sz w:val="24"/>
          <w:szCs w:val="24"/>
        </w:rPr>
        <w:t xml:space="preserve"> 15-24 ani, pe medii de rezidenţă</w:t>
      </w:r>
      <w:r w:rsidR="0034257E" w:rsidRPr="000302B3">
        <w:rPr>
          <w:rFonts w:ascii="Arial" w:hAnsi="Arial" w:cs="Arial"/>
          <w:bCs/>
          <w:i/>
          <w:sz w:val="24"/>
          <w:szCs w:val="24"/>
        </w:rPr>
        <w:t>:</w:t>
      </w:r>
      <w:r w:rsidR="0034257E" w:rsidRPr="000302B3">
        <w:rPr>
          <w:rFonts w:ascii="Arial" w:hAnsi="Arial" w:cs="Arial"/>
          <w:b/>
          <w:bCs/>
          <w:sz w:val="24"/>
          <w:szCs w:val="24"/>
        </w:rPr>
        <w:t xml:space="preserve"> </w:t>
      </w:r>
      <w:r w:rsidR="006867E4" w:rsidRPr="000302B3">
        <w:rPr>
          <w:rFonts w:ascii="Arial" w:hAnsi="Arial" w:cs="Arial"/>
          <w:sz w:val="24"/>
          <w:szCs w:val="24"/>
        </w:rPr>
        <w:t xml:space="preserve">Pentru grupa de vârstă 15-24 ani rata de ocupare prezintă valori oscilante între un maxim în 2004 (31,2%) și un minim în 2014 (14,5%). În anul 2015 </w:t>
      </w:r>
      <w:r w:rsidR="006867E4" w:rsidRPr="000302B3">
        <w:rPr>
          <w:rFonts w:ascii="Arial" w:hAnsi="Arial" w:cs="Arial"/>
          <w:bCs/>
          <w:sz w:val="24"/>
          <w:szCs w:val="24"/>
        </w:rPr>
        <w:t>rata de ocupare pentru grupa de vârstă 15-24 ani a crescut fața de anul anter</w:t>
      </w:r>
      <w:r w:rsidRPr="000302B3">
        <w:rPr>
          <w:rFonts w:ascii="Arial" w:hAnsi="Arial" w:cs="Arial"/>
          <w:bCs/>
          <w:sz w:val="24"/>
          <w:szCs w:val="24"/>
        </w:rPr>
        <w:t xml:space="preserve">ior cu 6,1 puncte procentuale. </w:t>
      </w:r>
      <w:r w:rsidR="006867E4" w:rsidRPr="000302B3">
        <w:rPr>
          <w:rFonts w:ascii="Arial" w:hAnsi="Arial" w:cs="Arial"/>
          <w:sz w:val="24"/>
          <w:szCs w:val="24"/>
        </w:rPr>
        <w:t>Pe medii rezidenţiale, rata de ocupare, în perioada 2002 – 2014 prezint</w:t>
      </w:r>
      <w:r w:rsidRPr="000302B3">
        <w:rPr>
          <w:rFonts w:ascii="Arial" w:hAnsi="Arial" w:cs="Arial"/>
          <w:sz w:val="24"/>
          <w:szCs w:val="24"/>
        </w:rPr>
        <w:t xml:space="preserve">ă un trend descrescător iar în </w:t>
      </w:r>
      <w:r w:rsidR="006867E4" w:rsidRPr="000302B3">
        <w:rPr>
          <w:rFonts w:ascii="Arial" w:hAnsi="Arial" w:cs="Arial"/>
          <w:sz w:val="24"/>
          <w:szCs w:val="24"/>
        </w:rPr>
        <w:t>anul 2015 se constată o creștere de 5,9 puncte procentuale în mediul urban și o creștere de 6 puncte procentuale în mediul rural față de anul anterior. Pe întreaga perioadă analizată, scăderea ratei de ocupare este mai acentuată în cazul populației din mediul rural, pentru că tinerii din mediul rural  renunţă la continuarea studiilor în favoarea intrării pe piaţa muncii.</w:t>
      </w:r>
    </w:p>
    <w:p w:rsidR="006867E4" w:rsidRPr="000302B3" w:rsidRDefault="000E7106" w:rsidP="00FC7199">
      <w:pPr>
        <w:spacing w:after="0" w:line="240" w:lineRule="auto"/>
        <w:jc w:val="both"/>
        <w:rPr>
          <w:rFonts w:ascii="Arial" w:hAnsi="Arial" w:cs="Arial"/>
          <w:b/>
          <w:sz w:val="24"/>
          <w:szCs w:val="24"/>
        </w:rPr>
      </w:pPr>
      <w:r w:rsidRPr="000302B3">
        <w:rPr>
          <w:rFonts w:ascii="Arial" w:hAnsi="Arial" w:cs="Arial"/>
          <w:bCs/>
          <w:i/>
          <w:sz w:val="24"/>
          <w:szCs w:val="24"/>
        </w:rPr>
        <w:t xml:space="preserve">5.1.1.i. </w:t>
      </w:r>
      <w:r w:rsidR="006867E4" w:rsidRPr="000302B3">
        <w:rPr>
          <w:rFonts w:ascii="Arial" w:hAnsi="Arial" w:cs="Arial"/>
          <w:bCs/>
          <w:i/>
          <w:sz w:val="24"/>
          <w:szCs w:val="24"/>
        </w:rPr>
        <w:t>Rata şomajului BIM pentru grupa de v</w:t>
      </w:r>
      <w:r w:rsidRPr="000302B3">
        <w:rPr>
          <w:rFonts w:ascii="Arial" w:hAnsi="Arial" w:cs="Arial"/>
          <w:bCs/>
          <w:i/>
          <w:sz w:val="24"/>
          <w:szCs w:val="24"/>
        </w:rPr>
        <w:t>â</w:t>
      </w:r>
      <w:r w:rsidR="006867E4" w:rsidRPr="000302B3">
        <w:rPr>
          <w:rFonts w:ascii="Arial" w:hAnsi="Arial" w:cs="Arial"/>
          <w:bCs/>
          <w:i/>
          <w:sz w:val="24"/>
          <w:szCs w:val="24"/>
        </w:rPr>
        <w:t>rst</w:t>
      </w:r>
      <w:r w:rsidRPr="000302B3">
        <w:rPr>
          <w:rFonts w:ascii="Arial" w:hAnsi="Arial" w:cs="Arial"/>
          <w:bCs/>
          <w:i/>
          <w:sz w:val="24"/>
          <w:szCs w:val="24"/>
        </w:rPr>
        <w:t>ă</w:t>
      </w:r>
      <w:r w:rsidR="006867E4" w:rsidRPr="000302B3">
        <w:rPr>
          <w:rFonts w:ascii="Arial" w:hAnsi="Arial" w:cs="Arial"/>
          <w:bCs/>
          <w:i/>
          <w:sz w:val="24"/>
          <w:szCs w:val="24"/>
        </w:rPr>
        <w:t xml:space="preserve"> 15-24 ani, pe sexe</w:t>
      </w:r>
      <w:r w:rsidR="0034257E" w:rsidRPr="000302B3">
        <w:rPr>
          <w:rFonts w:ascii="Arial" w:hAnsi="Arial" w:cs="Arial"/>
          <w:bCs/>
          <w:i/>
          <w:sz w:val="24"/>
          <w:szCs w:val="24"/>
        </w:rPr>
        <w:t>:</w:t>
      </w:r>
      <w:r w:rsidR="0034257E" w:rsidRPr="000302B3">
        <w:rPr>
          <w:rFonts w:ascii="Arial" w:hAnsi="Arial" w:cs="Arial"/>
          <w:b/>
          <w:bCs/>
          <w:sz w:val="24"/>
          <w:szCs w:val="24"/>
        </w:rPr>
        <w:t xml:space="preserve"> </w:t>
      </w:r>
      <w:r w:rsidR="006867E4" w:rsidRPr="000302B3">
        <w:rPr>
          <w:rFonts w:ascii="Arial" w:hAnsi="Arial" w:cs="Arial"/>
          <w:sz w:val="24"/>
          <w:szCs w:val="24"/>
        </w:rPr>
        <w:t xml:space="preserve">Rata şomajului (BIM) la grupa de vârstă 15-24 ani a fost în anul 2015 în scădere  cu 7,5 puncte procentuale faţă de anul 2014 (19,8 % în anul 2015 faţă de 27,3% în anul 2014). După structură pe sexe, valori mai ridicate ale ratei şomajul la această grupă de vârstă s-au înregistrat în cazul populaţiei feminine (23,3 %) în comparaţie cu rata şomajului în cazul populaţiei masculine (17,4 %) pentru anul 2015.  Pe întreaga perioadă analizată, rata șomajului la persoanele de sex masculin </w:t>
      </w:r>
      <w:r w:rsidR="006867E4" w:rsidRPr="000302B3">
        <w:rPr>
          <w:rFonts w:ascii="Arial" w:hAnsi="Arial" w:cs="Arial"/>
          <w:bCs/>
          <w:sz w:val="24"/>
          <w:szCs w:val="24"/>
          <w:lang w:val="en-US"/>
        </w:rPr>
        <w:t xml:space="preserve">a scăzut (20,1% în 2002 – 17,4% în 2015) iar în cazul populației feminine a înregistrat o creștere (13,9% în 2002 – 23,3% în 2015).  </w:t>
      </w:r>
      <w:r w:rsidR="006867E4" w:rsidRPr="000302B3">
        <w:rPr>
          <w:rFonts w:ascii="Arial" w:hAnsi="Arial" w:cs="Arial"/>
          <w:sz w:val="24"/>
          <w:szCs w:val="24"/>
        </w:rPr>
        <w:t xml:space="preserve">Menționăm că, în general,  rata șomajului se păstrează sub valorile medie naționale pe întreaga perioadă analizată. </w:t>
      </w:r>
    </w:p>
    <w:p w:rsidR="006867E4" w:rsidRPr="000302B3" w:rsidRDefault="000E7106" w:rsidP="00FC7199">
      <w:pPr>
        <w:spacing w:after="0" w:line="240" w:lineRule="auto"/>
        <w:jc w:val="both"/>
        <w:rPr>
          <w:rFonts w:ascii="Arial" w:hAnsi="Arial" w:cs="Arial"/>
          <w:sz w:val="24"/>
          <w:szCs w:val="24"/>
        </w:rPr>
      </w:pPr>
      <w:r w:rsidRPr="000302B3">
        <w:rPr>
          <w:rFonts w:ascii="Arial" w:hAnsi="Arial" w:cs="Arial"/>
          <w:bCs/>
          <w:i/>
          <w:sz w:val="24"/>
          <w:szCs w:val="24"/>
        </w:rPr>
        <w:t xml:space="preserve">5.1.1.j. </w:t>
      </w:r>
      <w:r w:rsidR="006867E4" w:rsidRPr="000302B3">
        <w:rPr>
          <w:rFonts w:ascii="Arial" w:hAnsi="Arial" w:cs="Arial"/>
          <w:bCs/>
          <w:i/>
          <w:sz w:val="24"/>
          <w:szCs w:val="24"/>
        </w:rPr>
        <w:t xml:space="preserve">Rata şomajului BIM pentru grupa de </w:t>
      </w:r>
      <w:r w:rsidRPr="000302B3">
        <w:rPr>
          <w:rFonts w:ascii="Arial" w:hAnsi="Arial" w:cs="Arial"/>
          <w:bCs/>
          <w:i/>
          <w:sz w:val="24"/>
          <w:szCs w:val="24"/>
        </w:rPr>
        <w:t>vârstă</w:t>
      </w:r>
      <w:r w:rsidR="006867E4" w:rsidRPr="000302B3">
        <w:rPr>
          <w:rFonts w:ascii="Arial" w:hAnsi="Arial" w:cs="Arial"/>
          <w:bCs/>
          <w:i/>
          <w:sz w:val="24"/>
          <w:szCs w:val="24"/>
        </w:rPr>
        <w:t xml:space="preserve"> 15-24 ani, pe medii de rezidenţă</w:t>
      </w:r>
      <w:r w:rsidR="0034257E" w:rsidRPr="000302B3">
        <w:rPr>
          <w:rFonts w:ascii="Arial" w:hAnsi="Arial" w:cs="Arial"/>
          <w:bCs/>
          <w:i/>
          <w:sz w:val="24"/>
          <w:szCs w:val="24"/>
        </w:rPr>
        <w:t>:</w:t>
      </w:r>
      <w:r w:rsidR="0034257E" w:rsidRPr="000302B3">
        <w:rPr>
          <w:rFonts w:ascii="Arial" w:hAnsi="Arial" w:cs="Arial"/>
          <w:bCs/>
          <w:sz w:val="24"/>
          <w:szCs w:val="24"/>
        </w:rPr>
        <w:t xml:space="preserve"> </w:t>
      </w:r>
      <w:r w:rsidR="006867E4" w:rsidRPr="000302B3">
        <w:rPr>
          <w:rFonts w:ascii="Arial" w:hAnsi="Arial" w:cs="Arial"/>
          <w:sz w:val="24"/>
          <w:szCs w:val="24"/>
        </w:rPr>
        <w:t>Raportându-ne la mediile de rezidenţă, se poate observa faptul că în anul 2015 rata şomajului a înregistrat o scădere semnificativă  față de anul 2014 astfel:  6,9 % în mediul urban și 8,2% în mediul rural, cu valori înr</w:t>
      </w:r>
      <w:r w:rsidR="0034257E" w:rsidRPr="000302B3">
        <w:rPr>
          <w:rFonts w:ascii="Arial" w:hAnsi="Arial" w:cs="Arial"/>
          <w:sz w:val="24"/>
          <w:szCs w:val="24"/>
        </w:rPr>
        <w:t xml:space="preserve">egistrate sub media națională. </w:t>
      </w:r>
    </w:p>
    <w:p w:rsidR="006867E4" w:rsidRPr="000302B3" w:rsidRDefault="000E7106" w:rsidP="00FC7199">
      <w:pPr>
        <w:spacing w:after="0" w:line="240" w:lineRule="auto"/>
        <w:jc w:val="both"/>
        <w:rPr>
          <w:rFonts w:ascii="Arial" w:hAnsi="Arial" w:cs="Arial"/>
          <w:bCs/>
          <w:sz w:val="24"/>
          <w:szCs w:val="24"/>
          <w:lang w:val="en-US"/>
        </w:rPr>
      </w:pPr>
      <w:r w:rsidRPr="000302B3">
        <w:rPr>
          <w:rFonts w:ascii="Arial" w:hAnsi="Arial" w:cs="Arial"/>
          <w:bCs/>
          <w:sz w:val="24"/>
          <w:szCs w:val="24"/>
          <w:lang w:val="en-US"/>
        </w:rPr>
        <w:lastRenderedPageBreak/>
        <w:t>5.1.1.k.</w:t>
      </w:r>
      <w:r w:rsidRPr="000302B3">
        <w:rPr>
          <w:rFonts w:ascii="Arial" w:hAnsi="Arial" w:cs="Arial"/>
          <w:b/>
          <w:bCs/>
          <w:sz w:val="24"/>
          <w:szCs w:val="24"/>
          <w:lang w:val="en-US"/>
        </w:rPr>
        <w:t xml:space="preserve"> </w:t>
      </w:r>
      <w:r w:rsidR="006867E4" w:rsidRPr="000302B3">
        <w:rPr>
          <w:rFonts w:ascii="Arial" w:hAnsi="Arial" w:cs="Arial"/>
          <w:bCs/>
          <w:i/>
          <w:sz w:val="24"/>
          <w:szCs w:val="24"/>
          <w:lang w:val="en-US"/>
        </w:rPr>
        <w:t>Ponderea şomerilor tineri (15-24 a</w:t>
      </w:r>
      <w:r w:rsidR="0034257E" w:rsidRPr="000302B3">
        <w:rPr>
          <w:rFonts w:ascii="Arial" w:hAnsi="Arial" w:cs="Arial"/>
          <w:bCs/>
          <w:i/>
          <w:sz w:val="24"/>
          <w:szCs w:val="24"/>
          <w:lang w:val="en-US"/>
        </w:rPr>
        <w:t>ni) din totalul şomerilor (BIM):</w:t>
      </w:r>
      <w:r w:rsidRPr="000302B3">
        <w:rPr>
          <w:rFonts w:ascii="Arial" w:hAnsi="Arial" w:cs="Arial"/>
          <w:bCs/>
          <w:i/>
          <w:sz w:val="24"/>
          <w:szCs w:val="24"/>
          <w:lang w:val="en-US"/>
        </w:rPr>
        <w:t xml:space="preserve"> </w:t>
      </w:r>
      <w:r w:rsidR="006867E4" w:rsidRPr="000302B3">
        <w:rPr>
          <w:rFonts w:ascii="Arial" w:hAnsi="Arial" w:cs="Arial"/>
          <w:bCs/>
          <w:sz w:val="24"/>
          <w:szCs w:val="24"/>
          <w:lang w:val="en-US"/>
        </w:rPr>
        <w:t>Ponderea şomerilor tineri (15-24 ani) din totalul şomerilor (BIM</w:t>
      </w:r>
      <w:r w:rsidR="006867E4" w:rsidRPr="000302B3">
        <w:rPr>
          <w:rFonts w:ascii="Arial" w:hAnsi="Arial" w:cs="Arial"/>
          <w:b/>
          <w:bCs/>
          <w:sz w:val="24"/>
          <w:szCs w:val="24"/>
          <w:lang w:val="en-US"/>
        </w:rPr>
        <w:t xml:space="preserve">) </w:t>
      </w:r>
      <w:r w:rsidR="006867E4" w:rsidRPr="000302B3">
        <w:rPr>
          <w:rFonts w:ascii="Arial" w:hAnsi="Arial" w:cs="Arial"/>
          <w:bCs/>
          <w:sz w:val="24"/>
          <w:szCs w:val="24"/>
          <w:lang w:val="en-US"/>
        </w:rPr>
        <w:t>se păstrează la o valoare relativ ridicată, în jur de 28%, cu o tendință de descreștere, însă cu valori peste media națională</w:t>
      </w:r>
      <w:r w:rsidRPr="000302B3">
        <w:rPr>
          <w:rFonts w:ascii="Arial" w:hAnsi="Arial" w:cs="Arial"/>
          <w:bCs/>
          <w:sz w:val="24"/>
          <w:szCs w:val="24"/>
          <w:lang w:val="en-US"/>
        </w:rPr>
        <w:t>.</w:t>
      </w:r>
      <w:r w:rsidRPr="000302B3">
        <w:rPr>
          <w:rFonts w:ascii="Arial" w:hAnsi="Arial" w:cs="Arial"/>
          <w:bCs/>
          <w:color w:val="F79646" w:themeColor="accent6"/>
          <w:sz w:val="24"/>
          <w:szCs w:val="24"/>
          <w:lang w:val="en-US"/>
        </w:rPr>
        <w:t xml:space="preserve"> </w:t>
      </w:r>
      <w:r w:rsidR="006867E4" w:rsidRPr="000302B3">
        <w:rPr>
          <w:rFonts w:ascii="Arial" w:hAnsi="Arial" w:cs="Arial"/>
          <w:bCs/>
          <w:sz w:val="24"/>
          <w:szCs w:val="24"/>
          <w:lang w:val="en-US"/>
        </w:rPr>
        <w:t xml:space="preserve">Din analiza datelor supuse analizei rezultă o scădere de 6,7 puncte procentuale, în perioada 2008-2015 (de la 31,6% la 24,9%) cu 0,3% mai puțin față de nivelul național.  </w:t>
      </w:r>
    </w:p>
    <w:p w:rsidR="006867E4" w:rsidRPr="000302B3" w:rsidRDefault="006867E4" w:rsidP="00FC7199">
      <w:pPr>
        <w:spacing w:after="0" w:line="240" w:lineRule="auto"/>
        <w:jc w:val="both"/>
        <w:rPr>
          <w:rFonts w:ascii="Arial" w:hAnsi="Arial" w:cs="Arial"/>
          <w:bCs/>
          <w:sz w:val="24"/>
          <w:szCs w:val="24"/>
          <w:lang w:val="en-US"/>
        </w:rPr>
      </w:pPr>
      <w:r w:rsidRPr="000302B3">
        <w:rPr>
          <w:rFonts w:ascii="Arial" w:hAnsi="Arial" w:cs="Arial"/>
          <w:bCs/>
          <w:sz w:val="24"/>
          <w:szCs w:val="24"/>
          <w:lang w:val="en-US"/>
        </w:rPr>
        <w:t>Din analiza datelor referitoare la structura pe sexe, valori mai ridicate   ale ratei șomaju</w:t>
      </w:r>
      <w:r w:rsidR="00155087" w:rsidRPr="000302B3">
        <w:rPr>
          <w:rFonts w:ascii="Arial" w:hAnsi="Arial" w:cs="Arial"/>
          <w:bCs/>
          <w:sz w:val="24"/>
          <w:szCs w:val="24"/>
          <w:lang w:val="en-US"/>
        </w:rPr>
        <w:t xml:space="preserve">lui la această grupă de vârstă </w:t>
      </w:r>
      <w:r w:rsidRPr="000302B3">
        <w:rPr>
          <w:rFonts w:ascii="Arial" w:hAnsi="Arial" w:cs="Arial"/>
          <w:bCs/>
          <w:sz w:val="24"/>
          <w:szCs w:val="24"/>
          <w:lang w:val="en-US"/>
        </w:rPr>
        <w:t>s-au înregistrat în cazul populației feminine (30%) în comparație cu rata șomajului populației masculine (25%).</w:t>
      </w:r>
    </w:p>
    <w:p w:rsidR="006867E4" w:rsidRPr="000302B3" w:rsidRDefault="006867E4" w:rsidP="00FC7199">
      <w:pPr>
        <w:spacing w:after="0" w:line="240" w:lineRule="auto"/>
        <w:jc w:val="both"/>
        <w:rPr>
          <w:rFonts w:ascii="Arial" w:hAnsi="Arial" w:cs="Arial"/>
          <w:sz w:val="24"/>
          <w:szCs w:val="24"/>
        </w:rPr>
      </w:pPr>
      <w:r w:rsidRPr="000302B3">
        <w:rPr>
          <w:rFonts w:ascii="Arial" w:hAnsi="Arial" w:cs="Arial"/>
          <w:sz w:val="24"/>
          <w:szCs w:val="24"/>
        </w:rPr>
        <w:t xml:space="preserve">Raportându-ne la mediile de rezidenţă, se poate observa faptul că rata şomajului în mediul rural este mai scăzută  decât cea înregistrată în mediul urban. </w:t>
      </w:r>
    </w:p>
    <w:p w:rsidR="006867E4" w:rsidRPr="000302B3" w:rsidRDefault="006867E4" w:rsidP="00FC7199">
      <w:pPr>
        <w:spacing w:after="0" w:line="240" w:lineRule="auto"/>
        <w:jc w:val="both"/>
        <w:rPr>
          <w:rFonts w:ascii="Arial" w:hAnsi="Arial" w:cs="Arial"/>
          <w:bCs/>
          <w:sz w:val="24"/>
          <w:szCs w:val="24"/>
          <w:lang w:val="en-US"/>
        </w:rPr>
      </w:pPr>
      <w:r w:rsidRPr="000302B3">
        <w:rPr>
          <w:rFonts w:ascii="Arial" w:hAnsi="Arial" w:cs="Arial"/>
          <w:sz w:val="24"/>
          <w:szCs w:val="24"/>
        </w:rPr>
        <w:t xml:space="preserve">Dacă la nivel național </w:t>
      </w:r>
      <w:r w:rsidRPr="000302B3">
        <w:rPr>
          <w:rFonts w:ascii="Arial" w:hAnsi="Arial" w:cs="Arial"/>
          <w:bCs/>
          <w:sz w:val="24"/>
          <w:szCs w:val="24"/>
          <w:lang w:val="en-US"/>
        </w:rPr>
        <w:t xml:space="preserve">se poate identifica o tendință constantă pentru valorile totale, (distribuție pe sexe și medii de rezidență) la nivelul Regiunii Vest se înregistrează fluctuații relativ  mari, ca semn al instabilității ridicate a pieței muncii.  </w:t>
      </w:r>
    </w:p>
    <w:p w:rsidR="000F2102" w:rsidRPr="000302B3" w:rsidRDefault="000F2102" w:rsidP="00FC7199">
      <w:pPr>
        <w:spacing w:after="0" w:line="240" w:lineRule="auto"/>
        <w:jc w:val="both"/>
        <w:rPr>
          <w:rFonts w:ascii="Arial" w:hAnsi="Arial" w:cs="Arial"/>
          <w:bCs/>
          <w:sz w:val="24"/>
          <w:szCs w:val="24"/>
          <w:lang w:val="en-US"/>
        </w:rPr>
      </w:pPr>
    </w:p>
    <w:p w:rsidR="000F2102" w:rsidRPr="000302B3" w:rsidRDefault="005763E2" w:rsidP="00FC7199">
      <w:pPr>
        <w:spacing w:after="0" w:line="240" w:lineRule="auto"/>
        <w:jc w:val="center"/>
        <w:rPr>
          <w:rFonts w:ascii="Arial" w:hAnsi="Arial" w:cs="Arial"/>
          <w:bCs/>
          <w:sz w:val="24"/>
          <w:szCs w:val="24"/>
          <w:lang w:val="en-US"/>
        </w:rPr>
      </w:pPr>
      <w:r w:rsidRPr="000302B3">
        <w:rPr>
          <w:rFonts w:ascii="Arial" w:hAnsi="Arial" w:cs="Arial"/>
          <w:bCs/>
          <w:sz w:val="24"/>
          <w:szCs w:val="24"/>
          <w:lang w:val="en-US"/>
        </w:rPr>
        <w:t>Figura 1</w:t>
      </w:r>
      <w:r w:rsidR="006F004E" w:rsidRPr="000302B3">
        <w:rPr>
          <w:rFonts w:ascii="Arial" w:hAnsi="Arial" w:cs="Arial"/>
          <w:bCs/>
          <w:sz w:val="24"/>
          <w:szCs w:val="24"/>
          <w:lang w:val="en-US"/>
        </w:rPr>
        <w:t>2</w:t>
      </w:r>
      <w:r w:rsidRPr="000302B3">
        <w:rPr>
          <w:rFonts w:ascii="Arial" w:hAnsi="Arial" w:cs="Arial"/>
          <w:bCs/>
          <w:sz w:val="24"/>
          <w:szCs w:val="24"/>
          <w:lang w:val="en-US"/>
        </w:rPr>
        <w:t>.</w:t>
      </w:r>
      <w:r w:rsidR="006867E4" w:rsidRPr="000302B3">
        <w:rPr>
          <w:rFonts w:ascii="Arial" w:hAnsi="Arial" w:cs="Arial"/>
          <w:b/>
          <w:bCs/>
          <w:noProof/>
          <w:sz w:val="24"/>
          <w:szCs w:val="24"/>
          <w:lang w:val="en-US"/>
        </w:rPr>
        <w:drawing>
          <wp:inline distT="0" distB="0" distL="0" distR="0">
            <wp:extent cx="5848350" cy="3268345"/>
            <wp:effectExtent l="19050" t="0" r="19050" b="8255"/>
            <wp:docPr id="23" name="Diagramă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6867E4" w:rsidRPr="000302B3" w:rsidRDefault="006867E4" w:rsidP="007636E1">
      <w:pPr>
        <w:spacing w:after="0" w:line="240" w:lineRule="auto"/>
        <w:jc w:val="center"/>
        <w:rPr>
          <w:rFonts w:ascii="Arial" w:hAnsi="Arial" w:cs="Arial"/>
          <w:bCs/>
          <w:sz w:val="24"/>
          <w:szCs w:val="24"/>
          <w:lang w:val="en-US"/>
        </w:rPr>
      </w:pPr>
      <w:r w:rsidRPr="000302B3">
        <w:rPr>
          <w:rFonts w:ascii="Arial" w:hAnsi="Arial" w:cs="Arial"/>
          <w:bCs/>
          <w:sz w:val="24"/>
          <w:szCs w:val="24"/>
          <w:lang w:val="en-US"/>
        </w:rPr>
        <w:t>Sursa: INS "Forţa de munc</w:t>
      </w:r>
      <w:r w:rsidR="00965358" w:rsidRPr="000302B3">
        <w:rPr>
          <w:rFonts w:ascii="Arial" w:hAnsi="Arial" w:cs="Arial"/>
          <w:bCs/>
          <w:sz w:val="24"/>
          <w:szCs w:val="24"/>
          <w:lang w:val="en-US"/>
        </w:rPr>
        <w:t>ă în România: Ocupare şi şomaj"</w:t>
      </w:r>
    </w:p>
    <w:p w:rsidR="00155087" w:rsidRPr="000302B3" w:rsidRDefault="00155087" w:rsidP="00FC7199">
      <w:pPr>
        <w:spacing w:after="0" w:line="240" w:lineRule="auto"/>
        <w:jc w:val="both"/>
        <w:rPr>
          <w:rFonts w:ascii="Arial" w:hAnsi="Arial" w:cs="Arial"/>
          <w:b/>
          <w:bCs/>
          <w:sz w:val="24"/>
          <w:szCs w:val="24"/>
          <w:lang w:val="en-US"/>
        </w:rPr>
      </w:pPr>
    </w:p>
    <w:p w:rsidR="006867E4" w:rsidRPr="000302B3" w:rsidRDefault="00AF2F7A" w:rsidP="00FC7199">
      <w:pPr>
        <w:spacing w:after="0" w:line="240" w:lineRule="auto"/>
        <w:jc w:val="both"/>
        <w:rPr>
          <w:rFonts w:ascii="Arial" w:hAnsi="Arial" w:cs="Arial"/>
          <w:sz w:val="24"/>
          <w:szCs w:val="24"/>
        </w:rPr>
      </w:pPr>
      <w:bookmarkStart w:id="67" w:name="_Toc487475154"/>
      <w:r w:rsidRPr="000302B3">
        <w:rPr>
          <w:rFonts w:ascii="Arial" w:hAnsi="Arial" w:cs="Arial"/>
          <w:i/>
          <w:sz w:val="24"/>
          <w:szCs w:val="24"/>
          <w:lang w:eastAsia="ro-RO"/>
        </w:rPr>
        <w:t>5</w:t>
      </w:r>
      <w:r w:rsidR="002F65F7" w:rsidRPr="000302B3">
        <w:rPr>
          <w:rFonts w:ascii="Arial" w:hAnsi="Arial" w:cs="Arial"/>
          <w:i/>
          <w:sz w:val="24"/>
          <w:szCs w:val="24"/>
          <w:lang w:eastAsia="ro-RO"/>
        </w:rPr>
        <w:t>.1.2</w:t>
      </w:r>
      <w:r w:rsidR="00D45E55" w:rsidRPr="000302B3">
        <w:rPr>
          <w:rFonts w:ascii="Arial" w:hAnsi="Arial" w:cs="Arial"/>
          <w:i/>
          <w:sz w:val="24"/>
          <w:szCs w:val="24"/>
          <w:lang w:eastAsia="ro-RO"/>
        </w:rPr>
        <w:t>. Structura populaţiei ocupate, după nivelul de educaţie, pe grupe de vârstă,sexe şi medii</w:t>
      </w:r>
      <w:r w:rsidR="00DB6E0C" w:rsidRPr="000302B3">
        <w:rPr>
          <w:rStyle w:val="FootnoteReference"/>
          <w:rFonts w:ascii="Arial" w:hAnsi="Arial" w:cs="Arial"/>
          <w:i/>
          <w:sz w:val="24"/>
          <w:szCs w:val="24"/>
          <w:lang w:eastAsia="ro-RO"/>
        </w:rPr>
        <w:footnoteReference w:id="33"/>
      </w:r>
      <w:r w:rsidR="0034257E" w:rsidRPr="000302B3">
        <w:rPr>
          <w:rFonts w:ascii="Arial" w:hAnsi="Arial" w:cs="Arial"/>
          <w:i/>
          <w:sz w:val="24"/>
          <w:szCs w:val="24"/>
          <w:lang w:eastAsia="ro-RO"/>
        </w:rPr>
        <w:t>.</w:t>
      </w:r>
      <w:r w:rsidR="0034257E" w:rsidRPr="000302B3">
        <w:rPr>
          <w:rFonts w:ascii="Arial" w:hAnsi="Arial" w:cs="Arial"/>
          <w:sz w:val="24"/>
          <w:szCs w:val="24"/>
          <w:lang w:eastAsia="ro-RO"/>
        </w:rPr>
        <w:t xml:space="preserve"> </w:t>
      </w:r>
      <w:r w:rsidR="006867E4" w:rsidRPr="000302B3">
        <w:rPr>
          <w:rFonts w:ascii="Arial" w:hAnsi="Arial" w:cs="Arial"/>
          <w:sz w:val="24"/>
          <w:szCs w:val="24"/>
        </w:rPr>
        <w:t>Evoluţia structurii populaţiei ocupate după nivelul de instruire, în</w:t>
      </w:r>
      <w:r w:rsidR="00E97A6E" w:rsidRPr="000302B3">
        <w:rPr>
          <w:rFonts w:ascii="Arial" w:hAnsi="Arial" w:cs="Arial"/>
          <w:sz w:val="24"/>
          <w:szCs w:val="24"/>
        </w:rPr>
        <w:t xml:space="preserve"> Reginea Vest, în perioada 2008 - </w:t>
      </w:r>
      <w:r w:rsidR="006867E4" w:rsidRPr="000302B3">
        <w:rPr>
          <w:rFonts w:ascii="Arial" w:hAnsi="Arial" w:cs="Arial"/>
          <w:sz w:val="24"/>
          <w:szCs w:val="24"/>
        </w:rPr>
        <w:t>2015 evidenţiază creşterea ponderii populaţiei ocupate cu studii superioare şi a populaţiei ocupate cu nivel de pregătire mediu (liceal), în paralel cu o scădere semnif</w:t>
      </w:r>
      <w:r w:rsidR="00E97A6E" w:rsidRPr="000302B3">
        <w:rPr>
          <w:rFonts w:ascii="Arial" w:hAnsi="Arial" w:cs="Arial"/>
          <w:sz w:val="24"/>
          <w:szCs w:val="24"/>
        </w:rPr>
        <w:t xml:space="preserve">icativă a ponderii persoanelor </w:t>
      </w:r>
      <w:r w:rsidR="006867E4" w:rsidRPr="000302B3">
        <w:rPr>
          <w:rFonts w:ascii="Arial" w:hAnsi="Arial" w:cs="Arial"/>
          <w:sz w:val="24"/>
          <w:szCs w:val="24"/>
        </w:rPr>
        <w:t>cu nivel scăzut de pregătire (gimnazial și primar sau fără şcoală absolvită).</w:t>
      </w:r>
      <w:bookmarkEnd w:id="67"/>
      <w:r w:rsidR="006867E4" w:rsidRPr="000302B3">
        <w:rPr>
          <w:rFonts w:ascii="Arial" w:hAnsi="Arial" w:cs="Arial"/>
          <w:sz w:val="24"/>
          <w:szCs w:val="24"/>
        </w:rPr>
        <w:t xml:space="preserve"> </w:t>
      </w:r>
    </w:p>
    <w:p w:rsidR="006867E4" w:rsidRPr="000302B3" w:rsidRDefault="006867E4" w:rsidP="00FC7199">
      <w:pPr>
        <w:spacing w:after="0" w:line="240" w:lineRule="auto"/>
        <w:jc w:val="both"/>
        <w:rPr>
          <w:rFonts w:ascii="Arial" w:hAnsi="Arial" w:cs="Arial"/>
          <w:bCs/>
          <w:sz w:val="24"/>
          <w:szCs w:val="24"/>
          <w:lang w:val="en-US"/>
        </w:rPr>
      </w:pPr>
      <w:r w:rsidRPr="000302B3">
        <w:rPr>
          <w:rFonts w:ascii="Arial" w:hAnsi="Arial" w:cs="Arial"/>
          <w:color w:val="000000"/>
          <w:sz w:val="24"/>
          <w:szCs w:val="24"/>
        </w:rPr>
        <w:t xml:space="preserve">Persoanele cu </w:t>
      </w:r>
      <w:r w:rsidRPr="000302B3">
        <w:rPr>
          <w:rFonts w:ascii="Arial" w:hAnsi="Arial" w:cs="Arial"/>
          <w:i/>
          <w:color w:val="000000"/>
          <w:sz w:val="24"/>
          <w:szCs w:val="24"/>
        </w:rPr>
        <w:t>nivel mediu</w:t>
      </w:r>
      <w:r w:rsidRPr="000302B3">
        <w:rPr>
          <w:rFonts w:ascii="Arial" w:hAnsi="Arial" w:cs="Arial"/>
          <w:color w:val="000000"/>
          <w:sz w:val="24"/>
          <w:szCs w:val="24"/>
        </w:rPr>
        <w:t xml:space="preserve"> de educaţie</w:t>
      </w:r>
      <w:r w:rsidR="000F2102" w:rsidRPr="000302B3">
        <w:rPr>
          <w:rFonts w:ascii="Arial" w:hAnsi="Arial" w:cs="Arial"/>
          <w:color w:val="000000"/>
          <w:sz w:val="24"/>
          <w:szCs w:val="24"/>
        </w:rPr>
        <w:t xml:space="preserve"> deţin, în perioada analizată, </w:t>
      </w:r>
      <w:r w:rsidRPr="000302B3">
        <w:rPr>
          <w:rFonts w:ascii="Arial" w:hAnsi="Arial" w:cs="Arial"/>
          <w:color w:val="000000"/>
          <w:sz w:val="24"/>
          <w:szCs w:val="24"/>
        </w:rPr>
        <w:t xml:space="preserve">cea mai mare pondere din totalul populației  65,40%. Pondere mare regăsim la persoanele de sex masculin 69% față de persoanele de sex feminin </w:t>
      </w:r>
      <w:r w:rsidRPr="000302B3">
        <w:rPr>
          <w:rFonts w:ascii="Arial" w:hAnsi="Arial" w:cs="Arial"/>
          <w:bCs/>
          <w:sz w:val="24"/>
          <w:szCs w:val="24"/>
          <w:lang w:val="en-US"/>
        </w:rPr>
        <w:t>60,65%.</w:t>
      </w:r>
      <w:r w:rsidRPr="000302B3">
        <w:rPr>
          <w:rFonts w:ascii="Arial" w:hAnsi="Arial" w:cs="Arial"/>
          <w:b/>
          <w:bCs/>
          <w:sz w:val="24"/>
          <w:szCs w:val="24"/>
          <w:lang w:val="en-US"/>
        </w:rPr>
        <w:t xml:space="preserve"> </w:t>
      </w:r>
      <w:r w:rsidRPr="000302B3">
        <w:rPr>
          <w:rFonts w:ascii="Arial" w:hAnsi="Arial" w:cs="Arial"/>
          <w:bCs/>
          <w:sz w:val="24"/>
          <w:szCs w:val="24"/>
          <w:lang w:val="en-US"/>
        </w:rPr>
        <w:t>Raportându-ne la mediile de rezidență</w:t>
      </w:r>
      <w:r w:rsidRPr="000302B3">
        <w:rPr>
          <w:rFonts w:ascii="Arial" w:hAnsi="Arial" w:cs="Arial"/>
          <w:b/>
          <w:bCs/>
          <w:sz w:val="24"/>
          <w:szCs w:val="24"/>
          <w:lang w:val="en-US"/>
        </w:rPr>
        <w:t xml:space="preserve"> </w:t>
      </w:r>
      <w:r w:rsidR="000F2102" w:rsidRPr="000302B3">
        <w:rPr>
          <w:rFonts w:ascii="Arial" w:hAnsi="Arial" w:cs="Arial"/>
          <w:bCs/>
          <w:sz w:val="24"/>
          <w:szCs w:val="24"/>
          <w:lang w:val="en-US"/>
        </w:rPr>
        <w:t xml:space="preserve">valori mai ridicate se înregistrează </w:t>
      </w:r>
      <w:r w:rsidRPr="000302B3">
        <w:rPr>
          <w:rFonts w:ascii="Arial" w:hAnsi="Arial" w:cs="Arial"/>
          <w:bCs/>
          <w:sz w:val="24"/>
          <w:szCs w:val="24"/>
          <w:lang w:val="en-US"/>
        </w:rPr>
        <w:t>la populația din mediul urban 68,77%</w:t>
      </w:r>
      <w:r w:rsidRPr="000302B3">
        <w:rPr>
          <w:rFonts w:ascii="Arial" w:hAnsi="Arial" w:cs="Arial"/>
          <w:color w:val="000000"/>
          <w:sz w:val="24"/>
          <w:szCs w:val="24"/>
        </w:rPr>
        <w:t xml:space="preserve"> </w:t>
      </w:r>
      <w:r w:rsidRPr="000302B3">
        <w:rPr>
          <w:rFonts w:ascii="Arial" w:hAnsi="Arial" w:cs="Arial"/>
          <w:bCs/>
          <w:sz w:val="24"/>
          <w:szCs w:val="24"/>
          <w:lang w:val="en-US"/>
        </w:rPr>
        <w:t>față de populația din mediul rural 5</w:t>
      </w:r>
      <w:r w:rsidR="005763E2" w:rsidRPr="000302B3">
        <w:rPr>
          <w:rFonts w:ascii="Arial" w:hAnsi="Arial" w:cs="Arial"/>
          <w:bCs/>
          <w:sz w:val="24"/>
          <w:szCs w:val="24"/>
          <w:lang w:val="en-US"/>
        </w:rPr>
        <w:t xml:space="preserve">9,71% . </w:t>
      </w:r>
    </w:p>
    <w:p w:rsidR="00155087" w:rsidRPr="000302B3" w:rsidRDefault="00155087" w:rsidP="00FC7199">
      <w:pPr>
        <w:spacing w:after="0" w:line="240" w:lineRule="auto"/>
        <w:jc w:val="both"/>
        <w:rPr>
          <w:rFonts w:ascii="Arial" w:hAnsi="Arial" w:cs="Arial"/>
          <w:sz w:val="24"/>
          <w:szCs w:val="24"/>
        </w:rPr>
      </w:pPr>
    </w:p>
    <w:p w:rsidR="00155087" w:rsidRPr="000302B3" w:rsidRDefault="00155087" w:rsidP="00FC7199">
      <w:pPr>
        <w:spacing w:after="0" w:line="240" w:lineRule="auto"/>
        <w:jc w:val="both"/>
        <w:rPr>
          <w:rFonts w:ascii="Arial" w:hAnsi="Arial" w:cs="Arial"/>
          <w:sz w:val="24"/>
          <w:szCs w:val="24"/>
        </w:rPr>
      </w:pPr>
    </w:p>
    <w:p w:rsidR="005747A6" w:rsidRDefault="005747A6" w:rsidP="00FC7199">
      <w:pPr>
        <w:spacing w:after="0" w:line="240" w:lineRule="auto"/>
        <w:jc w:val="center"/>
        <w:rPr>
          <w:rFonts w:ascii="Arial" w:hAnsi="Arial" w:cs="Arial"/>
          <w:sz w:val="24"/>
          <w:szCs w:val="24"/>
        </w:rPr>
      </w:pPr>
    </w:p>
    <w:p w:rsidR="006867E4" w:rsidRPr="000302B3" w:rsidRDefault="005763E2" w:rsidP="00FC7199">
      <w:pPr>
        <w:spacing w:after="0" w:line="240" w:lineRule="auto"/>
        <w:jc w:val="center"/>
        <w:rPr>
          <w:rFonts w:ascii="Arial" w:hAnsi="Arial" w:cs="Arial"/>
          <w:sz w:val="24"/>
          <w:szCs w:val="24"/>
        </w:rPr>
      </w:pPr>
      <w:r w:rsidRPr="000302B3">
        <w:rPr>
          <w:rFonts w:ascii="Arial" w:hAnsi="Arial" w:cs="Arial"/>
          <w:sz w:val="24"/>
          <w:szCs w:val="24"/>
        </w:rPr>
        <w:t>Figura 1</w:t>
      </w:r>
      <w:r w:rsidR="006F004E" w:rsidRPr="000302B3">
        <w:rPr>
          <w:rFonts w:ascii="Arial" w:hAnsi="Arial" w:cs="Arial"/>
          <w:sz w:val="24"/>
          <w:szCs w:val="24"/>
        </w:rPr>
        <w:t>3</w:t>
      </w:r>
      <w:r w:rsidRPr="000302B3">
        <w:rPr>
          <w:rFonts w:ascii="Arial" w:hAnsi="Arial" w:cs="Arial"/>
          <w:sz w:val="24"/>
          <w:szCs w:val="24"/>
        </w:rPr>
        <w:t>.</w:t>
      </w:r>
    </w:p>
    <w:p w:rsidR="005747A6" w:rsidRDefault="006867E4" w:rsidP="00E4069A">
      <w:pPr>
        <w:spacing w:after="0" w:line="240" w:lineRule="auto"/>
        <w:jc w:val="center"/>
        <w:rPr>
          <w:rFonts w:ascii="Arial" w:hAnsi="Arial" w:cs="Arial"/>
          <w:sz w:val="24"/>
          <w:szCs w:val="24"/>
        </w:rPr>
      </w:pPr>
      <w:r w:rsidRPr="000302B3">
        <w:rPr>
          <w:rFonts w:ascii="Arial" w:hAnsi="Arial" w:cs="Arial"/>
          <w:noProof/>
          <w:sz w:val="24"/>
          <w:szCs w:val="24"/>
          <w:lang w:val="en-US"/>
        </w:rPr>
        <w:drawing>
          <wp:inline distT="0" distB="0" distL="0" distR="0">
            <wp:extent cx="5168247" cy="2982483"/>
            <wp:effectExtent l="19050" t="0" r="13353" b="8367"/>
            <wp:docPr id="24" name="Diagramă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6867E4" w:rsidRPr="000302B3" w:rsidRDefault="006867E4" w:rsidP="00FC7199">
      <w:pPr>
        <w:spacing w:after="0" w:line="240" w:lineRule="auto"/>
        <w:jc w:val="both"/>
        <w:rPr>
          <w:rFonts w:ascii="Arial" w:hAnsi="Arial" w:cs="Arial"/>
          <w:sz w:val="24"/>
          <w:szCs w:val="24"/>
        </w:rPr>
      </w:pPr>
      <w:r w:rsidRPr="000302B3">
        <w:rPr>
          <w:rFonts w:ascii="Arial" w:hAnsi="Arial" w:cs="Arial"/>
          <w:sz w:val="24"/>
          <w:szCs w:val="24"/>
        </w:rPr>
        <w:t>Sursa: INS Anuare statistice. Cercetarea statistică asupra forţei</w:t>
      </w:r>
      <w:r w:rsidR="005763E2" w:rsidRPr="000302B3">
        <w:rPr>
          <w:rFonts w:ascii="Arial" w:hAnsi="Arial" w:cs="Arial"/>
          <w:sz w:val="24"/>
          <w:szCs w:val="24"/>
        </w:rPr>
        <w:t xml:space="preserve"> de muncă în gospodării (AMIGO)</w:t>
      </w:r>
    </w:p>
    <w:p w:rsidR="00155087" w:rsidRPr="000302B3" w:rsidRDefault="00155087" w:rsidP="00FC7199">
      <w:pPr>
        <w:spacing w:after="0" w:line="240" w:lineRule="auto"/>
        <w:jc w:val="both"/>
        <w:rPr>
          <w:rFonts w:ascii="Arial" w:hAnsi="Arial" w:cs="Arial"/>
          <w:sz w:val="24"/>
          <w:szCs w:val="24"/>
        </w:rPr>
      </w:pPr>
    </w:p>
    <w:p w:rsidR="005763E2" w:rsidRPr="000302B3" w:rsidRDefault="005763E2" w:rsidP="00FC7199">
      <w:pPr>
        <w:spacing w:after="0" w:line="240" w:lineRule="auto"/>
        <w:jc w:val="both"/>
        <w:rPr>
          <w:rFonts w:ascii="Arial" w:hAnsi="Arial" w:cs="Arial"/>
          <w:color w:val="000000"/>
          <w:sz w:val="24"/>
          <w:szCs w:val="24"/>
        </w:rPr>
      </w:pPr>
      <w:r w:rsidRPr="000302B3">
        <w:rPr>
          <w:rFonts w:ascii="Arial" w:hAnsi="Arial" w:cs="Arial"/>
          <w:color w:val="000000"/>
          <w:sz w:val="24"/>
          <w:szCs w:val="24"/>
        </w:rPr>
        <w:t xml:space="preserve">Urmează populaţia cu </w:t>
      </w:r>
      <w:r w:rsidRPr="000302B3">
        <w:rPr>
          <w:rFonts w:ascii="Arial" w:hAnsi="Arial" w:cs="Arial"/>
          <w:i/>
          <w:color w:val="000000"/>
          <w:sz w:val="24"/>
          <w:szCs w:val="24"/>
        </w:rPr>
        <w:t xml:space="preserve">studii superioare, </w:t>
      </w:r>
      <w:r w:rsidRPr="000302B3">
        <w:rPr>
          <w:rFonts w:ascii="Arial" w:hAnsi="Arial" w:cs="Arial"/>
          <w:color w:val="000000"/>
          <w:sz w:val="24"/>
          <w:szCs w:val="24"/>
        </w:rPr>
        <w:t xml:space="preserve">cu o pondere de 17,5% din totalul populației ocupate. Se remarcă faptul că la nivel superior de instruire persoanele de sex feminin dețin o pondere de 19,61% cu 3,79 puncte procentuale mai mult decât populația de sex masculin (15,82%). Structura pe medii rezidențiale indică disparități majore în cazul acestui nivel de educație: 24,6% - mediul urban și 5,4% - mediul rural. </w:t>
      </w:r>
    </w:p>
    <w:p w:rsidR="005763E2" w:rsidRPr="000302B3" w:rsidRDefault="005763E2" w:rsidP="00FC7199">
      <w:pPr>
        <w:spacing w:after="0" w:line="240" w:lineRule="auto"/>
        <w:jc w:val="both"/>
        <w:rPr>
          <w:rFonts w:ascii="Arial" w:hAnsi="Arial" w:cs="Arial"/>
          <w:sz w:val="24"/>
          <w:szCs w:val="24"/>
        </w:rPr>
      </w:pPr>
      <w:r w:rsidRPr="000302B3">
        <w:rPr>
          <w:rFonts w:ascii="Arial" w:hAnsi="Arial" w:cs="Arial"/>
          <w:sz w:val="24"/>
          <w:szCs w:val="24"/>
        </w:rPr>
        <w:t xml:space="preserve">Ponderea cea mai mica din totalul populației ocupate o dețin persoanele  cu </w:t>
      </w:r>
      <w:r w:rsidR="00162202" w:rsidRPr="000302B3">
        <w:rPr>
          <w:rFonts w:ascii="Arial" w:hAnsi="Arial" w:cs="Arial"/>
          <w:i/>
          <w:sz w:val="24"/>
          <w:szCs w:val="24"/>
        </w:rPr>
        <w:t xml:space="preserve">nivel scăzut </w:t>
      </w:r>
      <w:r w:rsidRPr="000302B3">
        <w:rPr>
          <w:rFonts w:ascii="Arial" w:hAnsi="Arial" w:cs="Arial"/>
          <w:i/>
          <w:sz w:val="24"/>
          <w:szCs w:val="24"/>
        </w:rPr>
        <w:t>de educaţie</w:t>
      </w:r>
      <w:r w:rsidR="00162202" w:rsidRPr="000302B3">
        <w:rPr>
          <w:rFonts w:ascii="Arial" w:hAnsi="Arial" w:cs="Arial"/>
          <w:sz w:val="24"/>
          <w:szCs w:val="24"/>
        </w:rPr>
        <w:t xml:space="preserve"> </w:t>
      </w:r>
      <w:r w:rsidRPr="000302B3">
        <w:rPr>
          <w:rFonts w:ascii="Arial" w:hAnsi="Arial" w:cs="Arial"/>
          <w:sz w:val="24"/>
          <w:szCs w:val="24"/>
        </w:rPr>
        <w:t>17,13%. Din analiza pe sexe, populația de sex feminin înregistrează, în perioada analizată, o pondere mai ridicată (19,69% ) față de populația de sex masculin (15,18%). Ponderea mai ridicată o regăsim în cazul  persoanelor din mediul rural 34,87 % față de mediul urban (15,12%).</w:t>
      </w:r>
    </w:p>
    <w:p w:rsidR="005763E2" w:rsidRPr="000302B3" w:rsidRDefault="005763E2" w:rsidP="00FC7199">
      <w:pPr>
        <w:spacing w:after="0" w:line="240" w:lineRule="auto"/>
        <w:jc w:val="both"/>
        <w:rPr>
          <w:rFonts w:ascii="Arial" w:hAnsi="Arial" w:cs="Arial"/>
          <w:i/>
          <w:sz w:val="24"/>
          <w:szCs w:val="24"/>
        </w:rPr>
      </w:pPr>
      <w:r w:rsidRPr="000302B3">
        <w:rPr>
          <w:rFonts w:ascii="Arial" w:hAnsi="Arial" w:cs="Arial"/>
          <w:i/>
          <w:sz w:val="24"/>
          <w:szCs w:val="24"/>
        </w:rPr>
        <w:t xml:space="preserve">Populația cu  nivel de pregătire scăzut (gimnazial sau fără şcoală absolvită), are  posibilităţi foarte reduse de a ocupa un loc de munca. Posibilitatea de a ocupa un loc de muncă este de aproape 5 ori mai mare pentru persoanele care deţin un nivel de instruire mediu faţă de persoanele care nu au nici o calificare. Acest lucru este vizibil din tendința înregistrată pe perioada 2008-2015, în care crește cu 5% ponderea celor cu studii superioare din totalul populației active, și în mod similar și a celor cu studii liceale (cu 12,6%), în defavoarea celor cu studii gimnaziale (-3,1%) sau profesionale (-11,6%). </w:t>
      </w:r>
    </w:p>
    <w:p w:rsidR="005763E2" w:rsidRPr="000302B3" w:rsidRDefault="005763E2" w:rsidP="00FC7199">
      <w:pPr>
        <w:spacing w:after="0" w:line="240" w:lineRule="auto"/>
        <w:jc w:val="both"/>
        <w:rPr>
          <w:rFonts w:ascii="Arial" w:hAnsi="Arial" w:cs="Arial"/>
          <w:i/>
          <w:sz w:val="24"/>
          <w:szCs w:val="24"/>
        </w:rPr>
      </w:pPr>
      <w:r w:rsidRPr="000302B3">
        <w:rPr>
          <w:rFonts w:ascii="Arial" w:hAnsi="Arial" w:cs="Arial"/>
          <w:i/>
          <w:sz w:val="24"/>
          <w:szCs w:val="24"/>
        </w:rPr>
        <w:t xml:space="preserve">Chiar dacă ponderea populației active cu studii superioare prezintă o creștere evidentă în perioada analizată, valoarea de 17,5% rămâne mult în urma țintelor europene. </w:t>
      </w:r>
    </w:p>
    <w:p w:rsidR="006867E4" w:rsidRPr="000302B3" w:rsidRDefault="006867E4" w:rsidP="00FC7199">
      <w:pPr>
        <w:spacing w:after="0" w:line="240" w:lineRule="auto"/>
        <w:jc w:val="both"/>
        <w:rPr>
          <w:rFonts w:ascii="Arial" w:hAnsi="Arial" w:cs="Arial"/>
          <w:sz w:val="24"/>
          <w:szCs w:val="24"/>
        </w:rPr>
      </w:pPr>
      <w:r w:rsidRPr="000302B3">
        <w:rPr>
          <w:rFonts w:ascii="Arial" w:hAnsi="Arial" w:cs="Arial"/>
          <w:sz w:val="24"/>
          <w:szCs w:val="24"/>
        </w:rPr>
        <w:t>Pe nivele de instruire, populaţia ocupată se distribuie diferit pe grupe de vârstă.</w:t>
      </w:r>
    </w:p>
    <w:p w:rsidR="006867E4" w:rsidRPr="000302B3" w:rsidRDefault="006867E4" w:rsidP="00FC7199">
      <w:pPr>
        <w:spacing w:after="0" w:line="240" w:lineRule="auto"/>
        <w:jc w:val="both"/>
        <w:rPr>
          <w:rFonts w:ascii="Arial" w:hAnsi="Arial" w:cs="Arial"/>
          <w:sz w:val="24"/>
          <w:szCs w:val="24"/>
        </w:rPr>
      </w:pPr>
      <w:r w:rsidRPr="000302B3">
        <w:rPr>
          <w:rFonts w:ascii="Arial" w:hAnsi="Arial" w:cs="Arial"/>
          <w:sz w:val="24"/>
          <w:szCs w:val="24"/>
        </w:rPr>
        <w:t xml:space="preserve">Din populația ocupată care face parte din </w:t>
      </w:r>
      <w:r w:rsidRPr="000302B3">
        <w:rPr>
          <w:rFonts w:ascii="Arial" w:hAnsi="Arial" w:cs="Arial"/>
          <w:b/>
          <w:sz w:val="24"/>
          <w:szCs w:val="24"/>
        </w:rPr>
        <w:t>grupa de vârstă 15-24</w:t>
      </w:r>
      <w:r w:rsidRPr="000302B3">
        <w:rPr>
          <w:rFonts w:ascii="Arial" w:hAnsi="Arial" w:cs="Arial"/>
          <w:sz w:val="24"/>
          <w:szCs w:val="24"/>
        </w:rPr>
        <w:t xml:space="preserve"> ani cea mai ridicată  medie a ponderii o înregistrează persoanele cu  nivel de pregătire </w:t>
      </w:r>
      <w:r w:rsidRPr="000302B3">
        <w:rPr>
          <w:rFonts w:ascii="Arial" w:hAnsi="Arial" w:cs="Arial"/>
          <w:i/>
          <w:sz w:val="24"/>
          <w:szCs w:val="24"/>
        </w:rPr>
        <w:t xml:space="preserve">scăzut </w:t>
      </w:r>
      <w:r w:rsidRPr="000302B3">
        <w:rPr>
          <w:rFonts w:ascii="Arial" w:hAnsi="Arial" w:cs="Arial"/>
          <w:sz w:val="24"/>
          <w:szCs w:val="24"/>
        </w:rPr>
        <w:t>(gimnazial sau fără școală absolvită), 7,7%. De asemenea pondere ridicată, din aceast</w:t>
      </w:r>
      <w:r w:rsidR="006B6AA5" w:rsidRPr="000302B3">
        <w:rPr>
          <w:rFonts w:ascii="Arial" w:hAnsi="Arial" w:cs="Arial"/>
          <w:sz w:val="24"/>
          <w:szCs w:val="24"/>
        </w:rPr>
        <w:t>ă</w:t>
      </w:r>
      <w:r w:rsidRPr="000302B3">
        <w:rPr>
          <w:rFonts w:ascii="Arial" w:hAnsi="Arial" w:cs="Arial"/>
          <w:sz w:val="24"/>
          <w:szCs w:val="24"/>
        </w:rPr>
        <w:t xml:space="preserve"> grup</w:t>
      </w:r>
      <w:r w:rsidR="006B6AA5" w:rsidRPr="000302B3">
        <w:rPr>
          <w:rFonts w:ascii="Arial" w:hAnsi="Arial" w:cs="Arial"/>
          <w:sz w:val="24"/>
          <w:szCs w:val="24"/>
        </w:rPr>
        <w:t xml:space="preserve">ă </w:t>
      </w:r>
      <w:r w:rsidRPr="000302B3">
        <w:rPr>
          <w:rFonts w:ascii="Arial" w:hAnsi="Arial" w:cs="Arial"/>
          <w:sz w:val="24"/>
          <w:szCs w:val="24"/>
        </w:rPr>
        <w:t xml:space="preserve">de vârstă, găsim la pesoanele de sex masculin și la persoanele din mediul rural; pentru populația  din </w:t>
      </w:r>
      <w:r w:rsidRPr="000302B3">
        <w:rPr>
          <w:rFonts w:ascii="Arial" w:hAnsi="Arial" w:cs="Arial"/>
          <w:b/>
          <w:sz w:val="24"/>
          <w:szCs w:val="24"/>
        </w:rPr>
        <w:t>grupa de vârstă 25-34</w:t>
      </w:r>
      <w:r w:rsidRPr="000302B3">
        <w:rPr>
          <w:rFonts w:ascii="Arial" w:hAnsi="Arial" w:cs="Arial"/>
          <w:sz w:val="24"/>
          <w:szCs w:val="24"/>
        </w:rPr>
        <w:t xml:space="preserve"> ani cea mai mare pondere o găsim la persoanele cu studii superioare 33,2% (în scădere cu 8,8 puncte procentuale în 2015 față de 2008) din care femei 34,8%; persoanele din </w:t>
      </w:r>
      <w:r w:rsidRPr="000302B3">
        <w:rPr>
          <w:rFonts w:ascii="Arial" w:hAnsi="Arial" w:cs="Arial"/>
          <w:b/>
          <w:sz w:val="24"/>
          <w:szCs w:val="24"/>
        </w:rPr>
        <w:t xml:space="preserve">grupa de vârstă 35-44 </w:t>
      </w:r>
      <w:r w:rsidRPr="000302B3">
        <w:rPr>
          <w:rFonts w:ascii="Arial" w:hAnsi="Arial" w:cs="Arial"/>
          <w:sz w:val="24"/>
          <w:szCs w:val="24"/>
        </w:rPr>
        <w:t xml:space="preserve">ani, au ponderea cea mai reprezentativă, dintre acestea 35,6% având nivel de instruire </w:t>
      </w:r>
      <w:r w:rsidRPr="000302B3">
        <w:rPr>
          <w:rFonts w:ascii="Arial" w:hAnsi="Arial" w:cs="Arial"/>
          <w:sz w:val="24"/>
          <w:szCs w:val="24"/>
        </w:rPr>
        <w:lastRenderedPageBreak/>
        <w:t xml:space="preserve">superior (în creștere cu 12,7 puncte procentuale în 2015 față de anul 2008) din care femei 36,7%; la   </w:t>
      </w:r>
      <w:r w:rsidRPr="000302B3">
        <w:rPr>
          <w:rFonts w:ascii="Arial" w:hAnsi="Arial" w:cs="Arial"/>
          <w:b/>
          <w:sz w:val="24"/>
          <w:szCs w:val="24"/>
        </w:rPr>
        <w:t>grupa de vârstă 45-54 ani</w:t>
      </w:r>
      <w:r w:rsidRPr="000302B3">
        <w:rPr>
          <w:rFonts w:ascii="Arial" w:hAnsi="Arial" w:cs="Arial"/>
          <w:sz w:val="24"/>
          <w:szCs w:val="24"/>
        </w:rPr>
        <w:t xml:space="preserve"> pondere mai mare o regăsim la cele cu studii medii  respectiv 26,2% din care femei 28,0%; la </w:t>
      </w:r>
      <w:r w:rsidRPr="000302B3">
        <w:rPr>
          <w:rFonts w:ascii="Arial" w:hAnsi="Arial" w:cs="Arial"/>
          <w:b/>
          <w:sz w:val="24"/>
          <w:szCs w:val="24"/>
        </w:rPr>
        <w:t>grupa de vârstă 55-64</w:t>
      </w:r>
      <w:r w:rsidRPr="000302B3">
        <w:rPr>
          <w:rFonts w:ascii="Arial" w:hAnsi="Arial" w:cs="Arial"/>
          <w:sz w:val="24"/>
          <w:szCs w:val="24"/>
        </w:rPr>
        <w:t xml:space="preserve"> ani pondere mare o regăsim la persoanele cu nivel de instruire scăzut 20,6% (gimnazial sau fără școală absolvită) din care bărbați  20,7 %  iar 21,8% o reprezintă populația din mediul rural. </w:t>
      </w:r>
    </w:p>
    <w:p w:rsidR="001937AF" w:rsidRPr="00DD5F85" w:rsidRDefault="001937AF" w:rsidP="00FC7199">
      <w:pPr>
        <w:pStyle w:val="BodyTextIndent3"/>
        <w:spacing w:after="0"/>
        <w:ind w:left="0"/>
        <w:jc w:val="both"/>
        <w:rPr>
          <w:rFonts w:ascii="Arial" w:hAnsi="Arial" w:cs="Arial"/>
          <w:sz w:val="24"/>
          <w:szCs w:val="24"/>
          <w:lang w:eastAsia="ro-RO"/>
        </w:rPr>
      </w:pPr>
    </w:p>
    <w:p w:rsidR="00AF2F7A" w:rsidRDefault="00AF2F7A" w:rsidP="00FC7199">
      <w:pPr>
        <w:pStyle w:val="BodyTextIndent3"/>
        <w:tabs>
          <w:tab w:val="num" w:pos="2520"/>
        </w:tabs>
        <w:spacing w:after="0"/>
        <w:ind w:left="0"/>
        <w:jc w:val="both"/>
        <w:outlineLvl w:val="2"/>
        <w:rPr>
          <w:rFonts w:ascii="Arial" w:hAnsi="Arial" w:cs="Arial"/>
          <w:sz w:val="24"/>
          <w:szCs w:val="24"/>
          <w:lang w:eastAsia="ro-RO"/>
        </w:rPr>
      </w:pPr>
      <w:bookmarkStart w:id="68" w:name="_Toc488066039"/>
      <w:r w:rsidRPr="00DD5F85">
        <w:rPr>
          <w:rFonts w:ascii="Arial" w:hAnsi="Arial" w:cs="Arial"/>
          <w:sz w:val="24"/>
          <w:szCs w:val="24"/>
          <w:lang w:eastAsia="ro-RO"/>
        </w:rPr>
        <w:t>5</w:t>
      </w:r>
      <w:r w:rsidR="002F65F7" w:rsidRPr="00DD5F85">
        <w:rPr>
          <w:rFonts w:ascii="Arial" w:hAnsi="Arial" w:cs="Arial"/>
          <w:sz w:val="24"/>
          <w:szCs w:val="24"/>
          <w:lang w:eastAsia="ro-RO"/>
        </w:rPr>
        <w:t>.1.3</w:t>
      </w:r>
      <w:r w:rsidR="00D45E55" w:rsidRPr="00DD5F85">
        <w:rPr>
          <w:rFonts w:ascii="Arial" w:hAnsi="Arial" w:cs="Arial"/>
          <w:sz w:val="24"/>
          <w:szCs w:val="24"/>
          <w:lang w:eastAsia="ro-RO"/>
        </w:rPr>
        <w:t xml:space="preserve">. </w:t>
      </w:r>
      <w:r w:rsidR="00D45E55" w:rsidRPr="006E7C79">
        <w:rPr>
          <w:rFonts w:ascii="Arial" w:hAnsi="Arial" w:cs="Arial"/>
          <w:i/>
          <w:sz w:val="24"/>
          <w:szCs w:val="24"/>
          <w:lang w:eastAsia="ro-RO"/>
        </w:rPr>
        <w:t>Şomajul de lungă durată</w:t>
      </w:r>
      <w:r w:rsidR="00DB6E0C">
        <w:rPr>
          <w:rStyle w:val="FootnoteReference"/>
          <w:rFonts w:ascii="Arial" w:hAnsi="Arial" w:cs="Arial"/>
          <w:sz w:val="24"/>
          <w:szCs w:val="24"/>
          <w:lang w:eastAsia="ro-RO"/>
        </w:rPr>
        <w:footnoteReference w:id="34"/>
      </w:r>
      <w:bookmarkEnd w:id="68"/>
    </w:p>
    <w:p w:rsidR="006867E4" w:rsidRPr="005763E2" w:rsidRDefault="006867E4" w:rsidP="00FC7199">
      <w:pPr>
        <w:spacing w:after="0" w:line="240" w:lineRule="auto"/>
        <w:jc w:val="both"/>
        <w:rPr>
          <w:rFonts w:ascii="Arial" w:hAnsi="Arial" w:cs="Arial"/>
          <w:sz w:val="24"/>
          <w:szCs w:val="24"/>
        </w:rPr>
      </w:pPr>
      <w:r w:rsidRPr="005763E2">
        <w:rPr>
          <w:rFonts w:ascii="Arial" w:hAnsi="Arial" w:cs="Arial"/>
          <w:bCs/>
          <w:sz w:val="24"/>
          <w:szCs w:val="24"/>
          <w:lang w:val="en-US"/>
        </w:rPr>
        <w:t>5.1.3.1.</w:t>
      </w:r>
      <w:r w:rsidRPr="006E7C79">
        <w:rPr>
          <w:rFonts w:ascii="Arial" w:hAnsi="Arial" w:cs="Arial"/>
          <w:bCs/>
          <w:i/>
          <w:sz w:val="24"/>
          <w:szCs w:val="24"/>
          <w:lang w:val="en-US"/>
        </w:rPr>
        <w:t xml:space="preserve">Şomajul de lunga durată (12 </w:t>
      </w:r>
      <w:r w:rsidR="0034257E" w:rsidRPr="006E7C79">
        <w:rPr>
          <w:rFonts w:ascii="Arial" w:hAnsi="Arial" w:cs="Arial"/>
          <w:bCs/>
          <w:i/>
          <w:sz w:val="24"/>
          <w:szCs w:val="24"/>
          <w:lang w:val="en-US"/>
        </w:rPr>
        <w:t>luni şi peste):</w:t>
      </w:r>
      <w:r w:rsidR="0034257E" w:rsidRPr="005763E2">
        <w:rPr>
          <w:rFonts w:ascii="Arial" w:hAnsi="Arial" w:cs="Arial"/>
          <w:bCs/>
          <w:sz w:val="24"/>
          <w:szCs w:val="24"/>
          <w:lang w:val="en-US"/>
        </w:rPr>
        <w:t xml:space="preserve"> </w:t>
      </w:r>
      <w:r w:rsidR="007D4CCA">
        <w:rPr>
          <w:rFonts w:ascii="Arial" w:hAnsi="Arial" w:cs="Arial"/>
          <w:sz w:val="24"/>
          <w:szCs w:val="24"/>
        </w:rPr>
        <w:t>Î</w:t>
      </w:r>
      <w:r w:rsidRPr="005763E2">
        <w:rPr>
          <w:rFonts w:ascii="Arial" w:hAnsi="Arial" w:cs="Arial"/>
          <w:sz w:val="24"/>
          <w:szCs w:val="24"/>
        </w:rPr>
        <w:t xml:space="preserve">n perioada analizată 2008-2015, comparativ cu media UE (28 state), </w:t>
      </w:r>
      <w:r w:rsidRPr="005763E2">
        <w:rPr>
          <w:rFonts w:ascii="Arial" w:hAnsi="Arial" w:cs="Arial"/>
          <w:b/>
          <w:sz w:val="24"/>
          <w:szCs w:val="24"/>
        </w:rPr>
        <w:t xml:space="preserve">în România, ponderea  şomajului </w:t>
      </w:r>
      <w:r w:rsidRPr="005763E2">
        <w:rPr>
          <w:rFonts w:ascii="Arial" w:hAnsi="Arial" w:cs="Arial"/>
          <w:b/>
          <w:bCs/>
          <w:sz w:val="24"/>
          <w:szCs w:val="24"/>
          <w:lang w:val="en-US"/>
        </w:rPr>
        <w:t>de lung</w:t>
      </w:r>
      <w:r w:rsidRPr="005763E2">
        <w:rPr>
          <w:rFonts w:ascii="Arial" w:hAnsi="Arial" w:cs="Arial"/>
          <w:b/>
          <w:bCs/>
          <w:sz w:val="24"/>
          <w:szCs w:val="24"/>
        </w:rPr>
        <w:t>ă</w:t>
      </w:r>
      <w:r w:rsidRPr="005763E2">
        <w:rPr>
          <w:rFonts w:ascii="Arial" w:hAnsi="Arial" w:cs="Arial"/>
          <w:b/>
          <w:bCs/>
          <w:sz w:val="24"/>
          <w:szCs w:val="24"/>
          <w:lang w:val="en-US"/>
        </w:rPr>
        <w:t xml:space="preserve"> durată (12 luni şi peste)</w:t>
      </w:r>
      <w:r w:rsidRPr="005763E2">
        <w:rPr>
          <w:rFonts w:ascii="Arial" w:hAnsi="Arial" w:cs="Arial"/>
          <w:b/>
          <w:sz w:val="24"/>
          <w:szCs w:val="24"/>
        </w:rPr>
        <w:t>,</w:t>
      </w:r>
      <w:r w:rsidRPr="005763E2">
        <w:rPr>
          <w:rFonts w:ascii="Arial" w:hAnsi="Arial" w:cs="Arial"/>
          <w:sz w:val="24"/>
          <w:szCs w:val="24"/>
        </w:rPr>
        <w:t xml:space="preserve"> înregistrează  2,5 puncte procentuale sub media ţărilor Uniunii Europene care este de 42,9% iar șomajului </w:t>
      </w:r>
      <w:r w:rsidRPr="005763E2">
        <w:rPr>
          <w:rFonts w:ascii="Arial" w:hAnsi="Arial" w:cs="Arial"/>
          <w:bCs/>
          <w:sz w:val="24"/>
          <w:szCs w:val="24"/>
          <w:lang w:val="en-US"/>
        </w:rPr>
        <w:t>de lung</w:t>
      </w:r>
      <w:r w:rsidRPr="005763E2">
        <w:rPr>
          <w:rFonts w:ascii="Arial" w:hAnsi="Arial" w:cs="Arial"/>
          <w:bCs/>
          <w:sz w:val="24"/>
          <w:szCs w:val="24"/>
        </w:rPr>
        <w:t>ă</w:t>
      </w:r>
      <w:r w:rsidRPr="005763E2">
        <w:rPr>
          <w:rFonts w:ascii="Arial" w:hAnsi="Arial" w:cs="Arial"/>
          <w:bCs/>
          <w:sz w:val="24"/>
          <w:szCs w:val="24"/>
          <w:lang w:val="en-US"/>
        </w:rPr>
        <w:t xml:space="preserve"> durată (12 luni şi peste) – din populația activă</w:t>
      </w:r>
      <w:r w:rsidRPr="005763E2">
        <w:rPr>
          <w:rFonts w:ascii="Arial" w:hAnsi="Arial" w:cs="Arial"/>
          <w:sz w:val="24"/>
          <w:szCs w:val="24"/>
        </w:rPr>
        <w:t xml:space="preserve">, în Romînia, se situează cu puțin peste un procent (1,38%) sub media ţărilor Uniunii Europene care este de 4,11 puncte procentuale. </w:t>
      </w:r>
    </w:p>
    <w:p w:rsidR="006867E4" w:rsidRPr="005763E2" w:rsidRDefault="006867E4" w:rsidP="00FC7199">
      <w:pPr>
        <w:spacing w:after="0" w:line="240" w:lineRule="auto"/>
        <w:jc w:val="both"/>
        <w:rPr>
          <w:rFonts w:ascii="Arial" w:hAnsi="Arial" w:cs="Arial"/>
          <w:sz w:val="24"/>
          <w:szCs w:val="24"/>
        </w:rPr>
      </w:pPr>
      <w:r w:rsidRPr="005763E2">
        <w:rPr>
          <w:rFonts w:ascii="Arial" w:hAnsi="Arial" w:cs="Arial"/>
          <w:sz w:val="24"/>
          <w:szCs w:val="24"/>
        </w:rPr>
        <w:t>Șomerii de lungă durată sunt o categorie formată în general din persoane disponibilizate care, în timp s-au deprofesionalizat, calificările acestora nemaiavând căutare pe piaţa muncii.</w:t>
      </w:r>
    </w:p>
    <w:p w:rsidR="006867E4" w:rsidRPr="005763E2" w:rsidRDefault="006867E4" w:rsidP="00FC7199">
      <w:pPr>
        <w:spacing w:after="0" w:line="240" w:lineRule="auto"/>
        <w:jc w:val="both"/>
        <w:rPr>
          <w:rFonts w:ascii="Arial" w:hAnsi="Arial" w:cs="Arial"/>
          <w:sz w:val="24"/>
          <w:szCs w:val="24"/>
        </w:rPr>
      </w:pPr>
      <w:r w:rsidRPr="005763E2">
        <w:rPr>
          <w:rFonts w:ascii="Arial" w:hAnsi="Arial" w:cs="Arial"/>
          <w:sz w:val="24"/>
          <w:szCs w:val="24"/>
        </w:rPr>
        <w:t xml:space="preserve">Un șomaj persistent pe termen lung are implicații atât asupra societății (cu impact negativ în ceea ce privește creșterea economică) cât și a persoanelor în cauză. </w:t>
      </w:r>
    </w:p>
    <w:p w:rsidR="006867E4" w:rsidRPr="005763E2" w:rsidRDefault="006867E4" w:rsidP="00FC7199">
      <w:pPr>
        <w:spacing w:after="0" w:line="240" w:lineRule="auto"/>
        <w:jc w:val="both"/>
        <w:rPr>
          <w:rFonts w:ascii="Arial" w:hAnsi="Arial" w:cs="Arial"/>
          <w:bCs/>
          <w:sz w:val="24"/>
          <w:szCs w:val="24"/>
          <w:lang w:val="en-US"/>
        </w:rPr>
      </w:pPr>
      <w:r w:rsidRPr="005763E2">
        <w:rPr>
          <w:rFonts w:ascii="Arial" w:hAnsi="Arial" w:cs="Arial"/>
          <w:sz w:val="24"/>
          <w:szCs w:val="24"/>
        </w:rPr>
        <w:t>Șomajul pe termen lung, ce înregistrează valori din ce în ce mai ridicate, este unul dintre factorii care au dus  de creșterea sărăciei în UE de la începutul crizei.</w:t>
      </w:r>
    </w:p>
    <w:p w:rsidR="006867E4" w:rsidRPr="005763E2" w:rsidRDefault="006867E4" w:rsidP="00FC7199">
      <w:pPr>
        <w:spacing w:after="0" w:line="240" w:lineRule="auto"/>
        <w:jc w:val="both"/>
        <w:rPr>
          <w:rFonts w:ascii="Arial" w:hAnsi="Arial" w:cs="Arial"/>
          <w:b/>
          <w:bCs/>
          <w:sz w:val="24"/>
          <w:szCs w:val="24"/>
        </w:rPr>
      </w:pPr>
      <w:r w:rsidRPr="005763E2">
        <w:rPr>
          <w:rFonts w:ascii="Arial" w:hAnsi="Arial" w:cs="Arial"/>
          <w:b/>
          <w:bCs/>
          <w:sz w:val="24"/>
          <w:szCs w:val="24"/>
        </w:rPr>
        <w:t xml:space="preserve">Rata șomajului de lunga durată (12 luni și peste) în regiunea Vest înregistrează 1,23% peste  media națională care este 40,3%  </w:t>
      </w:r>
      <w:r w:rsidRPr="005763E2">
        <w:rPr>
          <w:rFonts w:ascii="Arial" w:hAnsi="Arial" w:cs="Arial"/>
          <w:b/>
          <w:sz w:val="24"/>
          <w:szCs w:val="24"/>
        </w:rPr>
        <w:t xml:space="preserve">iar  valoarea  mediei  șomajului </w:t>
      </w:r>
      <w:r w:rsidRPr="005763E2">
        <w:rPr>
          <w:rFonts w:ascii="Arial" w:hAnsi="Arial" w:cs="Arial"/>
          <w:b/>
          <w:bCs/>
          <w:sz w:val="24"/>
          <w:szCs w:val="24"/>
          <w:lang w:val="en-US"/>
        </w:rPr>
        <w:t>de lung</w:t>
      </w:r>
      <w:r w:rsidRPr="005763E2">
        <w:rPr>
          <w:rFonts w:ascii="Arial" w:hAnsi="Arial" w:cs="Arial"/>
          <w:b/>
          <w:bCs/>
          <w:sz w:val="24"/>
          <w:szCs w:val="24"/>
        </w:rPr>
        <w:t>ă</w:t>
      </w:r>
      <w:r w:rsidRPr="005763E2">
        <w:rPr>
          <w:rFonts w:ascii="Arial" w:hAnsi="Arial" w:cs="Arial"/>
          <w:b/>
          <w:bCs/>
          <w:sz w:val="24"/>
          <w:szCs w:val="24"/>
          <w:lang w:val="en-US"/>
        </w:rPr>
        <w:t xml:space="preserve"> durată (12 luni şi peste) – din populația activă</w:t>
      </w:r>
      <w:r w:rsidRPr="005763E2">
        <w:rPr>
          <w:rFonts w:ascii="Arial" w:hAnsi="Arial" w:cs="Arial"/>
          <w:b/>
          <w:sz w:val="24"/>
          <w:szCs w:val="24"/>
        </w:rPr>
        <w:t>, se situează cu 0,45  procente procentuale sub media națională care este de 2,73%.</w:t>
      </w:r>
    </w:p>
    <w:p w:rsidR="006867E4" w:rsidRPr="005763E2" w:rsidRDefault="00381F74" w:rsidP="00FC7199">
      <w:pPr>
        <w:spacing w:after="0" w:line="240" w:lineRule="auto"/>
        <w:jc w:val="both"/>
        <w:rPr>
          <w:rFonts w:ascii="Arial" w:hAnsi="Arial" w:cs="Arial"/>
          <w:bCs/>
          <w:sz w:val="24"/>
          <w:szCs w:val="24"/>
          <w:lang w:val="en-US"/>
        </w:rPr>
      </w:pPr>
      <w:r>
        <w:rPr>
          <w:rFonts w:ascii="Arial" w:hAnsi="Arial" w:cs="Arial"/>
          <w:bCs/>
          <w:i/>
          <w:sz w:val="24"/>
          <w:szCs w:val="24"/>
          <w:lang w:val="en-US"/>
        </w:rPr>
        <w:t>5</w:t>
      </w:r>
      <w:r w:rsidR="006867E4" w:rsidRPr="006E7C79">
        <w:rPr>
          <w:rFonts w:ascii="Arial" w:hAnsi="Arial" w:cs="Arial"/>
          <w:bCs/>
          <w:i/>
          <w:sz w:val="24"/>
          <w:szCs w:val="24"/>
          <w:lang w:val="en-US"/>
        </w:rPr>
        <w:t>.1.3.2. Şomajul de lungă durată în profil teritorial</w:t>
      </w:r>
      <w:r w:rsidR="00D7513E" w:rsidRPr="005763E2">
        <w:rPr>
          <w:rFonts w:ascii="Arial" w:hAnsi="Arial" w:cs="Arial"/>
          <w:bCs/>
          <w:sz w:val="24"/>
          <w:szCs w:val="24"/>
          <w:lang w:val="en-US"/>
        </w:rPr>
        <w:t xml:space="preserve">. </w:t>
      </w:r>
      <w:r w:rsidR="006867E4" w:rsidRPr="005763E2">
        <w:rPr>
          <w:rFonts w:ascii="Arial" w:hAnsi="Arial" w:cs="Arial"/>
          <w:bCs/>
          <w:sz w:val="24"/>
          <w:szCs w:val="24"/>
        </w:rPr>
        <w:t xml:space="preserve">In perioada analizată rata șomajului </w:t>
      </w:r>
      <w:r w:rsidR="006867E4" w:rsidRPr="005763E2">
        <w:rPr>
          <w:rFonts w:ascii="Arial" w:hAnsi="Arial" w:cs="Arial"/>
          <w:bCs/>
          <w:sz w:val="24"/>
          <w:szCs w:val="24"/>
          <w:lang w:val="en-US"/>
        </w:rPr>
        <w:t>de lungă durată înregistrează valori constante 2,1 % în anii 2008, 2013 și 2014 cu mici fluctații 1,8% în 2010 și – 2,4% în 2011.</w:t>
      </w:r>
    </w:p>
    <w:p w:rsidR="006867E4" w:rsidRPr="005763E2" w:rsidRDefault="006867E4" w:rsidP="00FC7199">
      <w:pPr>
        <w:spacing w:after="0" w:line="240" w:lineRule="auto"/>
        <w:jc w:val="both"/>
        <w:rPr>
          <w:rFonts w:ascii="Arial" w:hAnsi="Arial" w:cs="Arial"/>
          <w:bCs/>
          <w:sz w:val="24"/>
          <w:szCs w:val="24"/>
          <w:lang w:val="en-US"/>
        </w:rPr>
      </w:pPr>
      <w:r w:rsidRPr="005763E2">
        <w:rPr>
          <w:rFonts w:ascii="Arial" w:hAnsi="Arial" w:cs="Arial"/>
          <w:bCs/>
          <w:sz w:val="24"/>
          <w:szCs w:val="24"/>
          <w:lang w:val="en-US"/>
        </w:rPr>
        <w:t xml:space="preserve">Rata șomajului de lungă durată pentru tineri are o evoluție oscilantă cu un minim de 10,8% în 2009 și un maxim de 16,2% în 2014. Urmărind incidenţa şomajului de lungă durată se observă o creștere a acesteia de la 40,2% în 2013 la 43,8% în 2014. Și incidența șomajului de lungă durată înregistrează o creștere de la 52,1% în 2013 la 59,3% în 2014. </w:t>
      </w:r>
    </w:p>
    <w:p w:rsidR="006867E4" w:rsidRPr="005763E2" w:rsidRDefault="006867E4" w:rsidP="00FC7199">
      <w:pPr>
        <w:spacing w:after="0" w:line="240" w:lineRule="auto"/>
        <w:jc w:val="both"/>
        <w:rPr>
          <w:rFonts w:ascii="Arial" w:hAnsi="Arial" w:cs="Arial"/>
          <w:bCs/>
          <w:sz w:val="24"/>
          <w:szCs w:val="24"/>
          <w:lang w:val="en-US"/>
        </w:rPr>
      </w:pPr>
      <w:r w:rsidRPr="005763E2">
        <w:rPr>
          <w:rFonts w:ascii="Arial" w:hAnsi="Arial" w:cs="Arial"/>
          <w:bCs/>
          <w:sz w:val="24"/>
          <w:szCs w:val="24"/>
          <w:lang w:val="en-US"/>
        </w:rPr>
        <w:t>Pe sexe, ecartul dintre cele două rate ale şomajului a fost de 1,7 puncte procentuale (7,5% la bărbaţi faţă de 5,8% la femei), iar pe medii de rezidenţă de 0,4 puncte procentuale (7% în urban faţă de 6,6% în rural).</w:t>
      </w:r>
    </w:p>
    <w:p w:rsidR="006867E4" w:rsidRPr="005763E2" w:rsidRDefault="00381F74" w:rsidP="00FC7199">
      <w:pPr>
        <w:spacing w:after="0" w:line="240" w:lineRule="auto"/>
        <w:jc w:val="both"/>
        <w:rPr>
          <w:rFonts w:ascii="Arial" w:hAnsi="Arial" w:cs="Arial"/>
          <w:bCs/>
          <w:sz w:val="24"/>
          <w:szCs w:val="24"/>
          <w:lang w:val="en-US"/>
        </w:rPr>
      </w:pPr>
      <w:r>
        <w:rPr>
          <w:rFonts w:ascii="Arial" w:hAnsi="Arial" w:cs="Arial"/>
          <w:bCs/>
          <w:i/>
          <w:sz w:val="24"/>
          <w:szCs w:val="24"/>
          <w:lang w:val="en-US"/>
        </w:rPr>
        <w:t>5</w:t>
      </w:r>
      <w:r w:rsidR="00FC7199">
        <w:rPr>
          <w:rFonts w:ascii="Arial" w:hAnsi="Arial" w:cs="Arial"/>
          <w:bCs/>
          <w:i/>
          <w:sz w:val="24"/>
          <w:szCs w:val="24"/>
          <w:lang w:val="en-US"/>
        </w:rPr>
        <w:t>.1.3.3</w:t>
      </w:r>
      <w:r w:rsidR="006867E4" w:rsidRPr="006E7C79">
        <w:rPr>
          <w:rFonts w:ascii="Arial" w:hAnsi="Arial" w:cs="Arial"/>
          <w:bCs/>
          <w:i/>
          <w:sz w:val="24"/>
          <w:szCs w:val="24"/>
          <w:lang w:val="en-US"/>
        </w:rPr>
        <w:t>. Şomajul1).2)</w:t>
      </w:r>
      <w:r w:rsidR="006867E4" w:rsidRPr="005763E2">
        <w:rPr>
          <w:rFonts w:ascii="Arial" w:hAnsi="Arial" w:cs="Arial"/>
          <w:bCs/>
          <w:sz w:val="24"/>
          <w:szCs w:val="24"/>
          <w:lang w:val="en-US"/>
        </w:rPr>
        <w:t xml:space="preserve"> de lungă durată, în profil teritorial, pe sexe şi medii</w:t>
      </w:r>
      <w:r w:rsidR="00D7513E" w:rsidRPr="005763E2">
        <w:rPr>
          <w:rFonts w:ascii="Arial" w:hAnsi="Arial" w:cs="Arial"/>
          <w:bCs/>
          <w:sz w:val="24"/>
          <w:szCs w:val="24"/>
          <w:lang w:val="en-US"/>
        </w:rPr>
        <w:t xml:space="preserve">: </w:t>
      </w:r>
      <w:r w:rsidR="006E7C79">
        <w:rPr>
          <w:rFonts w:ascii="Arial" w:hAnsi="Arial" w:cs="Arial"/>
          <w:bCs/>
          <w:sz w:val="24"/>
          <w:szCs w:val="24"/>
          <w:lang w:val="en-US"/>
        </w:rPr>
        <w:t xml:space="preserve">Pe sexe, media ratei </w:t>
      </w:r>
      <w:r w:rsidR="006867E4" w:rsidRPr="005763E2">
        <w:rPr>
          <w:rFonts w:ascii="Arial" w:hAnsi="Arial" w:cs="Arial"/>
          <w:bCs/>
          <w:sz w:val="24"/>
          <w:szCs w:val="24"/>
          <w:lang w:val="en-US"/>
        </w:rPr>
        <w:t>şomajului de lungă durată (12 luni şi peste) este mai mare în cazul bărbaților cu 0,4% față de femei</w:t>
      </w:r>
      <w:r w:rsidR="006E7C79">
        <w:rPr>
          <w:rFonts w:ascii="Arial" w:hAnsi="Arial" w:cs="Arial"/>
          <w:bCs/>
          <w:sz w:val="24"/>
          <w:szCs w:val="24"/>
          <w:lang w:val="en-US"/>
        </w:rPr>
        <w:t>,</w:t>
      </w:r>
      <w:r w:rsidR="006867E4" w:rsidRPr="005763E2">
        <w:rPr>
          <w:rFonts w:ascii="Arial" w:hAnsi="Arial" w:cs="Arial"/>
          <w:bCs/>
          <w:sz w:val="24"/>
          <w:szCs w:val="24"/>
          <w:lang w:val="en-US"/>
        </w:rPr>
        <w:t xml:space="preserve"> unde  este de  1,8%. Aproximativ aceeași situație se observă și în cazul mediilor de rezidență (urban 2,31% și rural 1,8%).</w:t>
      </w:r>
    </w:p>
    <w:p w:rsidR="006867E4" w:rsidRPr="005763E2" w:rsidRDefault="006867E4" w:rsidP="00FC7199">
      <w:pPr>
        <w:spacing w:after="0" w:line="240" w:lineRule="auto"/>
        <w:jc w:val="both"/>
        <w:rPr>
          <w:rFonts w:ascii="Arial" w:hAnsi="Arial" w:cs="Arial"/>
          <w:sz w:val="24"/>
          <w:szCs w:val="24"/>
        </w:rPr>
      </w:pPr>
      <w:r w:rsidRPr="005763E2">
        <w:rPr>
          <w:rFonts w:ascii="Arial" w:hAnsi="Arial" w:cs="Arial"/>
          <w:bCs/>
          <w:sz w:val="24"/>
          <w:szCs w:val="24"/>
          <w:lang w:val="en-US"/>
        </w:rPr>
        <w:t xml:space="preserve">Rata şomajului de lungă durată pentru tineri (6 luni şi peste) de sex masculin prezintă o evoluție oscilantă cu valoarea cea mai ridacată 15,2% în 2014. Evoluția oscilantă se păstrează și în cazul </w:t>
      </w:r>
      <w:r w:rsidR="006E7C79">
        <w:rPr>
          <w:rFonts w:ascii="Arial" w:hAnsi="Arial" w:cs="Arial"/>
          <w:sz w:val="24"/>
          <w:szCs w:val="24"/>
        </w:rPr>
        <w:t xml:space="preserve">şomerilor </w:t>
      </w:r>
      <w:r w:rsidRPr="005763E2">
        <w:rPr>
          <w:rFonts w:ascii="Arial" w:hAnsi="Arial" w:cs="Arial"/>
          <w:sz w:val="24"/>
          <w:szCs w:val="24"/>
        </w:rPr>
        <w:t xml:space="preserve">tineri de lungă durată de sex feminin cu un maxim de 17,2% în 2014. Media șomerilor tineri din mediul urban este de 19,9% mult ridicată față de media din mediul rural 5,8%. </w:t>
      </w:r>
    </w:p>
    <w:p w:rsidR="006867E4" w:rsidRPr="005763E2" w:rsidRDefault="006E7C79" w:rsidP="00FC7199">
      <w:pPr>
        <w:spacing w:after="0" w:line="240" w:lineRule="auto"/>
        <w:jc w:val="both"/>
        <w:rPr>
          <w:rFonts w:ascii="Arial" w:hAnsi="Arial" w:cs="Arial"/>
          <w:bCs/>
          <w:sz w:val="24"/>
          <w:szCs w:val="24"/>
          <w:lang w:val="en-US"/>
        </w:rPr>
      </w:pPr>
      <w:r>
        <w:rPr>
          <w:rFonts w:ascii="Arial" w:hAnsi="Arial" w:cs="Arial"/>
          <w:sz w:val="24"/>
          <w:szCs w:val="24"/>
        </w:rPr>
        <w:t xml:space="preserve">Pe sexe, diferența </w:t>
      </w:r>
      <w:r w:rsidR="006867E4" w:rsidRPr="005763E2">
        <w:rPr>
          <w:rFonts w:ascii="Arial" w:hAnsi="Arial" w:cs="Arial"/>
          <w:sz w:val="24"/>
          <w:szCs w:val="24"/>
        </w:rPr>
        <w:t xml:space="preserve">dintre media </w:t>
      </w:r>
      <w:r>
        <w:rPr>
          <w:rFonts w:ascii="Arial" w:hAnsi="Arial" w:cs="Arial"/>
          <w:bCs/>
          <w:sz w:val="24"/>
          <w:szCs w:val="24"/>
          <w:lang w:val="en-US"/>
        </w:rPr>
        <w:t xml:space="preserve">incidenţei </w:t>
      </w:r>
      <w:r w:rsidR="006867E4" w:rsidRPr="005763E2">
        <w:rPr>
          <w:rFonts w:ascii="Arial" w:hAnsi="Arial" w:cs="Arial"/>
          <w:bCs/>
          <w:sz w:val="24"/>
          <w:szCs w:val="24"/>
          <w:lang w:val="en-US"/>
        </w:rPr>
        <w:t xml:space="preserve">şomajului de lungă durată (12 luni şi peste) </w:t>
      </w:r>
      <w:r w:rsidR="006867E4" w:rsidRPr="005763E2">
        <w:rPr>
          <w:rFonts w:ascii="Arial" w:hAnsi="Arial" w:cs="Arial"/>
          <w:sz w:val="24"/>
          <w:szCs w:val="24"/>
        </w:rPr>
        <w:t>a fost de 1,71 puncte procentuale (40,2 % la bărbaţi faţă de 38,4 % la femei), iar pe medii de rezidenţă de 3,3 puncte procentuale (38,6% în urban faţă de 41,9 % în rural).</w:t>
      </w:r>
    </w:p>
    <w:p w:rsidR="006867E4" w:rsidRPr="005763E2" w:rsidRDefault="006867E4" w:rsidP="00FC7199">
      <w:pPr>
        <w:spacing w:after="0" w:line="240" w:lineRule="auto"/>
        <w:jc w:val="both"/>
        <w:rPr>
          <w:rFonts w:ascii="Arial" w:hAnsi="Arial" w:cs="Arial"/>
          <w:sz w:val="24"/>
          <w:szCs w:val="24"/>
        </w:rPr>
      </w:pPr>
      <w:r w:rsidRPr="005763E2">
        <w:rPr>
          <w:rFonts w:ascii="Arial" w:hAnsi="Arial" w:cs="Arial"/>
          <w:bCs/>
          <w:sz w:val="24"/>
          <w:szCs w:val="24"/>
          <w:lang w:val="en-US"/>
        </w:rPr>
        <w:lastRenderedPageBreak/>
        <w:t>Analizând incidenţa şomajului de lungă durată pentru tineri (6 luni şi peste)</w:t>
      </w:r>
      <w:r w:rsidRPr="005763E2">
        <w:rPr>
          <w:rFonts w:ascii="Arial" w:hAnsi="Arial" w:cs="Arial"/>
          <w:b/>
          <w:bCs/>
          <w:sz w:val="24"/>
          <w:szCs w:val="24"/>
          <w:lang w:val="en-US"/>
        </w:rPr>
        <w:t xml:space="preserve"> </w:t>
      </w:r>
      <w:r w:rsidRPr="005763E2">
        <w:rPr>
          <w:rFonts w:ascii="Arial" w:hAnsi="Arial" w:cs="Arial"/>
          <w:bCs/>
          <w:sz w:val="24"/>
          <w:szCs w:val="24"/>
          <w:lang w:val="en-US"/>
        </w:rPr>
        <w:t>se observă că</w:t>
      </w:r>
      <w:r w:rsidRPr="005763E2">
        <w:rPr>
          <w:rFonts w:ascii="Arial" w:hAnsi="Arial" w:cs="Arial"/>
          <w:b/>
          <w:bCs/>
          <w:sz w:val="24"/>
          <w:szCs w:val="24"/>
          <w:lang w:val="en-US"/>
        </w:rPr>
        <w:t xml:space="preserve"> </w:t>
      </w:r>
      <w:r w:rsidRPr="005763E2">
        <w:rPr>
          <w:rFonts w:ascii="Arial" w:hAnsi="Arial" w:cs="Arial"/>
          <w:bCs/>
          <w:sz w:val="24"/>
          <w:szCs w:val="24"/>
          <w:lang w:val="en-US"/>
        </w:rPr>
        <w:t xml:space="preserve">diferența dintre valorile medii la bărbați (61,5%) și femei (61,33%) este nesemnificativă. </w:t>
      </w:r>
      <w:r w:rsidRPr="005763E2">
        <w:rPr>
          <w:rFonts w:ascii="Arial" w:hAnsi="Arial" w:cs="Arial"/>
          <w:sz w:val="24"/>
          <w:szCs w:val="24"/>
        </w:rPr>
        <w:t xml:space="preserve">Media </w:t>
      </w:r>
      <w:r w:rsidRPr="005763E2">
        <w:rPr>
          <w:rFonts w:ascii="Arial" w:hAnsi="Arial" w:cs="Arial"/>
          <w:bCs/>
          <w:sz w:val="24"/>
          <w:szCs w:val="24"/>
          <w:lang w:val="en-US"/>
        </w:rPr>
        <w:t>incidenţei şomajului de lungă durată pentru tineri (6 luni şi peste)</w:t>
      </w:r>
      <w:r w:rsidRPr="005763E2">
        <w:rPr>
          <w:rFonts w:ascii="Arial" w:hAnsi="Arial" w:cs="Arial"/>
          <w:b/>
          <w:bCs/>
          <w:sz w:val="24"/>
          <w:szCs w:val="24"/>
          <w:lang w:val="en-US"/>
        </w:rPr>
        <w:t xml:space="preserve"> </w:t>
      </w:r>
      <w:r w:rsidRPr="005763E2">
        <w:rPr>
          <w:rFonts w:ascii="Arial" w:hAnsi="Arial" w:cs="Arial"/>
          <w:bCs/>
          <w:sz w:val="24"/>
          <w:szCs w:val="24"/>
          <w:lang w:val="en-US"/>
        </w:rPr>
        <w:t>din mediul urban</w:t>
      </w:r>
      <w:r w:rsidRPr="005763E2">
        <w:rPr>
          <w:rFonts w:ascii="Arial" w:hAnsi="Arial" w:cs="Arial"/>
          <w:b/>
          <w:bCs/>
          <w:sz w:val="24"/>
          <w:szCs w:val="24"/>
          <w:lang w:val="en-US"/>
        </w:rPr>
        <w:t xml:space="preserve"> </w:t>
      </w:r>
      <w:r w:rsidRPr="005763E2">
        <w:rPr>
          <w:rFonts w:ascii="Arial" w:hAnsi="Arial" w:cs="Arial"/>
          <w:sz w:val="24"/>
          <w:szCs w:val="24"/>
        </w:rPr>
        <w:t xml:space="preserve">este de 67,5% mult ridicată față de media din mediul rural 45,33%. </w:t>
      </w:r>
    </w:p>
    <w:p w:rsidR="001937AF" w:rsidRPr="00DD5F85" w:rsidRDefault="001937AF" w:rsidP="000C6A67">
      <w:pPr>
        <w:pStyle w:val="BodyTextIndent3"/>
        <w:tabs>
          <w:tab w:val="num" w:pos="2520"/>
        </w:tabs>
        <w:spacing w:after="0"/>
        <w:ind w:left="0"/>
        <w:jc w:val="both"/>
        <w:rPr>
          <w:rFonts w:ascii="Arial" w:hAnsi="Arial" w:cs="Arial"/>
          <w:sz w:val="24"/>
          <w:szCs w:val="24"/>
          <w:lang w:eastAsia="ro-RO"/>
        </w:rPr>
      </w:pPr>
    </w:p>
    <w:p w:rsidR="00D45E55" w:rsidRPr="005763E2" w:rsidRDefault="00AF2F7A" w:rsidP="000C6A67">
      <w:pPr>
        <w:pStyle w:val="BodyTextIndent3"/>
        <w:tabs>
          <w:tab w:val="num" w:pos="2520"/>
        </w:tabs>
        <w:spacing w:after="0"/>
        <w:ind w:left="0"/>
        <w:jc w:val="both"/>
        <w:outlineLvl w:val="1"/>
        <w:rPr>
          <w:rFonts w:ascii="Arial" w:hAnsi="Arial" w:cs="Arial"/>
          <w:b/>
          <w:sz w:val="24"/>
          <w:szCs w:val="24"/>
          <w:lang w:eastAsia="ro-RO"/>
        </w:rPr>
      </w:pPr>
      <w:bookmarkStart w:id="69" w:name="_Toc488066040"/>
      <w:r w:rsidRPr="005763E2">
        <w:rPr>
          <w:rFonts w:ascii="Arial" w:hAnsi="Arial" w:cs="Arial"/>
          <w:b/>
          <w:sz w:val="24"/>
          <w:szCs w:val="24"/>
          <w:lang w:eastAsia="ro-RO"/>
        </w:rPr>
        <w:t>5</w:t>
      </w:r>
      <w:r w:rsidR="00D45E55" w:rsidRPr="005763E2">
        <w:rPr>
          <w:rFonts w:ascii="Arial" w:hAnsi="Arial" w:cs="Arial"/>
          <w:b/>
          <w:sz w:val="24"/>
          <w:szCs w:val="24"/>
          <w:lang w:eastAsia="ro-RO"/>
        </w:rPr>
        <w:t>.2. Evoluţii şi situaţia curentă - principalii  indicatori ai pieţei muncii conform balanţei forţei de muncă (BFM)</w:t>
      </w:r>
      <w:bookmarkEnd w:id="69"/>
    </w:p>
    <w:p w:rsidR="00AF2F7A" w:rsidRPr="005763E2" w:rsidRDefault="00AF2F7A" w:rsidP="000C6A67">
      <w:pPr>
        <w:pStyle w:val="BodyTextIndent3"/>
        <w:tabs>
          <w:tab w:val="num" w:pos="2520"/>
        </w:tabs>
        <w:spacing w:after="0"/>
        <w:ind w:left="0"/>
        <w:jc w:val="both"/>
        <w:rPr>
          <w:rFonts w:ascii="Arial" w:hAnsi="Arial" w:cs="Arial"/>
          <w:sz w:val="24"/>
          <w:szCs w:val="24"/>
          <w:lang w:eastAsia="ro-RO"/>
        </w:rPr>
      </w:pPr>
    </w:p>
    <w:p w:rsidR="00AF2F7A" w:rsidRPr="006E7C79" w:rsidRDefault="00AF2F7A" w:rsidP="000C6A67">
      <w:pPr>
        <w:pStyle w:val="BodyTextIndent3"/>
        <w:tabs>
          <w:tab w:val="num" w:pos="2520"/>
        </w:tabs>
        <w:spacing w:after="0"/>
        <w:ind w:left="0"/>
        <w:jc w:val="both"/>
        <w:outlineLvl w:val="2"/>
        <w:rPr>
          <w:rFonts w:ascii="Arial" w:hAnsi="Arial" w:cs="Arial"/>
          <w:i/>
          <w:sz w:val="24"/>
          <w:szCs w:val="24"/>
          <w:lang w:eastAsia="ro-RO"/>
        </w:rPr>
      </w:pPr>
      <w:bookmarkStart w:id="70" w:name="_Toc488066041"/>
      <w:r w:rsidRPr="006E7C79">
        <w:rPr>
          <w:rFonts w:ascii="Arial" w:hAnsi="Arial" w:cs="Arial"/>
          <w:i/>
          <w:sz w:val="24"/>
          <w:szCs w:val="24"/>
          <w:lang w:eastAsia="ro-RO"/>
        </w:rPr>
        <w:t>5</w:t>
      </w:r>
      <w:r w:rsidR="00D45E55" w:rsidRPr="006E7C79">
        <w:rPr>
          <w:rFonts w:ascii="Arial" w:hAnsi="Arial" w:cs="Arial"/>
          <w:i/>
          <w:sz w:val="24"/>
          <w:szCs w:val="24"/>
          <w:lang w:eastAsia="ro-RO"/>
        </w:rPr>
        <w:t xml:space="preserve">.2.1. </w:t>
      </w:r>
      <w:r w:rsidR="00F7434B" w:rsidRPr="006E7C79">
        <w:rPr>
          <w:rFonts w:ascii="Arial" w:hAnsi="Arial" w:cs="Arial"/>
          <w:i/>
          <w:sz w:val="24"/>
          <w:szCs w:val="24"/>
          <w:lang w:eastAsia="ro-RO"/>
        </w:rPr>
        <w:t>Structura populaţiei</w:t>
      </w:r>
      <w:r w:rsidR="00D45E55" w:rsidRPr="006E7C79">
        <w:rPr>
          <w:rFonts w:ascii="Arial" w:hAnsi="Arial" w:cs="Arial"/>
          <w:i/>
          <w:sz w:val="24"/>
          <w:szCs w:val="24"/>
          <w:lang w:eastAsia="ro-RO"/>
        </w:rPr>
        <w:t xml:space="preserve"> după participarea la activitatea economică</w:t>
      </w:r>
      <w:r w:rsidR="000C25BD" w:rsidRPr="006E7C79">
        <w:rPr>
          <w:rStyle w:val="FootnoteReference"/>
          <w:rFonts w:ascii="Arial" w:hAnsi="Arial" w:cs="Arial"/>
          <w:i/>
          <w:sz w:val="24"/>
          <w:szCs w:val="24"/>
          <w:lang w:eastAsia="ro-RO"/>
        </w:rPr>
        <w:footnoteReference w:id="35"/>
      </w:r>
      <w:bookmarkEnd w:id="70"/>
    </w:p>
    <w:p w:rsidR="006867E4" w:rsidRPr="005763E2" w:rsidRDefault="006867E4" w:rsidP="000C6A67">
      <w:pPr>
        <w:spacing w:after="0" w:line="240" w:lineRule="auto"/>
        <w:jc w:val="both"/>
        <w:rPr>
          <w:rFonts w:ascii="Arial" w:hAnsi="Arial" w:cs="Arial"/>
          <w:bCs/>
          <w:sz w:val="24"/>
          <w:szCs w:val="24"/>
        </w:rPr>
      </w:pPr>
      <w:r w:rsidRPr="006E7C79">
        <w:rPr>
          <w:rFonts w:ascii="Arial" w:hAnsi="Arial" w:cs="Arial"/>
          <w:bCs/>
          <w:i/>
          <w:sz w:val="24"/>
          <w:szCs w:val="24"/>
        </w:rPr>
        <w:t>5.2.1.1.Principalii indicatori ai forţei de muncă, conform Balanţei Forţei de Muncă (BFM) la nivel naţional şi regional</w:t>
      </w:r>
      <w:r w:rsidRPr="005763E2">
        <w:rPr>
          <w:rFonts w:ascii="Arial" w:hAnsi="Arial" w:cs="Arial"/>
          <w:bCs/>
          <w:sz w:val="24"/>
          <w:szCs w:val="24"/>
        </w:rPr>
        <w:t xml:space="preserve"> </w:t>
      </w:r>
      <w:r w:rsidR="006E7C79">
        <w:rPr>
          <w:rFonts w:ascii="Arial" w:hAnsi="Arial" w:cs="Arial"/>
          <w:bCs/>
          <w:sz w:val="24"/>
          <w:szCs w:val="24"/>
        </w:rPr>
        <w:t xml:space="preserve">. </w:t>
      </w:r>
      <w:r w:rsidRPr="005763E2">
        <w:rPr>
          <w:rFonts w:ascii="Arial" w:hAnsi="Arial" w:cs="Arial"/>
          <w:bCs/>
          <w:sz w:val="24"/>
          <w:szCs w:val="24"/>
        </w:rPr>
        <w:t>Resursele de muncă (mii persoane) înregistrează o ev</w:t>
      </w:r>
      <w:r w:rsidR="006E7C79">
        <w:rPr>
          <w:rFonts w:ascii="Arial" w:hAnsi="Arial" w:cs="Arial"/>
          <w:bCs/>
          <w:sz w:val="24"/>
          <w:szCs w:val="24"/>
        </w:rPr>
        <w:t xml:space="preserve">oluție negativă, scăzând de la </w:t>
      </w:r>
      <w:r w:rsidRPr="005763E2">
        <w:rPr>
          <w:rFonts w:ascii="Arial" w:hAnsi="Arial" w:cs="Arial"/>
          <w:bCs/>
          <w:sz w:val="24"/>
          <w:szCs w:val="24"/>
        </w:rPr>
        <w:t>1203,4 în 2002 la 1176,8 în 2016 și plasează Regiunea Vest pe ultimul loc la nivel național cu  9,07% din media națională. În ceea ce privește indicatorul rata șomajului înregistrat</w:t>
      </w:r>
      <w:r w:rsidR="00BF46D2">
        <w:rPr>
          <w:rFonts w:ascii="Arial" w:hAnsi="Arial" w:cs="Arial"/>
          <w:bCs/>
          <w:sz w:val="24"/>
          <w:szCs w:val="24"/>
        </w:rPr>
        <w:t>,</w:t>
      </w:r>
      <w:r w:rsidRPr="005763E2">
        <w:rPr>
          <w:rFonts w:ascii="Arial" w:hAnsi="Arial" w:cs="Arial"/>
          <w:bCs/>
          <w:sz w:val="24"/>
          <w:szCs w:val="24"/>
        </w:rPr>
        <w:t xml:space="preserve"> regiunea are cele mai bune valori, imediat după București – Ilfov. Menționăm că numărul șomerilor a scăzut de la 57.307 persoane în 2002 la 29.248 persoane în 2016. Evoluția este </w:t>
      </w:r>
      <w:r w:rsidR="00BF46D2">
        <w:rPr>
          <w:rFonts w:ascii="Arial" w:hAnsi="Arial" w:cs="Arial"/>
          <w:bCs/>
          <w:sz w:val="24"/>
          <w:szCs w:val="24"/>
        </w:rPr>
        <w:t xml:space="preserve">una </w:t>
      </w:r>
      <w:r w:rsidRPr="005763E2">
        <w:rPr>
          <w:rFonts w:ascii="Arial" w:hAnsi="Arial" w:cs="Arial"/>
          <w:bCs/>
          <w:sz w:val="24"/>
          <w:szCs w:val="24"/>
        </w:rPr>
        <w:t xml:space="preserve">oscilantă, cu o rata a șomajului sub 4% în ultimii ani. </w:t>
      </w:r>
    </w:p>
    <w:p w:rsidR="006867E4" w:rsidRPr="00B309E0" w:rsidRDefault="002163FD" w:rsidP="000C6A67">
      <w:pPr>
        <w:spacing w:after="0" w:line="240" w:lineRule="auto"/>
        <w:jc w:val="both"/>
        <w:rPr>
          <w:rFonts w:ascii="Arial" w:hAnsi="Arial" w:cs="Arial"/>
          <w:sz w:val="24"/>
          <w:szCs w:val="24"/>
        </w:rPr>
      </w:pPr>
      <w:r w:rsidRPr="002163FD">
        <w:rPr>
          <w:rFonts w:ascii="Arial" w:hAnsi="Arial" w:cs="Arial"/>
          <w:bCs/>
          <w:i/>
          <w:sz w:val="24"/>
          <w:szCs w:val="24"/>
          <w:lang w:val="en-US"/>
        </w:rPr>
        <w:t>5.2.1.2.</w:t>
      </w:r>
      <w:r>
        <w:rPr>
          <w:rFonts w:ascii="Arial" w:hAnsi="Arial" w:cs="Arial"/>
          <w:bCs/>
          <w:i/>
          <w:sz w:val="24"/>
          <w:szCs w:val="24"/>
          <w:lang w:val="en-US"/>
        </w:rPr>
        <w:t xml:space="preserve"> </w:t>
      </w:r>
      <w:r w:rsidR="006867E4" w:rsidRPr="002163FD">
        <w:rPr>
          <w:rFonts w:ascii="Arial" w:hAnsi="Arial" w:cs="Arial"/>
          <w:bCs/>
          <w:i/>
          <w:sz w:val="24"/>
          <w:szCs w:val="24"/>
          <w:lang w:val="en-US"/>
        </w:rPr>
        <w:t>Principalii indicatori ai forţei</w:t>
      </w:r>
      <w:r w:rsidR="00724EFF" w:rsidRPr="002163FD">
        <w:rPr>
          <w:rFonts w:ascii="Arial" w:hAnsi="Arial" w:cs="Arial"/>
          <w:bCs/>
          <w:i/>
          <w:sz w:val="24"/>
          <w:szCs w:val="24"/>
          <w:lang w:val="en-US"/>
        </w:rPr>
        <w:t xml:space="preserve"> de muncă </w:t>
      </w:r>
      <w:r w:rsidR="006867E4" w:rsidRPr="002163FD">
        <w:rPr>
          <w:rFonts w:ascii="Arial" w:hAnsi="Arial" w:cs="Arial"/>
          <w:bCs/>
          <w:i/>
          <w:sz w:val="24"/>
          <w:szCs w:val="24"/>
          <w:lang w:val="en-US"/>
        </w:rPr>
        <w:t>conform Balanţei Forţei de Muncă (BFM</w:t>
      </w:r>
      <w:r w:rsidR="00724EFF" w:rsidRPr="002163FD">
        <w:rPr>
          <w:rFonts w:ascii="Arial" w:hAnsi="Arial" w:cs="Arial"/>
          <w:bCs/>
          <w:i/>
          <w:sz w:val="24"/>
          <w:szCs w:val="24"/>
          <w:lang w:val="en-US"/>
        </w:rPr>
        <w:t>) la nivel regional şi judeţean</w:t>
      </w:r>
      <w:r w:rsidR="00724EFF">
        <w:rPr>
          <w:rFonts w:ascii="Arial" w:hAnsi="Arial" w:cs="Arial"/>
          <w:bCs/>
          <w:sz w:val="24"/>
          <w:szCs w:val="24"/>
          <w:lang w:val="en-US"/>
        </w:rPr>
        <w:t xml:space="preserve">. </w:t>
      </w:r>
      <w:r w:rsidR="006867E4" w:rsidRPr="005763E2">
        <w:rPr>
          <w:rFonts w:ascii="Arial" w:hAnsi="Arial" w:cs="Arial"/>
          <w:sz w:val="24"/>
          <w:szCs w:val="24"/>
        </w:rPr>
        <w:t>Începând cu anul 2010,  la  nivelul Regiunii Vest,  resursele de muncă au scăzut de la 1275</w:t>
      </w:r>
      <w:r w:rsidR="006867E4" w:rsidRPr="00B309E0">
        <w:rPr>
          <w:rFonts w:ascii="Arial" w:hAnsi="Arial" w:cs="Arial"/>
          <w:sz w:val="24"/>
          <w:szCs w:val="24"/>
        </w:rPr>
        <w:t>,3 mii persoane la 1176,8 mii persoane în 2014.  În anul 2014, judetul Timiş are numărul cel mai mare de persoane active din regiune 4473,4 mii persoane, urmat de județul Hunedoara cu 256,4 mii persoane iar cel mai scăzut număr se regăseşte în județul  Caraş-Severin 176,4 mii persoane</w:t>
      </w:r>
      <w:r w:rsidR="006867E4" w:rsidRPr="00B309E0">
        <w:rPr>
          <w:rFonts w:ascii="Arial" w:hAnsi="Arial" w:cs="Arial"/>
          <w:i/>
          <w:sz w:val="24"/>
          <w:szCs w:val="24"/>
        </w:rPr>
        <w:t>.</w:t>
      </w:r>
      <w:r w:rsidR="006867E4" w:rsidRPr="00B309E0">
        <w:rPr>
          <w:rFonts w:ascii="Arial" w:hAnsi="Arial" w:cs="Arial"/>
          <w:sz w:val="24"/>
          <w:szCs w:val="24"/>
        </w:rPr>
        <w:t xml:space="preserve"> Judeţul Timiş a avut cel mai mare număr 336,2 mii persoane ocupate, urmat de judeţul Arad cu 212,1 mii iar ultimul loc este ocupat de județul Caraş-Severin cu 112,1 mii persoane. </w:t>
      </w:r>
    </w:p>
    <w:p w:rsidR="006867E4" w:rsidRPr="00B309E0" w:rsidRDefault="006867E4" w:rsidP="000C6A67">
      <w:pPr>
        <w:spacing w:after="0" w:line="240" w:lineRule="auto"/>
        <w:jc w:val="both"/>
        <w:rPr>
          <w:rFonts w:ascii="Arial" w:hAnsi="Arial" w:cs="Arial"/>
          <w:sz w:val="24"/>
          <w:szCs w:val="24"/>
        </w:rPr>
      </w:pPr>
      <w:r w:rsidRPr="00B309E0">
        <w:rPr>
          <w:rFonts w:ascii="Arial" w:hAnsi="Arial" w:cs="Arial"/>
          <w:sz w:val="24"/>
          <w:szCs w:val="24"/>
        </w:rPr>
        <w:t>La nivelul anului 2015, numărul cel mai reprezentativ al șomerilor înregistrați l-a avut judeţul Hunedoara 11.339 persoane,  iar cel mai redus număr s-a  regăsit la judeţul Timiş 4.329  persoane. Populaţia în pregătire profesională şi alte categorii de populaţie în vârstă de muncă a fost  în judeţul Timiş 131,8 mii urmat de județul Hunedoara cu 67,0  mii.</w:t>
      </w:r>
    </w:p>
    <w:p w:rsidR="006867E4" w:rsidRPr="00B309E0" w:rsidRDefault="006867E4" w:rsidP="000C6A67">
      <w:pPr>
        <w:spacing w:after="0" w:line="240" w:lineRule="auto"/>
        <w:jc w:val="both"/>
        <w:rPr>
          <w:rFonts w:ascii="Arial" w:hAnsi="Arial" w:cs="Arial"/>
          <w:sz w:val="24"/>
          <w:szCs w:val="24"/>
        </w:rPr>
      </w:pPr>
      <w:r w:rsidRPr="00B309E0">
        <w:rPr>
          <w:rFonts w:ascii="Arial" w:hAnsi="Arial" w:cs="Arial"/>
          <w:sz w:val="24"/>
          <w:szCs w:val="24"/>
        </w:rPr>
        <w:t>Rata de ocupare a resurselor de muncă a atins valori ridicate în județul Arad  78,4%, urmat de județul Timiș cu  71 % iar cea mai redusă valoare s-a înregistrat în județul  Caraş-Severin 63,5%.</w:t>
      </w:r>
    </w:p>
    <w:p w:rsidR="006867E4" w:rsidRPr="00B309E0" w:rsidRDefault="006867E4" w:rsidP="000C6A67">
      <w:pPr>
        <w:spacing w:after="0" w:line="240" w:lineRule="auto"/>
        <w:jc w:val="both"/>
        <w:rPr>
          <w:rFonts w:ascii="Arial" w:hAnsi="Arial" w:cs="Arial"/>
          <w:sz w:val="24"/>
          <w:szCs w:val="24"/>
        </w:rPr>
      </w:pPr>
      <w:r w:rsidRPr="00B309E0">
        <w:rPr>
          <w:rFonts w:ascii="Arial" w:hAnsi="Arial" w:cs="Arial"/>
          <w:sz w:val="24"/>
          <w:szCs w:val="24"/>
        </w:rPr>
        <w:t>Rata şomajului înregistrat pe Regiunea Vest a fost cu 2 puncte procentuale  mai scăzută  decât cea pe România 5,4%. Cea mai mică  rată a şomajului (în 2014) de 1,6 % s-a înregistrat în județul Timiș, urmat de județul Arad 2,8% iar rate mai mari s-au înregistrat în Hunedoara 6,6%  urmat de Caraș -Severin 4,5</w:t>
      </w:r>
      <w:r w:rsidRPr="00B309E0">
        <w:rPr>
          <w:rFonts w:ascii="Arial" w:hAnsi="Arial" w:cs="Arial"/>
          <w:i/>
          <w:sz w:val="24"/>
          <w:szCs w:val="24"/>
        </w:rPr>
        <w:t>%</w:t>
      </w:r>
      <w:r w:rsidRPr="00B309E0">
        <w:rPr>
          <w:rFonts w:ascii="Arial" w:hAnsi="Arial" w:cs="Arial"/>
          <w:sz w:val="24"/>
          <w:szCs w:val="24"/>
        </w:rPr>
        <w:t>.</w:t>
      </w:r>
    </w:p>
    <w:p w:rsidR="001937AF" w:rsidRPr="00D7513E" w:rsidRDefault="006867E4" w:rsidP="002163FD">
      <w:pPr>
        <w:spacing w:after="240" w:line="240" w:lineRule="auto"/>
        <w:jc w:val="both"/>
        <w:rPr>
          <w:rFonts w:ascii="Arial" w:hAnsi="Arial" w:cs="Arial"/>
          <w:sz w:val="24"/>
          <w:szCs w:val="24"/>
        </w:rPr>
      </w:pPr>
      <w:r w:rsidRPr="00B309E0">
        <w:rPr>
          <w:rFonts w:ascii="Arial" w:hAnsi="Arial" w:cs="Arial"/>
          <w:sz w:val="24"/>
          <w:szCs w:val="24"/>
        </w:rPr>
        <w:t>Pentru întreaga perioadă se înregistrează o tendință de scădere a ratei șomajului, un semn al revigorării pieței muncii, ajungând la valori critice pentru acest indicator, fiind necesară deschiderea pieței și pen</w:t>
      </w:r>
      <w:r w:rsidR="00D7513E">
        <w:rPr>
          <w:rFonts w:ascii="Arial" w:hAnsi="Arial" w:cs="Arial"/>
          <w:sz w:val="24"/>
          <w:szCs w:val="24"/>
        </w:rPr>
        <w:t>tru muncitori din alte regiuni.</w:t>
      </w:r>
    </w:p>
    <w:p w:rsidR="006867E4" w:rsidRPr="005763E2" w:rsidRDefault="00AF2F7A" w:rsidP="002163FD">
      <w:pPr>
        <w:spacing w:after="0" w:line="240" w:lineRule="auto"/>
        <w:jc w:val="both"/>
        <w:rPr>
          <w:rFonts w:ascii="Arial" w:hAnsi="Arial" w:cs="Arial"/>
          <w:sz w:val="24"/>
          <w:szCs w:val="24"/>
        </w:rPr>
      </w:pPr>
      <w:r w:rsidRPr="002163FD">
        <w:rPr>
          <w:rFonts w:ascii="Arial" w:hAnsi="Arial" w:cs="Arial"/>
          <w:i/>
          <w:sz w:val="24"/>
          <w:szCs w:val="24"/>
        </w:rPr>
        <w:t>5</w:t>
      </w:r>
      <w:r w:rsidR="00D45E55" w:rsidRPr="002163FD">
        <w:rPr>
          <w:rFonts w:ascii="Arial" w:hAnsi="Arial" w:cs="Arial"/>
          <w:i/>
          <w:sz w:val="24"/>
          <w:szCs w:val="24"/>
        </w:rPr>
        <w:t>.2.2. Structura populaţiei ocupate civilă pe principalele activităţi ale economiei naţionale</w:t>
      </w:r>
      <w:r w:rsidR="000C25BD" w:rsidRPr="002163FD">
        <w:rPr>
          <w:rFonts w:ascii="Arial" w:hAnsi="Arial" w:cs="Arial"/>
          <w:i/>
          <w:sz w:val="24"/>
          <w:szCs w:val="24"/>
        </w:rPr>
        <w:footnoteReference w:id="36"/>
      </w:r>
      <w:r w:rsidR="002163FD">
        <w:rPr>
          <w:rFonts w:ascii="Arial" w:hAnsi="Arial" w:cs="Arial"/>
          <w:i/>
          <w:sz w:val="24"/>
          <w:szCs w:val="24"/>
        </w:rPr>
        <w:t>.</w:t>
      </w:r>
      <w:r w:rsidR="00D7513E" w:rsidRPr="002163FD">
        <w:rPr>
          <w:rFonts w:ascii="Arial" w:hAnsi="Arial" w:cs="Arial"/>
          <w:i/>
          <w:sz w:val="24"/>
          <w:szCs w:val="24"/>
        </w:rPr>
        <w:t xml:space="preserve"> </w:t>
      </w:r>
      <w:r w:rsidR="006867E4" w:rsidRPr="005763E2">
        <w:rPr>
          <w:rFonts w:ascii="Arial" w:hAnsi="Arial" w:cs="Arial"/>
          <w:sz w:val="24"/>
          <w:szCs w:val="24"/>
        </w:rPr>
        <w:t xml:space="preserve">În perioada analizată, la nivelul Regiunii Vest, cel mai mare număr al populaţiei ocupate (5809,3 mii persoane) se regăseşte în </w:t>
      </w:r>
      <w:r w:rsidR="002163FD">
        <w:rPr>
          <w:rFonts w:ascii="Arial" w:hAnsi="Arial" w:cs="Arial"/>
          <w:sz w:val="24"/>
          <w:szCs w:val="24"/>
        </w:rPr>
        <w:t xml:space="preserve">servicii (2408,3 mii persoane), urmat de industrie (1645,2 </w:t>
      </w:r>
      <w:r w:rsidR="006867E4" w:rsidRPr="005763E2">
        <w:rPr>
          <w:rFonts w:ascii="Arial" w:hAnsi="Arial" w:cs="Arial"/>
          <w:sz w:val="24"/>
          <w:szCs w:val="24"/>
        </w:rPr>
        <w:t>mii persoane) şi apoi de agricultură, silvicultură, pescuit (1410,3 mii persoane). Cele mai scăzute valori ș</w:t>
      </w:r>
      <w:r w:rsidR="002163FD">
        <w:rPr>
          <w:rFonts w:ascii="Arial" w:hAnsi="Arial" w:cs="Arial"/>
          <w:sz w:val="24"/>
          <w:szCs w:val="24"/>
        </w:rPr>
        <w:t xml:space="preserve">i cu tendință de </w:t>
      </w:r>
      <w:r w:rsidR="002163FD">
        <w:rPr>
          <w:rFonts w:ascii="Arial" w:hAnsi="Arial" w:cs="Arial"/>
          <w:sz w:val="24"/>
          <w:szCs w:val="24"/>
        </w:rPr>
        <w:lastRenderedPageBreak/>
        <w:t>descreștere (</w:t>
      </w:r>
      <w:r w:rsidR="006867E4" w:rsidRPr="005763E2">
        <w:rPr>
          <w:rFonts w:ascii="Arial" w:hAnsi="Arial" w:cs="Arial"/>
          <w:sz w:val="24"/>
          <w:szCs w:val="24"/>
        </w:rPr>
        <w:t>corelat cu criza economică) avem în domeniul con</w:t>
      </w:r>
      <w:r w:rsidR="002163FD">
        <w:rPr>
          <w:rFonts w:ascii="Arial" w:hAnsi="Arial" w:cs="Arial"/>
          <w:sz w:val="24"/>
          <w:szCs w:val="24"/>
        </w:rPr>
        <w:t xml:space="preserve">strucții (345,9 mii persoane). </w:t>
      </w:r>
      <w:r w:rsidR="006867E4" w:rsidRPr="005763E2">
        <w:rPr>
          <w:rFonts w:ascii="Arial" w:hAnsi="Arial" w:cs="Arial"/>
          <w:sz w:val="24"/>
          <w:szCs w:val="24"/>
        </w:rPr>
        <w:t>La nivel național se păstrează aceeași tendință în ceea ce privest</w:t>
      </w:r>
      <w:r w:rsidR="000D3F81">
        <w:rPr>
          <w:rFonts w:ascii="Arial" w:hAnsi="Arial" w:cs="Arial"/>
          <w:sz w:val="24"/>
          <w:szCs w:val="24"/>
        </w:rPr>
        <w:t xml:space="preserve">e serviciile și construcțiile. </w:t>
      </w:r>
      <w:r w:rsidR="006867E4" w:rsidRPr="005763E2">
        <w:rPr>
          <w:rFonts w:ascii="Arial" w:hAnsi="Arial" w:cs="Arial"/>
          <w:sz w:val="24"/>
          <w:szCs w:val="24"/>
        </w:rPr>
        <w:t>Se constată  următoarel</w:t>
      </w:r>
      <w:r w:rsidR="00C451C0">
        <w:rPr>
          <w:rFonts w:ascii="Arial" w:hAnsi="Arial" w:cs="Arial"/>
          <w:sz w:val="24"/>
          <w:szCs w:val="24"/>
        </w:rPr>
        <w:t>e</w:t>
      </w:r>
      <w:r w:rsidR="000D3F81">
        <w:rPr>
          <w:rFonts w:ascii="Arial" w:hAnsi="Arial" w:cs="Arial"/>
          <w:sz w:val="24"/>
          <w:szCs w:val="24"/>
        </w:rPr>
        <w:t xml:space="preserve">: </w:t>
      </w:r>
      <w:r w:rsidR="006867E4" w:rsidRPr="005763E2">
        <w:rPr>
          <w:rFonts w:ascii="Arial" w:hAnsi="Arial" w:cs="Arial"/>
          <w:sz w:val="24"/>
          <w:szCs w:val="24"/>
        </w:rPr>
        <w:t>cel mai mare număr al populaţiei ocupate (59426,4 mii persoane) se regăseşte în servicii (21855,1 mii persoane), urmat de agricultură, silvicultură, pescuit (16894,2 mii persoane) şi apoi de industrie (12566,9 mii persoane) pe ultimul loc situându-se construcțiile (4422,2 mii persoane). Analizând evoluţia populaţiei ocupate în regiunea Vest în perioada 2008 – 2014 se constată următoarele:</w:t>
      </w:r>
    </w:p>
    <w:p w:rsidR="006867E4" w:rsidRPr="005763E2" w:rsidRDefault="006867E4" w:rsidP="002163FD">
      <w:pPr>
        <w:spacing w:after="0" w:line="240" w:lineRule="auto"/>
        <w:jc w:val="both"/>
        <w:rPr>
          <w:rFonts w:ascii="Arial" w:hAnsi="Arial" w:cs="Arial"/>
          <w:sz w:val="24"/>
          <w:szCs w:val="24"/>
        </w:rPr>
      </w:pPr>
      <w:r w:rsidRPr="005763E2">
        <w:rPr>
          <w:rFonts w:ascii="Arial" w:hAnsi="Arial" w:cs="Arial"/>
          <w:b/>
          <w:sz w:val="24"/>
          <w:szCs w:val="24"/>
        </w:rPr>
        <w:t>Serviciile -</w:t>
      </w:r>
      <w:r w:rsidRPr="005763E2">
        <w:rPr>
          <w:rFonts w:ascii="Arial" w:hAnsi="Arial" w:cs="Arial"/>
          <w:sz w:val="24"/>
          <w:szCs w:val="24"/>
        </w:rPr>
        <w:t xml:space="preserve"> la nivel naţional, în perioada analizată s-a înregistrat o creștere a ratei  populaţiei ocupate. În anul 2008 ponderea populaţiei ocupate din acest domeniu de activitate reprezenta  41,9 % din totalul populaţie</w:t>
      </w:r>
      <w:r w:rsidR="000D3F81">
        <w:rPr>
          <w:rFonts w:ascii="Arial" w:hAnsi="Arial" w:cs="Arial"/>
          <w:sz w:val="24"/>
          <w:szCs w:val="24"/>
        </w:rPr>
        <w:t>i</w:t>
      </w:r>
      <w:r w:rsidRPr="005763E2">
        <w:rPr>
          <w:rFonts w:ascii="Arial" w:hAnsi="Arial" w:cs="Arial"/>
          <w:sz w:val="24"/>
          <w:szCs w:val="24"/>
        </w:rPr>
        <w:t xml:space="preserve"> ocupate iar în anul 2014 această pondere a atins valoarea de 44,1%.</w:t>
      </w:r>
      <w:r w:rsidR="00B820DD">
        <w:rPr>
          <w:rFonts w:ascii="Arial" w:hAnsi="Arial" w:cs="Arial"/>
          <w:sz w:val="24"/>
          <w:szCs w:val="24"/>
        </w:rPr>
        <w:t xml:space="preserve"> Un </w:t>
      </w:r>
      <w:r w:rsidRPr="005763E2">
        <w:rPr>
          <w:rFonts w:ascii="Arial" w:hAnsi="Arial" w:cs="Arial"/>
          <w:sz w:val="24"/>
          <w:szCs w:val="24"/>
        </w:rPr>
        <w:t>ritm de creştere, dar nu deosebit, se înregistrează şi în Regiunea Vest. Dacă în anul 2008 ponderea populaţiei ocupate din domeniul serviciilor reprezenta 40,7%, în anul 2014 aceasta a ajuns la valoarea de 41,9% însă cea mai mare pondere din perioada analizată a fost în anul 2009 (42,1%).</w:t>
      </w:r>
      <w:r w:rsidR="00D7513E" w:rsidRPr="005763E2">
        <w:rPr>
          <w:rFonts w:ascii="Arial" w:hAnsi="Arial" w:cs="Arial"/>
          <w:sz w:val="24"/>
          <w:szCs w:val="24"/>
        </w:rPr>
        <w:t xml:space="preserve"> </w:t>
      </w:r>
      <w:r w:rsidRPr="005763E2">
        <w:rPr>
          <w:rFonts w:ascii="Arial" w:hAnsi="Arial" w:cs="Arial"/>
          <w:sz w:val="24"/>
          <w:szCs w:val="24"/>
        </w:rPr>
        <w:t xml:space="preserve">Dintre activităţiile acestui  domeniu, cea mai căutată activitate este Comerţ cu ridicata şi cu amănuntul; </w:t>
      </w:r>
      <w:r w:rsidR="00FC1472">
        <w:rPr>
          <w:rFonts w:ascii="Arial" w:hAnsi="Arial" w:cs="Arial"/>
          <w:sz w:val="24"/>
          <w:szCs w:val="24"/>
        </w:rPr>
        <w:t>R</w:t>
      </w:r>
      <w:r w:rsidRPr="005763E2">
        <w:rPr>
          <w:rFonts w:ascii="Arial" w:hAnsi="Arial" w:cs="Arial"/>
          <w:sz w:val="24"/>
          <w:szCs w:val="24"/>
        </w:rPr>
        <w:t>epararea autovehiculelor şi motocicletelor – aceasta activitate fiind desfăşurată, în medie de aproximativ 14,34% din populaţia ocupată în domeniul serviciilor. La polul opus cea mai mică medie a ponderii populaţiei ocupate din domeniul serviciilor o înregistrează activitatea tranzacțiilor imobiliare (0,42%) urmată de intermedieri financiare (0,85%).</w:t>
      </w:r>
    </w:p>
    <w:p w:rsidR="006867E4" w:rsidRPr="005763E2" w:rsidRDefault="006867E4" w:rsidP="002163FD">
      <w:pPr>
        <w:spacing w:after="0" w:line="240" w:lineRule="auto"/>
        <w:jc w:val="both"/>
        <w:rPr>
          <w:rFonts w:ascii="Arial" w:hAnsi="Arial" w:cs="Arial"/>
          <w:sz w:val="24"/>
          <w:szCs w:val="24"/>
        </w:rPr>
      </w:pPr>
      <w:r w:rsidRPr="005763E2">
        <w:rPr>
          <w:rFonts w:ascii="Arial" w:hAnsi="Arial" w:cs="Arial"/>
          <w:b/>
          <w:sz w:val="24"/>
          <w:szCs w:val="24"/>
        </w:rPr>
        <w:t xml:space="preserve">Industria </w:t>
      </w:r>
      <w:r w:rsidRPr="005763E2">
        <w:rPr>
          <w:rFonts w:ascii="Arial" w:hAnsi="Arial" w:cs="Arial"/>
          <w:sz w:val="24"/>
          <w:szCs w:val="24"/>
        </w:rPr>
        <w:t>- la nivel național se remarcă o scădere a ponderii populației ocupate în acest sector de activitate. Evoluția ponderii populației ocupate a oscilat de la  22,7% în 2008 (ce mai mare valoare), la 21,1% în anul 2014  înregistrând o va</w:t>
      </w:r>
      <w:r w:rsidR="00D7513E" w:rsidRPr="005763E2">
        <w:rPr>
          <w:rFonts w:ascii="Arial" w:hAnsi="Arial" w:cs="Arial"/>
          <w:sz w:val="24"/>
          <w:szCs w:val="24"/>
        </w:rPr>
        <w:t xml:space="preserve">lore minimă de 20,6% în 2012. </w:t>
      </w:r>
      <w:r w:rsidRPr="005763E2">
        <w:rPr>
          <w:rFonts w:ascii="Arial" w:hAnsi="Arial" w:cs="Arial"/>
          <w:sz w:val="24"/>
          <w:szCs w:val="24"/>
        </w:rPr>
        <w:t>La nivelul Regiunii Vest, media ponderii populației ocupate în sectorul industrie este mai mare cu  7,17% (28,31%) decât media ponderii populației ocupate la nivel național (21,14%).</w:t>
      </w:r>
      <w:r w:rsidR="00D7513E" w:rsidRPr="005763E2">
        <w:rPr>
          <w:rFonts w:ascii="Arial" w:hAnsi="Arial" w:cs="Arial"/>
          <w:sz w:val="24"/>
          <w:szCs w:val="24"/>
        </w:rPr>
        <w:t xml:space="preserve"> </w:t>
      </w:r>
      <w:r w:rsidRPr="005763E2">
        <w:rPr>
          <w:rFonts w:ascii="Arial" w:hAnsi="Arial" w:cs="Arial"/>
          <w:sz w:val="24"/>
          <w:szCs w:val="24"/>
        </w:rPr>
        <w:t>În întreaga perioadă evaluată, ponderea populaţiei ocupate care îşi desfăşura activitatea în acest sector de activitate a oscilat de la 27,2 % (valoarea cea mai mică înregistrată în anul 2009) la 29,4% (valoarea cea mai mare înregistrată în anul 2014).</w:t>
      </w:r>
      <w:r w:rsidR="00FC1472">
        <w:rPr>
          <w:rFonts w:ascii="Arial" w:hAnsi="Arial" w:cs="Arial"/>
          <w:sz w:val="24"/>
          <w:szCs w:val="24"/>
        </w:rPr>
        <w:t xml:space="preserve"> </w:t>
      </w:r>
      <w:r w:rsidRPr="005763E2">
        <w:rPr>
          <w:rFonts w:ascii="Arial" w:hAnsi="Arial" w:cs="Arial"/>
          <w:sz w:val="24"/>
          <w:szCs w:val="24"/>
        </w:rPr>
        <w:t>Din totalul populaţiei care îşi desfăşoară activitatea în acest domeniu, peste 86% îşi desfăşoară activitatea în industria prelucrătoare, cea mai mică pondere fiind înregistrată în domeniul producţia şi furnizarea de energie electrică şi termică, gaze, apă caldă şi aer condiţionat (26,49%).</w:t>
      </w:r>
    </w:p>
    <w:p w:rsidR="006867E4" w:rsidRPr="00B309E0" w:rsidRDefault="006867E4" w:rsidP="002163FD">
      <w:pPr>
        <w:spacing w:after="0" w:line="240" w:lineRule="auto"/>
        <w:jc w:val="both"/>
        <w:rPr>
          <w:rFonts w:ascii="Arial" w:hAnsi="Arial" w:cs="Arial"/>
          <w:sz w:val="24"/>
          <w:szCs w:val="24"/>
          <w:lang w:val="it-IT"/>
        </w:rPr>
      </w:pPr>
      <w:r w:rsidRPr="005763E2">
        <w:rPr>
          <w:rFonts w:ascii="Arial" w:hAnsi="Arial" w:cs="Arial"/>
          <w:b/>
          <w:sz w:val="24"/>
          <w:szCs w:val="24"/>
          <w:lang w:val="fr-FR"/>
        </w:rPr>
        <w:t>Agricultură silvicultură şi pescuit –</w:t>
      </w:r>
      <w:r w:rsidRPr="00B309E0">
        <w:rPr>
          <w:rFonts w:ascii="Arial" w:hAnsi="Arial" w:cs="Arial"/>
          <w:b/>
          <w:sz w:val="24"/>
          <w:szCs w:val="24"/>
          <w:lang w:val="fr-FR"/>
        </w:rPr>
        <w:t xml:space="preserve"> </w:t>
      </w:r>
      <w:r w:rsidRPr="00B309E0">
        <w:rPr>
          <w:rFonts w:ascii="Arial" w:hAnsi="Arial" w:cs="Arial"/>
          <w:sz w:val="24"/>
          <w:szCs w:val="24"/>
          <w:lang w:val="fr-FR"/>
        </w:rPr>
        <w:t>din anul 2008 pâna în anul 2012, la nivel național, ponderea populației ocupate în acest sector de activitate, a crescut cu 1,8 puncte procentuale de la 27,5% la 29,3%. In următorii doi ani ponderea populației ocupate a cunoscut un regres ajungând în 2014 la 27,3% din totalul populației ocupate.</w:t>
      </w:r>
      <w:r w:rsidR="00FC1472">
        <w:rPr>
          <w:rFonts w:ascii="Arial" w:hAnsi="Arial" w:cs="Arial"/>
          <w:sz w:val="24"/>
          <w:szCs w:val="24"/>
          <w:lang w:val="fr-FR"/>
        </w:rPr>
        <w:t xml:space="preserve"> </w:t>
      </w:r>
      <w:r w:rsidRPr="00B309E0">
        <w:rPr>
          <w:rFonts w:ascii="Arial" w:hAnsi="Arial" w:cs="Arial"/>
          <w:sz w:val="24"/>
          <w:szCs w:val="24"/>
          <w:lang w:val="fr-FR"/>
        </w:rPr>
        <w:t xml:space="preserve">Acest fenomenul </w:t>
      </w:r>
      <w:r w:rsidRPr="00D7513E">
        <w:rPr>
          <w:rFonts w:ascii="Arial" w:hAnsi="Arial" w:cs="Arial"/>
          <w:b/>
          <w:sz w:val="24"/>
          <w:szCs w:val="24"/>
          <w:lang w:val="fr-FR"/>
        </w:rPr>
        <w:t>de creștere al populației ocupate urmat de un regres se înregistrează și la nivelul regiunii Vest.</w:t>
      </w:r>
      <w:r w:rsidRPr="00B309E0">
        <w:rPr>
          <w:rFonts w:ascii="Arial" w:hAnsi="Arial" w:cs="Arial"/>
          <w:sz w:val="24"/>
          <w:szCs w:val="24"/>
          <w:lang w:val="fr-FR"/>
        </w:rPr>
        <w:t xml:space="preserve"> Astfel de la  23,5% </w:t>
      </w:r>
      <w:r w:rsidR="00FC1472">
        <w:rPr>
          <w:rFonts w:ascii="Arial" w:hAnsi="Arial" w:cs="Arial"/>
          <w:sz w:val="24"/>
          <w:szCs w:val="24"/>
          <w:lang w:val="fr-FR"/>
        </w:rPr>
        <w:t>î</w:t>
      </w:r>
      <w:r w:rsidRPr="00B309E0">
        <w:rPr>
          <w:rFonts w:ascii="Arial" w:hAnsi="Arial" w:cs="Arial"/>
          <w:sz w:val="24"/>
          <w:szCs w:val="24"/>
          <w:lang w:val="fr-FR"/>
        </w:rPr>
        <w:t xml:space="preserve">n 2008 până în 2012 ponderea populației active a crescut cu 1,6 puncte procentuale ajungând la 25,1% din totalul populației ocupate. Această pondere a înregistrat o scădere cu 2 puncte procentuale atingând în 2014 valoarea de 21,1%. </w:t>
      </w:r>
    </w:p>
    <w:p w:rsidR="006867E4" w:rsidRPr="00B309E0" w:rsidRDefault="006867E4" w:rsidP="002163FD">
      <w:pPr>
        <w:spacing w:after="0" w:line="240" w:lineRule="auto"/>
        <w:jc w:val="both"/>
        <w:rPr>
          <w:rFonts w:ascii="Arial" w:hAnsi="Arial" w:cs="Arial"/>
          <w:b/>
          <w:sz w:val="24"/>
          <w:szCs w:val="24"/>
          <w:lang w:val="it-IT"/>
        </w:rPr>
      </w:pPr>
      <w:r w:rsidRPr="005763E2">
        <w:rPr>
          <w:rFonts w:ascii="Arial" w:hAnsi="Arial" w:cs="Arial"/>
          <w:b/>
          <w:sz w:val="24"/>
          <w:szCs w:val="24"/>
          <w:lang w:val="fr-FR"/>
        </w:rPr>
        <w:t>Construcţii -</w:t>
      </w:r>
      <w:r w:rsidRPr="00B309E0">
        <w:rPr>
          <w:rFonts w:ascii="Arial" w:hAnsi="Arial" w:cs="Arial"/>
          <w:b/>
          <w:sz w:val="24"/>
          <w:szCs w:val="24"/>
          <w:lang w:val="fr-FR"/>
        </w:rPr>
        <w:t xml:space="preserve"> </w:t>
      </w:r>
      <w:r w:rsidRPr="00B309E0">
        <w:rPr>
          <w:rFonts w:ascii="Arial" w:hAnsi="Arial" w:cs="Arial"/>
          <w:sz w:val="24"/>
          <w:szCs w:val="24"/>
          <w:lang w:val="fr-FR"/>
        </w:rPr>
        <w:t xml:space="preserve">ponderea populaţiei ocupate nu a înregistrat evoluţii deosebite nici în sens pozitiv nici în sens negativ, diferenţele de la an la an în perioada analizată, la nivel național,  fiind inferioare valorii de 0,5%. În anul 2008 ponderea populației ocupate din acest </w:t>
      </w:r>
      <w:r w:rsidRPr="00B309E0">
        <w:rPr>
          <w:rFonts w:ascii="Arial" w:hAnsi="Arial" w:cs="Arial"/>
          <w:sz w:val="24"/>
          <w:szCs w:val="24"/>
          <w:lang w:val="it-IT"/>
        </w:rPr>
        <w:t xml:space="preserve">domeniu de activitate reprezenta 7,9 % din totalul populaţie ocupate, în anul 2014 această pondere a atins valoarea de 7,4%. </w:t>
      </w:r>
      <w:r w:rsidRPr="00D7513E">
        <w:rPr>
          <w:rFonts w:ascii="Arial" w:hAnsi="Arial" w:cs="Arial"/>
          <w:b/>
          <w:sz w:val="24"/>
          <w:szCs w:val="24"/>
          <w:lang w:val="it-IT"/>
        </w:rPr>
        <w:t xml:space="preserve">Ponderea populației ocupate la nivel regional a cunoscut o </w:t>
      </w:r>
      <w:r w:rsidRPr="005763E2">
        <w:rPr>
          <w:rFonts w:ascii="Arial" w:hAnsi="Arial" w:cs="Arial"/>
          <w:b/>
          <w:sz w:val="24"/>
          <w:szCs w:val="24"/>
          <w:lang w:val="it-IT"/>
        </w:rPr>
        <w:t xml:space="preserve">scădere continuă. </w:t>
      </w:r>
      <w:r w:rsidRPr="005763E2">
        <w:rPr>
          <w:rFonts w:ascii="Arial" w:hAnsi="Arial" w:cs="Arial"/>
          <w:sz w:val="24"/>
          <w:szCs w:val="24"/>
          <w:lang w:val="it-IT"/>
        </w:rPr>
        <w:t xml:space="preserve">În anul 2008 ponderea populaţiei ocupate în acest sector de activitate a fost de 6,8%, acesta ajungând în anul 2014 la valoarea de 5,6 % . </w:t>
      </w:r>
      <w:r w:rsidRPr="005763E2">
        <w:rPr>
          <w:rFonts w:ascii="Arial" w:hAnsi="Arial" w:cs="Arial"/>
          <w:sz w:val="24"/>
          <w:szCs w:val="24"/>
        </w:rPr>
        <w:t xml:space="preserve">Se constată, pentru perioada 2008- 2014, tendinţa de scădere constantă a numărului şi ponderii populaţiei ocupate în </w:t>
      </w:r>
      <w:r w:rsidRPr="005763E2">
        <w:rPr>
          <w:rFonts w:ascii="Arial" w:hAnsi="Arial" w:cs="Arial"/>
          <w:sz w:val="24"/>
          <w:szCs w:val="24"/>
        </w:rPr>
        <w:lastRenderedPageBreak/>
        <w:t xml:space="preserve">construcții, în paralel cu creşterea numărului şi ponderilor populaţiei ocupate în servicii. In industrie și </w:t>
      </w:r>
      <w:r w:rsidRPr="005763E2">
        <w:rPr>
          <w:rFonts w:ascii="Arial" w:hAnsi="Arial" w:cs="Arial"/>
          <w:bCs/>
          <w:sz w:val="24"/>
          <w:szCs w:val="24"/>
        </w:rPr>
        <w:t>agricultură, silvicultură şi pescuit, cu anumite fluctuaţii în jurul aceloraşi valori ale numărului şi ponderii populaţiei ocupate în aceaste domenii.</w:t>
      </w:r>
      <w:r w:rsidRPr="00B309E0">
        <w:rPr>
          <w:rFonts w:ascii="Arial" w:hAnsi="Arial" w:cs="Arial"/>
          <w:bCs/>
          <w:i/>
          <w:sz w:val="24"/>
          <w:szCs w:val="24"/>
        </w:rPr>
        <w:t xml:space="preserve">  </w:t>
      </w:r>
    </w:p>
    <w:p w:rsidR="006867E4" w:rsidRPr="005763E2" w:rsidRDefault="006867E4" w:rsidP="002163FD">
      <w:pPr>
        <w:spacing w:after="0" w:line="240" w:lineRule="auto"/>
        <w:jc w:val="both"/>
        <w:rPr>
          <w:rFonts w:ascii="Arial" w:hAnsi="Arial" w:cs="Arial"/>
          <w:b/>
          <w:bCs/>
          <w:sz w:val="24"/>
          <w:szCs w:val="24"/>
        </w:rPr>
      </w:pPr>
      <w:r w:rsidRPr="00D7513E">
        <w:rPr>
          <w:rFonts w:ascii="Arial" w:hAnsi="Arial" w:cs="Arial"/>
          <w:b/>
          <w:bCs/>
          <w:sz w:val="24"/>
          <w:szCs w:val="24"/>
        </w:rPr>
        <w:t xml:space="preserve">In Regiunea Vest, populația ocupată pe activități ale economiei naționale, în perioada 2008-2014, arată distribuții similare pentru județele regiunii, cu excepția </w:t>
      </w:r>
      <w:r w:rsidRPr="005763E2">
        <w:rPr>
          <w:rFonts w:ascii="Arial" w:hAnsi="Arial" w:cs="Arial"/>
          <w:b/>
          <w:bCs/>
          <w:sz w:val="24"/>
          <w:szCs w:val="24"/>
        </w:rPr>
        <w:t xml:space="preserve">județului Caraș Severin. </w:t>
      </w:r>
    </w:p>
    <w:p w:rsidR="006867E4" w:rsidRPr="005763E2" w:rsidRDefault="006867E4" w:rsidP="002163FD">
      <w:pPr>
        <w:spacing w:after="0" w:line="240" w:lineRule="auto"/>
        <w:jc w:val="both"/>
        <w:rPr>
          <w:rFonts w:ascii="Arial" w:hAnsi="Arial" w:cs="Arial"/>
          <w:bCs/>
          <w:sz w:val="24"/>
          <w:szCs w:val="24"/>
        </w:rPr>
      </w:pPr>
      <w:r w:rsidRPr="005763E2">
        <w:rPr>
          <w:rFonts w:ascii="Arial" w:hAnsi="Arial" w:cs="Arial"/>
          <w:iCs/>
          <w:sz w:val="24"/>
          <w:szCs w:val="24"/>
        </w:rPr>
        <w:t>În cazul serviciilor</w:t>
      </w:r>
      <w:r w:rsidRPr="005763E2">
        <w:rPr>
          <w:rFonts w:ascii="Arial" w:hAnsi="Arial" w:cs="Arial"/>
          <w:b/>
          <w:bCs/>
          <w:iCs/>
          <w:sz w:val="24"/>
          <w:szCs w:val="24"/>
        </w:rPr>
        <w:t xml:space="preserve"> </w:t>
      </w:r>
      <w:r w:rsidRPr="005763E2">
        <w:rPr>
          <w:rFonts w:ascii="Arial" w:hAnsi="Arial" w:cs="Arial"/>
          <w:sz w:val="24"/>
          <w:szCs w:val="24"/>
          <w:lang w:val="it-IT"/>
        </w:rPr>
        <w:t xml:space="preserve">cea mai mare medie a ponderii  populaţiei ocupate în domeniul de activitate al serviciilor o înregistrază judeţul Timiş (44,7%) cu 3,2 puncte procentuale peste media regională (41,5%). In ordine se sitează județul Arad cu 40,8% urmat de județul Hunedoara (40,6%)  și județul  Caraş-Severin care a avut cea mai scăzută medie a ponderii populației ocupate din regiune 36,00 %. </w:t>
      </w:r>
    </w:p>
    <w:p w:rsidR="006867E4" w:rsidRPr="005763E2" w:rsidRDefault="006867E4" w:rsidP="002163FD">
      <w:pPr>
        <w:spacing w:after="0" w:line="240" w:lineRule="auto"/>
        <w:jc w:val="both"/>
        <w:rPr>
          <w:rFonts w:ascii="Arial" w:hAnsi="Arial" w:cs="Arial"/>
          <w:color w:val="000000"/>
          <w:sz w:val="24"/>
          <w:szCs w:val="24"/>
          <w:lang w:val="en-US"/>
        </w:rPr>
      </w:pPr>
      <w:r w:rsidRPr="005763E2">
        <w:rPr>
          <w:rFonts w:ascii="Arial" w:hAnsi="Arial" w:cs="Arial"/>
          <w:color w:val="000000"/>
          <w:sz w:val="24"/>
          <w:szCs w:val="24"/>
          <w:lang w:val="en-US"/>
        </w:rPr>
        <w:t>Comerțul cu ridicata şi cu amănuntul; repararea autovehiculelor</w:t>
      </w:r>
      <w:r w:rsidR="005838AC">
        <w:rPr>
          <w:rFonts w:ascii="Arial" w:hAnsi="Arial" w:cs="Arial"/>
          <w:color w:val="000000"/>
          <w:sz w:val="24"/>
          <w:szCs w:val="24"/>
          <w:lang w:val="en-US"/>
        </w:rPr>
        <w:t xml:space="preserve"> şi motocicletelor activitatea </w:t>
      </w:r>
      <w:r w:rsidRPr="005763E2">
        <w:rPr>
          <w:rFonts w:ascii="Arial" w:hAnsi="Arial" w:cs="Arial"/>
          <w:color w:val="000000"/>
          <w:sz w:val="24"/>
          <w:szCs w:val="24"/>
          <w:lang w:val="en-US"/>
        </w:rPr>
        <w:t>cu cea mai mare reprezentare dintre activitățile domeniului servicii (14,3% din media regională), înregistrează în județul Hunedoara o medie a ponderii persoanelor ocupate de 16,3%, cu 2 puncte procentuale peste media regională</w:t>
      </w:r>
      <w:r w:rsidR="00675CBE">
        <w:rPr>
          <w:rFonts w:ascii="Arial" w:hAnsi="Arial" w:cs="Arial"/>
          <w:color w:val="000000"/>
          <w:sz w:val="24"/>
          <w:szCs w:val="24"/>
          <w:lang w:val="en-US"/>
        </w:rPr>
        <w:t>. Urmează județul Arad cu 14,8%</w:t>
      </w:r>
      <w:r w:rsidRPr="005763E2">
        <w:rPr>
          <w:rFonts w:ascii="Arial" w:hAnsi="Arial" w:cs="Arial"/>
          <w:color w:val="000000"/>
          <w:sz w:val="24"/>
          <w:szCs w:val="24"/>
          <w:lang w:val="en-US"/>
        </w:rPr>
        <w:t>, județul Timiș cu 14,3% și pe ultimul loc județul Caraș Severin cu 10,7%.</w:t>
      </w:r>
    </w:p>
    <w:p w:rsidR="006867E4" w:rsidRPr="005763E2" w:rsidRDefault="006867E4" w:rsidP="002163FD">
      <w:pPr>
        <w:spacing w:after="0" w:line="240" w:lineRule="auto"/>
        <w:jc w:val="both"/>
        <w:rPr>
          <w:rFonts w:ascii="Arial" w:hAnsi="Arial" w:cs="Arial"/>
          <w:bCs/>
          <w:sz w:val="24"/>
          <w:szCs w:val="24"/>
        </w:rPr>
      </w:pPr>
      <w:r w:rsidRPr="005763E2">
        <w:rPr>
          <w:rFonts w:ascii="Arial" w:hAnsi="Arial" w:cs="Arial"/>
          <w:bCs/>
          <w:sz w:val="24"/>
          <w:szCs w:val="24"/>
        </w:rPr>
        <w:t xml:space="preserve">Industria este bine reprezentată în fiecare județ. În județul Arad </w:t>
      </w:r>
      <w:r w:rsidRPr="005763E2">
        <w:rPr>
          <w:rFonts w:ascii="Arial" w:hAnsi="Arial" w:cs="Arial"/>
          <w:sz w:val="24"/>
          <w:szCs w:val="24"/>
          <w:lang w:val="fr-FR"/>
        </w:rPr>
        <w:t>se înregistrează cea mai ridicată medie a ponderii populației ocupate (31,9%), cu 3,6 puncte procentuale peste media regională, urmat de jude</w:t>
      </w:r>
      <w:r w:rsidRPr="005763E2">
        <w:rPr>
          <w:rFonts w:ascii="Arial" w:hAnsi="Arial" w:cs="Arial"/>
          <w:sz w:val="24"/>
          <w:szCs w:val="24"/>
        </w:rPr>
        <w:t xml:space="preserve">țul </w:t>
      </w:r>
      <w:r w:rsidRPr="005763E2">
        <w:rPr>
          <w:rFonts w:ascii="Arial" w:hAnsi="Arial" w:cs="Arial"/>
          <w:sz w:val="24"/>
          <w:szCs w:val="24"/>
          <w:lang w:val="fr-FR"/>
        </w:rPr>
        <w:t xml:space="preserve"> Hunedoara cu 29,5 % iar  judeţul Caraş – Severin deţine cea mai mică medie a ponderii în acest sector  (21,9% ). În</w:t>
      </w:r>
      <w:r w:rsidRPr="005763E2">
        <w:rPr>
          <w:rFonts w:ascii="Arial" w:hAnsi="Arial" w:cs="Arial"/>
          <w:color w:val="0000FF"/>
          <w:sz w:val="24"/>
          <w:szCs w:val="24"/>
          <w:lang w:val="fr-FR"/>
        </w:rPr>
        <w:t xml:space="preserve"> </w:t>
      </w:r>
      <w:r w:rsidRPr="005763E2">
        <w:rPr>
          <w:rFonts w:ascii="Arial" w:hAnsi="Arial" w:cs="Arial"/>
          <w:sz w:val="24"/>
          <w:szCs w:val="24"/>
          <w:lang w:val="fr-FR"/>
        </w:rPr>
        <w:t>Regiunea Vest industria prelucrătoare a avut în perioada analizată  cea mai reprezentativă medie a ponderii populației ocupate  (25,4%), județul Arad înregistrând cea mai ridicată medie a ponderii  populaţiei ocupate în acest domeniu (29,6%), urmat de județul Timiş cu 25,21%.</w:t>
      </w:r>
    </w:p>
    <w:p w:rsidR="006867E4" w:rsidRPr="005763E2" w:rsidRDefault="006867E4" w:rsidP="002163FD">
      <w:pPr>
        <w:spacing w:after="0" w:line="240" w:lineRule="auto"/>
        <w:jc w:val="both"/>
        <w:rPr>
          <w:rFonts w:ascii="Arial" w:hAnsi="Arial" w:cs="Arial"/>
          <w:bCs/>
          <w:sz w:val="24"/>
          <w:szCs w:val="24"/>
        </w:rPr>
      </w:pPr>
      <w:r w:rsidRPr="005763E2">
        <w:rPr>
          <w:rFonts w:ascii="Arial" w:hAnsi="Arial" w:cs="Arial"/>
          <w:sz w:val="24"/>
          <w:szCs w:val="24"/>
          <w:lang w:val="fr-FR"/>
        </w:rPr>
        <w:t>Agricultură, silvicultură şi pescuit</w:t>
      </w:r>
      <w:r w:rsidRPr="005763E2">
        <w:rPr>
          <w:rFonts w:ascii="Arial" w:hAnsi="Arial" w:cs="Arial"/>
          <w:bCs/>
          <w:sz w:val="24"/>
          <w:szCs w:val="24"/>
        </w:rPr>
        <w:t xml:space="preserve"> este prezentă, în perioada analizată,  cu ponderi în jur de 21% - 25%, cu excepția județului Caraș Severin cu cea mai ridicată  medie a ponderii populației ocupate  din regiune, 36,1% cu 11,8 % peste media ponderii regionale (24,3%) și cu 7,67% peste media ponderii naționale (28,42%).</w:t>
      </w:r>
    </w:p>
    <w:p w:rsidR="006867E4" w:rsidRPr="005763E2" w:rsidRDefault="006867E4" w:rsidP="002163FD">
      <w:pPr>
        <w:spacing w:after="0" w:line="240" w:lineRule="auto"/>
        <w:jc w:val="both"/>
        <w:rPr>
          <w:rFonts w:ascii="Arial" w:hAnsi="Arial" w:cs="Arial"/>
          <w:bCs/>
          <w:sz w:val="24"/>
          <w:szCs w:val="24"/>
        </w:rPr>
      </w:pPr>
      <w:r w:rsidRPr="005763E2">
        <w:rPr>
          <w:rFonts w:ascii="Arial" w:hAnsi="Arial" w:cs="Arial"/>
          <w:bCs/>
          <w:sz w:val="24"/>
          <w:szCs w:val="24"/>
        </w:rPr>
        <w:t>Construcțiile sunt prezente cu cele mai mici valori, în jur de 6%, în fiecare județ și cu o ușoară tendință de descreștere. Județul Hunedoara înregistrează cea mai ridicată medie a ponderii populației ocupate 6,67% cu 0,72 puncte procentuale peste media regională.</w:t>
      </w:r>
    </w:p>
    <w:p w:rsidR="001937AF" w:rsidRPr="005763E2" w:rsidRDefault="001937AF" w:rsidP="000C6A67">
      <w:pPr>
        <w:pStyle w:val="BodyTextIndent3"/>
        <w:tabs>
          <w:tab w:val="num" w:pos="2520"/>
        </w:tabs>
        <w:spacing w:after="0"/>
        <w:ind w:left="0"/>
        <w:jc w:val="both"/>
        <w:rPr>
          <w:rFonts w:ascii="Arial" w:hAnsi="Arial" w:cs="Arial"/>
          <w:sz w:val="24"/>
          <w:szCs w:val="24"/>
          <w:lang w:eastAsia="ro-RO"/>
        </w:rPr>
      </w:pPr>
    </w:p>
    <w:p w:rsidR="00D45E55" w:rsidRPr="005763E2" w:rsidRDefault="00AF2F7A" w:rsidP="000C6A67">
      <w:pPr>
        <w:pStyle w:val="BodyTextIndent3"/>
        <w:tabs>
          <w:tab w:val="num" w:pos="2520"/>
        </w:tabs>
        <w:spacing w:after="0"/>
        <w:ind w:left="0"/>
        <w:jc w:val="both"/>
        <w:outlineLvl w:val="1"/>
        <w:rPr>
          <w:rFonts w:ascii="Arial" w:hAnsi="Arial" w:cs="Arial"/>
          <w:b/>
          <w:sz w:val="24"/>
          <w:szCs w:val="24"/>
          <w:lang w:eastAsia="ro-RO"/>
        </w:rPr>
      </w:pPr>
      <w:bookmarkStart w:id="71" w:name="_Toc488066042"/>
      <w:r w:rsidRPr="005763E2">
        <w:rPr>
          <w:rFonts w:ascii="Arial" w:hAnsi="Arial" w:cs="Arial"/>
          <w:b/>
          <w:sz w:val="24"/>
          <w:szCs w:val="24"/>
          <w:lang w:eastAsia="ro-RO"/>
        </w:rPr>
        <w:t>5</w:t>
      </w:r>
      <w:r w:rsidR="00D45E55" w:rsidRPr="005763E2">
        <w:rPr>
          <w:rFonts w:ascii="Arial" w:hAnsi="Arial" w:cs="Arial"/>
          <w:b/>
          <w:sz w:val="24"/>
          <w:szCs w:val="24"/>
          <w:lang w:eastAsia="ro-RO"/>
        </w:rPr>
        <w:t>.3.</w:t>
      </w:r>
      <w:r w:rsidR="002F65F7" w:rsidRPr="005763E2">
        <w:rPr>
          <w:rFonts w:ascii="Arial" w:hAnsi="Arial" w:cs="Arial"/>
          <w:b/>
          <w:sz w:val="24"/>
          <w:szCs w:val="24"/>
          <w:lang w:eastAsia="ro-RO"/>
        </w:rPr>
        <w:t xml:space="preserve"> Evoluţii şi situaţia curentă privind </w:t>
      </w:r>
      <w:r w:rsidR="002D1648" w:rsidRPr="005763E2">
        <w:rPr>
          <w:rFonts w:ascii="Arial" w:hAnsi="Arial" w:cs="Arial"/>
          <w:b/>
          <w:sz w:val="24"/>
          <w:szCs w:val="24"/>
          <w:lang w:eastAsia="ro-RO"/>
        </w:rPr>
        <w:t>șomerii</w:t>
      </w:r>
      <w:r w:rsidR="00D45E55" w:rsidRPr="005763E2">
        <w:rPr>
          <w:rFonts w:ascii="Arial" w:hAnsi="Arial" w:cs="Arial"/>
          <w:b/>
          <w:sz w:val="24"/>
          <w:szCs w:val="24"/>
          <w:lang w:eastAsia="ro-RO"/>
        </w:rPr>
        <w:t xml:space="preserve"> înregistrați</w:t>
      </w:r>
      <w:r w:rsidR="000C25BD" w:rsidRPr="005763E2">
        <w:rPr>
          <w:rStyle w:val="FootnoteReference"/>
          <w:rFonts w:ascii="Arial" w:hAnsi="Arial" w:cs="Arial"/>
          <w:b/>
          <w:sz w:val="24"/>
          <w:szCs w:val="24"/>
          <w:lang w:eastAsia="ro-RO"/>
        </w:rPr>
        <w:footnoteReference w:id="37"/>
      </w:r>
      <w:bookmarkEnd w:id="71"/>
      <w:r w:rsidR="00D45E55" w:rsidRPr="005763E2">
        <w:rPr>
          <w:rFonts w:ascii="Arial" w:hAnsi="Arial" w:cs="Arial"/>
          <w:b/>
          <w:sz w:val="24"/>
          <w:szCs w:val="24"/>
          <w:lang w:eastAsia="ro-RO"/>
        </w:rPr>
        <w:t xml:space="preserve"> </w:t>
      </w:r>
    </w:p>
    <w:p w:rsidR="00AF2F7A" w:rsidRDefault="00AF2F7A" w:rsidP="000C6A67">
      <w:pPr>
        <w:pStyle w:val="BodyTextIndent3"/>
        <w:tabs>
          <w:tab w:val="num" w:pos="2520"/>
        </w:tabs>
        <w:spacing w:after="0"/>
        <w:ind w:left="0"/>
        <w:jc w:val="both"/>
        <w:rPr>
          <w:rFonts w:ascii="Arial" w:hAnsi="Arial" w:cs="Arial"/>
          <w:sz w:val="24"/>
          <w:szCs w:val="24"/>
          <w:lang w:eastAsia="ro-RO"/>
        </w:rPr>
      </w:pPr>
    </w:p>
    <w:p w:rsidR="006867E4" w:rsidRPr="005763E2" w:rsidRDefault="006867E4" w:rsidP="000C6A67">
      <w:pPr>
        <w:spacing w:after="0" w:line="240" w:lineRule="auto"/>
        <w:jc w:val="both"/>
        <w:rPr>
          <w:rFonts w:ascii="Arial" w:hAnsi="Arial" w:cs="Arial"/>
          <w:sz w:val="24"/>
          <w:szCs w:val="24"/>
          <w:lang w:val="fr-FR"/>
        </w:rPr>
      </w:pPr>
      <w:r w:rsidRPr="005763E2">
        <w:rPr>
          <w:rFonts w:ascii="Arial" w:hAnsi="Arial" w:cs="Arial"/>
          <w:sz w:val="24"/>
          <w:szCs w:val="24"/>
          <w:lang w:val="fr-FR"/>
        </w:rPr>
        <w:t xml:space="preserve">Pe perioada analizată se poate distinge clar un maxim al acestui indicator pentru anul 2009, atât la nivel național cît și la nivelul Regiunii Vest  după care urmează o tendință clară de descreștere,  care este și semnificativă în valoare absolută. </w:t>
      </w:r>
    </w:p>
    <w:p w:rsidR="006867E4" w:rsidRPr="005763E2" w:rsidRDefault="006867E4" w:rsidP="000C6A67">
      <w:pPr>
        <w:spacing w:after="0" w:line="240" w:lineRule="auto"/>
        <w:jc w:val="both"/>
        <w:rPr>
          <w:rFonts w:ascii="Arial" w:hAnsi="Arial" w:cs="Arial"/>
          <w:sz w:val="24"/>
          <w:szCs w:val="24"/>
          <w:lang w:val="fr-FR"/>
        </w:rPr>
      </w:pPr>
      <w:r w:rsidRPr="005763E2">
        <w:rPr>
          <w:rFonts w:ascii="Arial" w:hAnsi="Arial" w:cs="Arial"/>
          <w:sz w:val="24"/>
          <w:szCs w:val="24"/>
          <w:lang w:val="fr-FR"/>
        </w:rPr>
        <w:t>Referitor la structura şomajului pe  nivele de educație, putem observa că cea mai afectată categorie și totodată expusă riscului este cea a tinerilor cu nivel de educație primar, gimnazial și profesional atât la nivel național (cu o medie a ponderii de 73,16%) cât și la nivel regional (cu o medie a ponderii de 64,61%). La polul opus  se situează cei cu nivel de educație universitar, identificați la nivel regional, pe perioada analizată,  cu ponderi mai mari decât  cele înregistrate la nivel național. Această situație poate fi corelată cu faptul ca o mare parte a absolvenților de studii superioare acceptă locuri de muncă sub calif</w:t>
      </w:r>
      <w:r w:rsidR="00323035">
        <w:rPr>
          <w:rFonts w:ascii="Arial" w:hAnsi="Arial" w:cs="Arial"/>
          <w:sz w:val="24"/>
          <w:szCs w:val="24"/>
          <w:lang w:val="fr-FR"/>
        </w:rPr>
        <w:t>ic</w:t>
      </w:r>
      <w:r w:rsidRPr="005763E2">
        <w:rPr>
          <w:rFonts w:ascii="Arial" w:hAnsi="Arial" w:cs="Arial"/>
          <w:sz w:val="24"/>
          <w:szCs w:val="24"/>
          <w:lang w:val="fr-FR"/>
        </w:rPr>
        <w:t>area lor, iar aceste poziții sunt mai vulnerabile schimbărilor de pe piața muncii, cu risc mai mare de șomaj.</w:t>
      </w:r>
    </w:p>
    <w:p w:rsidR="006867E4" w:rsidRPr="005763E2" w:rsidRDefault="006867E4" w:rsidP="000C6A67">
      <w:pPr>
        <w:spacing w:after="0" w:line="240" w:lineRule="auto"/>
        <w:jc w:val="both"/>
        <w:rPr>
          <w:rFonts w:ascii="Arial" w:hAnsi="Arial" w:cs="Arial"/>
          <w:sz w:val="24"/>
          <w:szCs w:val="24"/>
          <w:lang w:val="fr-FR"/>
        </w:rPr>
      </w:pPr>
      <w:r w:rsidRPr="005763E2">
        <w:rPr>
          <w:rFonts w:ascii="Arial" w:hAnsi="Arial" w:cs="Arial"/>
          <w:sz w:val="24"/>
          <w:szCs w:val="24"/>
          <w:lang w:val="fr-FR"/>
        </w:rPr>
        <w:t xml:space="preserve">Pentru șomerii înregistrați pe nivele de educație, în perioada 2007- 2015, județele prezintă deviații semnificative.Pentru șomerii înregistrați cu studii Primar, gimnazial si </w:t>
      </w:r>
      <w:r w:rsidRPr="005763E2">
        <w:rPr>
          <w:rFonts w:ascii="Arial" w:hAnsi="Arial" w:cs="Arial"/>
          <w:sz w:val="24"/>
          <w:szCs w:val="24"/>
          <w:lang w:val="fr-FR"/>
        </w:rPr>
        <w:lastRenderedPageBreak/>
        <w:t xml:space="preserve">profesional cele mai mari  valori se înregistrează în județul Arad cu o medie de 71,82 %, cu 7,21 puncte procentuale peste media regională iar la extrema cealaltă se situează județul Timiș cu o medie a șomerilor </w:t>
      </w:r>
      <w:r w:rsidR="00377E37">
        <w:rPr>
          <w:rFonts w:ascii="Arial" w:hAnsi="Arial" w:cs="Arial"/>
          <w:sz w:val="24"/>
          <w:szCs w:val="24"/>
          <w:lang w:val="fr-FR"/>
        </w:rPr>
        <w:t>î</w:t>
      </w:r>
      <w:r w:rsidRPr="005763E2">
        <w:rPr>
          <w:rFonts w:ascii="Arial" w:hAnsi="Arial" w:cs="Arial"/>
          <w:sz w:val="24"/>
          <w:szCs w:val="24"/>
          <w:lang w:val="fr-FR"/>
        </w:rPr>
        <w:t>nregistrați pe acest nivel de educație de 60,87% cu 3,74 puncte procentuale sub media regională.</w:t>
      </w:r>
    </w:p>
    <w:p w:rsidR="006867E4" w:rsidRPr="00B309E0" w:rsidRDefault="006867E4" w:rsidP="000C6A67">
      <w:pPr>
        <w:spacing w:after="0" w:line="240" w:lineRule="auto"/>
        <w:jc w:val="both"/>
        <w:rPr>
          <w:rFonts w:ascii="Arial" w:hAnsi="Arial" w:cs="Arial"/>
          <w:bCs/>
          <w:color w:val="000000"/>
          <w:sz w:val="24"/>
          <w:szCs w:val="24"/>
          <w:lang w:val="en-US"/>
        </w:rPr>
      </w:pPr>
      <w:r w:rsidRPr="00B309E0">
        <w:rPr>
          <w:rFonts w:ascii="Arial" w:hAnsi="Arial" w:cs="Arial"/>
          <w:sz w:val="24"/>
          <w:szCs w:val="24"/>
        </w:rPr>
        <w:t xml:space="preserve">In ceea ce priveste șomerii înregistrați cu nivel de educație </w:t>
      </w:r>
      <w:r w:rsidRPr="00B309E0">
        <w:rPr>
          <w:rFonts w:ascii="Arial" w:hAnsi="Arial" w:cs="Arial"/>
          <w:bCs/>
          <w:i/>
          <w:color w:val="000000"/>
          <w:sz w:val="24"/>
          <w:szCs w:val="24"/>
          <w:lang w:val="en-US"/>
        </w:rPr>
        <w:t xml:space="preserve">Liceal și postliceal </w:t>
      </w:r>
      <w:r w:rsidRPr="00B309E0">
        <w:rPr>
          <w:rFonts w:ascii="Arial" w:hAnsi="Arial" w:cs="Arial"/>
          <w:bCs/>
          <w:color w:val="000000"/>
          <w:sz w:val="24"/>
          <w:szCs w:val="24"/>
          <w:lang w:val="en-US"/>
        </w:rPr>
        <w:t>se înregistrează valori ale mediei apropiate de media regională (25,51%) în județele Timiș (24,25%), Hunedoara (28,65%) și Caraș</w:t>
      </w:r>
      <w:r w:rsidR="00377E37">
        <w:rPr>
          <w:rFonts w:ascii="Arial" w:hAnsi="Arial" w:cs="Arial"/>
          <w:bCs/>
          <w:color w:val="000000"/>
          <w:sz w:val="24"/>
          <w:szCs w:val="24"/>
          <w:lang w:val="en-US"/>
        </w:rPr>
        <w:t>-</w:t>
      </w:r>
      <w:r w:rsidRPr="00B309E0">
        <w:rPr>
          <w:rFonts w:ascii="Arial" w:hAnsi="Arial" w:cs="Arial"/>
          <w:bCs/>
          <w:color w:val="000000"/>
          <w:sz w:val="24"/>
          <w:szCs w:val="24"/>
          <w:lang w:val="en-US"/>
        </w:rPr>
        <w:t>Severin (27,24%). Excepți</w:t>
      </w:r>
      <w:r w:rsidR="00377E37">
        <w:rPr>
          <w:rFonts w:ascii="Arial" w:hAnsi="Arial" w:cs="Arial"/>
          <w:bCs/>
          <w:color w:val="000000"/>
          <w:sz w:val="24"/>
          <w:szCs w:val="24"/>
          <w:lang w:val="en-US"/>
        </w:rPr>
        <w:t xml:space="preserve">e face județul Arad unde media </w:t>
      </w:r>
      <w:r w:rsidRPr="00B309E0">
        <w:rPr>
          <w:rFonts w:ascii="Arial" w:hAnsi="Arial" w:cs="Arial"/>
          <w:bCs/>
          <w:color w:val="000000"/>
          <w:sz w:val="24"/>
          <w:szCs w:val="24"/>
          <w:lang w:val="en-US"/>
        </w:rPr>
        <w:t>șomerilor înregistrați pe acest nivel de educație este de 19,43% cu 6,08 puncte procentuale sub media regională.</w:t>
      </w:r>
    </w:p>
    <w:p w:rsidR="006867E4" w:rsidRPr="00B309E0" w:rsidRDefault="006867E4" w:rsidP="000C6A67">
      <w:pPr>
        <w:spacing w:after="0" w:line="240" w:lineRule="auto"/>
        <w:jc w:val="both"/>
        <w:rPr>
          <w:rFonts w:ascii="Arial" w:hAnsi="Arial" w:cs="Arial"/>
          <w:b/>
          <w:bCs/>
          <w:color w:val="000000"/>
          <w:sz w:val="24"/>
          <w:szCs w:val="24"/>
          <w:lang w:val="en-US"/>
        </w:rPr>
      </w:pPr>
      <w:r w:rsidRPr="00B309E0">
        <w:rPr>
          <w:rFonts w:ascii="Arial" w:hAnsi="Arial" w:cs="Arial"/>
          <w:bCs/>
          <w:color w:val="000000"/>
          <w:sz w:val="24"/>
          <w:szCs w:val="24"/>
          <w:lang w:val="en-US"/>
        </w:rPr>
        <w:t xml:space="preserve">Referitor la </w:t>
      </w:r>
      <w:r w:rsidRPr="00B309E0">
        <w:rPr>
          <w:rFonts w:ascii="Arial" w:hAnsi="Arial" w:cs="Arial"/>
          <w:sz w:val="24"/>
          <w:szCs w:val="24"/>
        </w:rPr>
        <w:t xml:space="preserve">șomerii înregistrați cu nivel de educație </w:t>
      </w:r>
      <w:r w:rsidR="00967198">
        <w:rPr>
          <w:rFonts w:ascii="Arial" w:hAnsi="Arial" w:cs="Arial"/>
          <w:bCs/>
          <w:i/>
          <w:color w:val="000000"/>
          <w:sz w:val="24"/>
          <w:szCs w:val="24"/>
          <w:lang w:val="en-US"/>
        </w:rPr>
        <w:t>universitar</w:t>
      </w:r>
      <w:r w:rsidRPr="00B309E0">
        <w:rPr>
          <w:rFonts w:ascii="Arial" w:hAnsi="Arial" w:cs="Arial"/>
          <w:bCs/>
          <w:i/>
          <w:color w:val="000000"/>
          <w:sz w:val="24"/>
          <w:szCs w:val="24"/>
          <w:lang w:val="en-US"/>
        </w:rPr>
        <w:t xml:space="preserve"> </w:t>
      </w:r>
      <w:r w:rsidRPr="00B309E0">
        <w:rPr>
          <w:rFonts w:ascii="Arial" w:hAnsi="Arial" w:cs="Arial"/>
          <w:bCs/>
          <w:color w:val="000000"/>
          <w:sz w:val="24"/>
          <w:szCs w:val="24"/>
          <w:lang w:val="en-US"/>
        </w:rPr>
        <w:t>se înregistrează valori ale mediei apropiate de media regională (9,87%) în județele Arad (8,7</w:t>
      </w:r>
      <w:r w:rsidR="00967198">
        <w:rPr>
          <w:rFonts w:ascii="Arial" w:hAnsi="Arial" w:cs="Arial"/>
          <w:bCs/>
          <w:color w:val="000000"/>
          <w:sz w:val="24"/>
          <w:szCs w:val="24"/>
          <w:lang w:val="en-US"/>
        </w:rPr>
        <w:t>4%), Hunedoara (8,83%) și Caraș-</w:t>
      </w:r>
      <w:r w:rsidRPr="00B309E0">
        <w:rPr>
          <w:rFonts w:ascii="Arial" w:hAnsi="Arial" w:cs="Arial"/>
          <w:bCs/>
          <w:color w:val="000000"/>
          <w:sz w:val="24"/>
          <w:szCs w:val="24"/>
          <w:lang w:val="en-US"/>
        </w:rPr>
        <w:t>Severin (8,48%). Excepție</w:t>
      </w:r>
      <w:r w:rsidR="00967198">
        <w:rPr>
          <w:rFonts w:ascii="Arial" w:hAnsi="Arial" w:cs="Arial"/>
          <w:bCs/>
          <w:color w:val="000000"/>
          <w:sz w:val="24"/>
          <w:szCs w:val="24"/>
          <w:lang w:val="en-US"/>
        </w:rPr>
        <w:t xml:space="preserve"> face județul Timiș unde media </w:t>
      </w:r>
      <w:r w:rsidRPr="00B309E0">
        <w:rPr>
          <w:rFonts w:ascii="Arial" w:hAnsi="Arial" w:cs="Arial"/>
          <w:bCs/>
          <w:color w:val="000000"/>
          <w:sz w:val="24"/>
          <w:szCs w:val="24"/>
          <w:lang w:val="en-US"/>
        </w:rPr>
        <w:t>șomerilor înregistrați pe acest nivel de educație este de 14,88 % cu 5,01 puncte procentuale sub media regională.</w:t>
      </w:r>
    </w:p>
    <w:p w:rsidR="006867E4" w:rsidRPr="005763E2" w:rsidRDefault="005763E2" w:rsidP="000C6A67">
      <w:pPr>
        <w:spacing w:after="0" w:line="240" w:lineRule="auto"/>
        <w:jc w:val="center"/>
        <w:rPr>
          <w:rFonts w:ascii="Arial" w:hAnsi="Arial" w:cs="Arial"/>
          <w:bCs/>
          <w:color w:val="000000"/>
          <w:lang w:val="en-US"/>
        </w:rPr>
      </w:pPr>
      <w:r w:rsidRPr="005763E2">
        <w:rPr>
          <w:rFonts w:ascii="Arial" w:hAnsi="Arial" w:cs="Arial"/>
          <w:bCs/>
          <w:color w:val="000000"/>
          <w:lang w:val="en-US"/>
        </w:rPr>
        <w:t>Figura 1</w:t>
      </w:r>
      <w:r w:rsidR="006F004E">
        <w:rPr>
          <w:rFonts w:ascii="Arial" w:hAnsi="Arial" w:cs="Arial"/>
          <w:bCs/>
          <w:color w:val="000000"/>
          <w:lang w:val="en-US"/>
        </w:rPr>
        <w:t>4</w:t>
      </w:r>
      <w:r w:rsidRPr="005763E2">
        <w:rPr>
          <w:rFonts w:ascii="Arial" w:hAnsi="Arial" w:cs="Arial"/>
          <w:bCs/>
          <w:color w:val="000000"/>
          <w:lang w:val="en-US"/>
        </w:rPr>
        <w:t>.</w:t>
      </w:r>
      <w:r w:rsidRPr="005763E2">
        <w:rPr>
          <w:rFonts w:ascii="Arial" w:hAnsi="Arial" w:cs="Arial"/>
          <w:noProof/>
          <w:sz w:val="24"/>
          <w:szCs w:val="24"/>
          <w:lang w:val="en-US"/>
        </w:rPr>
        <w:t xml:space="preserve"> </w:t>
      </w:r>
      <w:r w:rsidRPr="00B309E0">
        <w:rPr>
          <w:rFonts w:ascii="Arial" w:hAnsi="Arial" w:cs="Arial"/>
          <w:noProof/>
          <w:sz w:val="24"/>
          <w:szCs w:val="24"/>
          <w:lang w:val="en-US"/>
        </w:rPr>
        <w:drawing>
          <wp:inline distT="0" distB="0" distL="0" distR="0">
            <wp:extent cx="5543550" cy="2800350"/>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stretch>
                      <a:fillRect/>
                    </a:stretch>
                  </pic:blipFill>
                  <pic:spPr>
                    <a:xfrm>
                      <a:off x="0" y="0"/>
                      <a:ext cx="5555020" cy="2806144"/>
                    </a:xfrm>
                    <a:prstGeom prst="rect">
                      <a:avLst/>
                    </a:prstGeom>
                  </pic:spPr>
                </pic:pic>
              </a:graphicData>
            </a:graphic>
          </wp:inline>
        </w:drawing>
      </w:r>
      <w:r w:rsidRPr="005763E2">
        <w:rPr>
          <w:rFonts w:ascii="Arial" w:hAnsi="Arial" w:cs="Arial"/>
          <w:bCs/>
          <w:color w:val="000000"/>
          <w:lang w:val="en-US"/>
        </w:rPr>
        <w:t xml:space="preserve"> </w:t>
      </w:r>
    </w:p>
    <w:p w:rsidR="006867E4" w:rsidRPr="005763E2" w:rsidRDefault="006867E4" w:rsidP="000C6A67">
      <w:pPr>
        <w:spacing w:after="0" w:line="240" w:lineRule="auto"/>
        <w:rPr>
          <w:rFonts w:ascii="Arial" w:hAnsi="Arial" w:cs="Arial"/>
        </w:rPr>
      </w:pPr>
      <w:r w:rsidRPr="00B309E0">
        <w:rPr>
          <w:rFonts w:ascii="Arial" w:hAnsi="Arial" w:cs="Arial"/>
          <w:sz w:val="24"/>
          <w:szCs w:val="24"/>
        </w:rPr>
        <w:t xml:space="preserve">                           </w:t>
      </w:r>
      <w:r w:rsidRPr="005763E2">
        <w:rPr>
          <w:rFonts w:ascii="Arial" w:hAnsi="Arial" w:cs="Arial"/>
        </w:rPr>
        <w:t>Sursa datelor: INS - Baza de date TEMPO-Online</w:t>
      </w:r>
    </w:p>
    <w:p w:rsidR="001937AF" w:rsidRPr="00DD5F85" w:rsidRDefault="001937AF" w:rsidP="000C6A67">
      <w:pPr>
        <w:pStyle w:val="BodyTextIndent3"/>
        <w:tabs>
          <w:tab w:val="num" w:pos="2520"/>
        </w:tabs>
        <w:spacing w:after="0"/>
        <w:ind w:left="0"/>
        <w:jc w:val="both"/>
        <w:rPr>
          <w:rFonts w:ascii="Arial" w:hAnsi="Arial" w:cs="Arial"/>
          <w:sz w:val="24"/>
          <w:szCs w:val="24"/>
          <w:lang w:eastAsia="ro-RO"/>
        </w:rPr>
      </w:pPr>
    </w:p>
    <w:p w:rsidR="00D45E55" w:rsidRPr="005747A6" w:rsidRDefault="00AF2F7A" w:rsidP="000C6A67">
      <w:pPr>
        <w:pStyle w:val="BodyTextIndent3"/>
        <w:spacing w:after="0"/>
        <w:ind w:left="0"/>
        <w:jc w:val="both"/>
        <w:outlineLvl w:val="1"/>
        <w:rPr>
          <w:rFonts w:ascii="Arial" w:hAnsi="Arial" w:cs="Arial"/>
          <w:b/>
          <w:sz w:val="24"/>
          <w:szCs w:val="24"/>
          <w:lang w:eastAsia="ro-RO"/>
        </w:rPr>
      </w:pPr>
      <w:bookmarkStart w:id="72" w:name="_Toc488066043"/>
      <w:r w:rsidRPr="005747A6">
        <w:rPr>
          <w:rFonts w:ascii="Arial" w:hAnsi="Arial" w:cs="Arial"/>
          <w:b/>
          <w:sz w:val="24"/>
          <w:szCs w:val="24"/>
          <w:lang w:eastAsia="ro-RO"/>
        </w:rPr>
        <w:t>5</w:t>
      </w:r>
      <w:r w:rsidR="00D45E55" w:rsidRPr="005747A6">
        <w:rPr>
          <w:rFonts w:ascii="Arial" w:hAnsi="Arial" w:cs="Arial"/>
          <w:b/>
          <w:sz w:val="24"/>
          <w:szCs w:val="24"/>
          <w:lang w:eastAsia="ro-RO"/>
        </w:rPr>
        <w:t>.4.</w:t>
      </w:r>
      <w:r w:rsidR="002D1648" w:rsidRPr="005747A6">
        <w:rPr>
          <w:rFonts w:ascii="Arial" w:hAnsi="Arial" w:cs="Arial"/>
          <w:b/>
          <w:sz w:val="24"/>
          <w:szCs w:val="24"/>
          <w:lang w:eastAsia="ro-RO"/>
        </w:rPr>
        <w:t xml:space="preserve"> Evoluţii şi situaţia curentă privind </w:t>
      </w:r>
      <w:r w:rsidR="00D45E55" w:rsidRPr="005747A6">
        <w:rPr>
          <w:rFonts w:ascii="Arial" w:hAnsi="Arial" w:cs="Arial"/>
          <w:b/>
          <w:sz w:val="24"/>
          <w:szCs w:val="24"/>
          <w:lang w:eastAsia="ro-RO"/>
        </w:rPr>
        <w:t>locuri</w:t>
      </w:r>
      <w:r w:rsidR="002D1648" w:rsidRPr="005747A6">
        <w:rPr>
          <w:rFonts w:ascii="Arial" w:hAnsi="Arial" w:cs="Arial"/>
          <w:b/>
          <w:sz w:val="24"/>
          <w:szCs w:val="24"/>
          <w:lang w:eastAsia="ro-RO"/>
        </w:rPr>
        <w:t>le</w:t>
      </w:r>
      <w:r w:rsidR="00D45E55" w:rsidRPr="005747A6">
        <w:rPr>
          <w:rFonts w:ascii="Arial" w:hAnsi="Arial" w:cs="Arial"/>
          <w:b/>
          <w:sz w:val="24"/>
          <w:szCs w:val="24"/>
          <w:lang w:eastAsia="ro-RO"/>
        </w:rPr>
        <w:t xml:space="preserve"> de muncă vacante</w:t>
      </w:r>
      <w:bookmarkEnd w:id="72"/>
    </w:p>
    <w:p w:rsidR="002D1648" w:rsidRPr="00DD5F85" w:rsidRDefault="002D1648" w:rsidP="000C6A67">
      <w:pPr>
        <w:pStyle w:val="BodyTextIndent3"/>
        <w:spacing w:after="0"/>
        <w:ind w:left="0"/>
        <w:jc w:val="both"/>
        <w:outlineLvl w:val="1"/>
        <w:rPr>
          <w:rFonts w:ascii="Arial" w:hAnsi="Arial" w:cs="Arial"/>
          <w:sz w:val="24"/>
          <w:szCs w:val="24"/>
          <w:lang w:eastAsia="ro-RO"/>
        </w:rPr>
      </w:pPr>
    </w:p>
    <w:p w:rsidR="002D1648" w:rsidRPr="00DD5F85" w:rsidRDefault="002D1648" w:rsidP="00710E48">
      <w:pPr>
        <w:pStyle w:val="Heading3"/>
        <w:spacing w:before="0" w:line="240" w:lineRule="auto"/>
        <w:jc w:val="both"/>
        <w:rPr>
          <w:rFonts w:ascii="Arial" w:hAnsi="Arial" w:cs="Arial"/>
          <w:b w:val="0"/>
          <w:color w:val="auto"/>
          <w:sz w:val="24"/>
          <w:szCs w:val="24"/>
          <w:lang w:eastAsia="ro-RO"/>
        </w:rPr>
      </w:pPr>
      <w:bookmarkStart w:id="73" w:name="_Toc488066044"/>
      <w:r w:rsidRPr="00DD5F85">
        <w:rPr>
          <w:rFonts w:ascii="Arial" w:hAnsi="Arial" w:cs="Arial"/>
          <w:b w:val="0"/>
          <w:color w:val="auto"/>
          <w:sz w:val="24"/>
          <w:szCs w:val="24"/>
          <w:lang w:eastAsia="ro-RO"/>
        </w:rPr>
        <w:t>5.4.1. Evoluţii şi situaţia curentă  privind locurile de muncă vacante pe activităţi ale economiei naționale</w:t>
      </w:r>
      <w:r w:rsidR="000C25BD">
        <w:rPr>
          <w:rStyle w:val="FootnoteReference"/>
          <w:rFonts w:ascii="Arial" w:hAnsi="Arial" w:cs="Arial"/>
          <w:b w:val="0"/>
          <w:color w:val="auto"/>
          <w:sz w:val="24"/>
          <w:szCs w:val="24"/>
          <w:lang w:eastAsia="ro-RO"/>
        </w:rPr>
        <w:footnoteReference w:id="38"/>
      </w:r>
      <w:bookmarkEnd w:id="73"/>
      <w:r w:rsidRPr="00DD5F85">
        <w:rPr>
          <w:rFonts w:ascii="Arial" w:hAnsi="Arial" w:cs="Arial"/>
          <w:b w:val="0"/>
          <w:color w:val="auto"/>
          <w:sz w:val="24"/>
          <w:szCs w:val="24"/>
          <w:lang w:eastAsia="ro-RO"/>
        </w:rPr>
        <w:t xml:space="preserve"> </w:t>
      </w:r>
    </w:p>
    <w:p w:rsidR="006867E4" w:rsidRPr="00D7513E" w:rsidRDefault="006867E4" w:rsidP="00710E48">
      <w:pPr>
        <w:spacing w:after="0" w:line="240" w:lineRule="auto"/>
        <w:jc w:val="both"/>
        <w:rPr>
          <w:rFonts w:ascii="Arial" w:hAnsi="Arial" w:cs="Arial"/>
          <w:b/>
          <w:sz w:val="24"/>
          <w:szCs w:val="24"/>
          <w:lang w:val="en-US"/>
        </w:rPr>
      </w:pPr>
      <w:r w:rsidRPr="00B309E0">
        <w:rPr>
          <w:rFonts w:ascii="Arial" w:hAnsi="Arial" w:cs="Arial"/>
          <w:i/>
          <w:sz w:val="24"/>
          <w:szCs w:val="24"/>
        </w:rPr>
        <w:t>5.4.1.1.Locuri de munca vacante pe regiuni de dezvoltare si activitati ale economiei nationale (sectiuni) CAEN Rev.2</w:t>
      </w:r>
      <w:r w:rsidR="005763E2">
        <w:rPr>
          <w:rFonts w:ascii="Arial" w:hAnsi="Arial" w:cs="Arial"/>
          <w:i/>
          <w:sz w:val="24"/>
          <w:szCs w:val="24"/>
        </w:rPr>
        <w:t xml:space="preserve"> </w:t>
      </w:r>
      <w:r w:rsidRPr="00D7513E">
        <w:rPr>
          <w:rFonts w:ascii="Arial" w:hAnsi="Arial" w:cs="Arial"/>
          <w:b/>
          <w:bCs/>
          <w:sz w:val="24"/>
          <w:szCs w:val="24"/>
          <w:lang w:val="en-US"/>
        </w:rPr>
        <w:t>În Rom</w:t>
      </w:r>
      <w:r w:rsidRPr="00D7513E">
        <w:rPr>
          <w:rFonts w:ascii="Arial" w:hAnsi="Arial" w:cs="Arial"/>
          <w:b/>
          <w:bCs/>
          <w:sz w:val="24"/>
          <w:szCs w:val="24"/>
        </w:rPr>
        <w:t xml:space="preserve">ânia, </w:t>
      </w:r>
      <w:r w:rsidRPr="00D7513E">
        <w:rPr>
          <w:rFonts w:ascii="Arial" w:hAnsi="Arial" w:cs="Arial"/>
          <w:b/>
          <w:bCs/>
          <w:sz w:val="24"/>
          <w:szCs w:val="24"/>
          <w:lang w:val="en-US"/>
        </w:rPr>
        <w:t xml:space="preserve">numărul mediu anual al locurilor de muncă vacante, în perioada analizată, </w:t>
      </w:r>
      <w:r w:rsidRPr="00D7513E">
        <w:rPr>
          <w:rFonts w:ascii="Arial" w:hAnsi="Arial" w:cs="Arial"/>
          <w:b/>
          <w:sz w:val="24"/>
          <w:szCs w:val="24"/>
          <w:lang w:val="en-US"/>
        </w:rPr>
        <w:t xml:space="preserve">a fost de 40.636 locuri  iar în Regiunea Vest de 5.429 locuri ceea ce a reprezintat 13,36% din numarul locurilor de muncă vacante din întreaga țară. </w:t>
      </w:r>
    </w:p>
    <w:p w:rsidR="006867E4" w:rsidRPr="00B309E0" w:rsidRDefault="006867E4" w:rsidP="00710E48">
      <w:pPr>
        <w:spacing w:after="0" w:line="240" w:lineRule="auto"/>
        <w:jc w:val="both"/>
        <w:rPr>
          <w:rFonts w:ascii="Arial" w:hAnsi="Arial" w:cs="Arial"/>
          <w:bCs/>
          <w:color w:val="000000"/>
          <w:sz w:val="24"/>
          <w:szCs w:val="24"/>
        </w:rPr>
      </w:pPr>
      <w:r w:rsidRPr="00B309E0">
        <w:rPr>
          <w:rFonts w:ascii="Arial" w:hAnsi="Arial" w:cs="Arial"/>
          <w:sz w:val="24"/>
          <w:szCs w:val="24"/>
          <w:lang w:val="it-IT"/>
        </w:rPr>
        <w:t xml:space="preserve">În urma analizei datelor existente, la nivelul regiunii în perioada 2011-2015,  </w:t>
      </w:r>
      <w:r w:rsidR="008F04D5">
        <w:rPr>
          <w:rFonts w:ascii="Arial" w:hAnsi="Arial" w:cs="Arial"/>
          <w:sz w:val="24"/>
          <w:szCs w:val="24"/>
          <w:lang w:val="it-IT"/>
        </w:rPr>
        <w:t>cu privire la</w:t>
      </w:r>
      <w:r w:rsidRPr="00B309E0">
        <w:rPr>
          <w:rFonts w:ascii="Arial" w:hAnsi="Arial" w:cs="Arial"/>
          <w:sz w:val="24"/>
          <w:szCs w:val="24"/>
          <w:lang w:val="it-IT"/>
        </w:rPr>
        <w:t xml:space="preserve"> locurile de munca vacante se constată următoarele: media celor mai  ridicate valori s-a</w:t>
      </w:r>
      <w:r w:rsidR="008F04D5">
        <w:rPr>
          <w:rFonts w:ascii="Arial" w:hAnsi="Arial" w:cs="Arial"/>
          <w:sz w:val="24"/>
          <w:szCs w:val="24"/>
          <w:lang w:val="it-IT"/>
        </w:rPr>
        <w:t>u</w:t>
      </w:r>
      <w:r w:rsidRPr="00B309E0">
        <w:rPr>
          <w:rFonts w:ascii="Arial" w:hAnsi="Arial" w:cs="Arial"/>
          <w:sz w:val="24"/>
          <w:szCs w:val="24"/>
          <w:lang w:val="it-IT"/>
        </w:rPr>
        <w:t xml:space="preserve"> </w:t>
      </w:r>
      <w:r w:rsidRPr="00D7513E">
        <w:rPr>
          <w:rFonts w:ascii="Arial" w:hAnsi="Arial" w:cs="Arial"/>
          <w:b/>
          <w:sz w:val="24"/>
          <w:szCs w:val="24"/>
          <w:lang w:val="it-IT"/>
        </w:rPr>
        <w:t xml:space="preserve">înregistrat în </w:t>
      </w:r>
      <w:r w:rsidRPr="00D7513E">
        <w:rPr>
          <w:rFonts w:ascii="Arial" w:hAnsi="Arial" w:cs="Arial"/>
          <w:b/>
          <w:i/>
          <w:sz w:val="24"/>
          <w:szCs w:val="24"/>
          <w:lang w:val="it-IT"/>
        </w:rPr>
        <w:t>industria prelucrătoare</w:t>
      </w:r>
      <w:r w:rsidRPr="00D7513E">
        <w:rPr>
          <w:rFonts w:ascii="Arial" w:hAnsi="Arial" w:cs="Arial"/>
          <w:b/>
          <w:sz w:val="24"/>
          <w:szCs w:val="24"/>
          <w:lang w:val="it-IT"/>
        </w:rPr>
        <w:t xml:space="preserve">  (</w:t>
      </w:r>
      <w:r w:rsidRPr="00D7513E">
        <w:rPr>
          <w:rFonts w:ascii="Arial" w:hAnsi="Arial" w:cs="Arial"/>
          <w:b/>
          <w:color w:val="000000"/>
          <w:sz w:val="24"/>
          <w:szCs w:val="24"/>
          <w:lang w:val="en-US"/>
        </w:rPr>
        <w:t>2.119 locuri de muncă vacante),</w:t>
      </w:r>
      <w:r w:rsidRPr="00B309E0">
        <w:rPr>
          <w:rFonts w:ascii="Arial" w:hAnsi="Arial" w:cs="Arial"/>
          <w:color w:val="000000"/>
          <w:sz w:val="24"/>
          <w:szCs w:val="24"/>
          <w:lang w:val="en-US"/>
        </w:rPr>
        <w:t xml:space="preserve"> în </w:t>
      </w:r>
      <w:r w:rsidRPr="00B309E0">
        <w:rPr>
          <w:rFonts w:ascii="Arial" w:hAnsi="Arial" w:cs="Arial"/>
          <w:i/>
          <w:color w:val="000000"/>
          <w:sz w:val="24"/>
          <w:szCs w:val="24"/>
          <w:lang w:val="en-US"/>
        </w:rPr>
        <w:t>învățământ</w:t>
      </w:r>
      <w:r w:rsidRPr="00B309E0">
        <w:rPr>
          <w:rFonts w:ascii="Arial" w:hAnsi="Arial" w:cs="Arial"/>
          <w:color w:val="000000"/>
          <w:sz w:val="24"/>
          <w:szCs w:val="24"/>
          <w:lang w:val="en-US"/>
        </w:rPr>
        <w:t xml:space="preserve"> (717,5 locuri de muncă vacante)</w:t>
      </w:r>
      <w:r w:rsidR="00D7513E">
        <w:rPr>
          <w:rFonts w:ascii="Arial" w:hAnsi="Arial" w:cs="Arial"/>
          <w:color w:val="000000"/>
          <w:sz w:val="24"/>
          <w:szCs w:val="24"/>
          <w:lang w:val="en-US"/>
        </w:rPr>
        <w:t>,</w:t>
      </w:r>
      <w:r w:rsidRPr="00B309E0">
        <w:rPr>
          <w:rFonts w:ascii="Arial" w:hAnsi="Arial" w:cs="Arial"/>
          <w:color w:val="000000"/>
          <w:sz w:val="24"/>
          <w:szCs w:val="24"/>
          <w:lang w:val="en-US"/>
        </w:rPr>
        <w:t xml:space="preserve"> </w:t>
      </w:r>
      <w:r w:rsidRPr="00B309E0">
        <w:rPr>
          <w:rFonts w:ascii="Arial" w:hAnsi="Arial" w:cs="Arial"/>
          <w:i/>
          <w:color w:val="000000"/>
          <w:sz w:val="24"/>
          <w:szCs w:val="24"/>
          <w:lang w:val="en-US"/>
        </w:rPr>
        <w:t>în administrația publică</w:t>
      </w:r>
      <w:r w:rsidRPr="00B309E0">
        <w:rPr>
          <w:rFonts w:ascii="Arial" w:hAnsi="Arial" w:cs="Arial"/>
          <w:color w:val="000000"/>
          <w:sz w:val="24"/>
          <w:szCs w:val="24"/>
          <w:lang w:val="en-US"/>
        </w:rPr>
        <w:t xml:space="preserve"> </w:t>
      </w:r>
      <w:r w:rsidRPr="00B309E0">
        <w:rPr>
          <w:rFonts w:ascii="Arial" w:hAnsi="Arial" w:cs="Arial"/>
          <w:i/>
          <w:color w:val="000000"/>
          <w:sz w:val="24"/>
          <w:szCs w:val="24"/>
          <w:lang w:val="en-US"/>
        </w:rPr>
        <w:t>(</w:t>
      </w:r>
      <w:r w:rsidRPr="00B309E0">
        <w:rPr>
          <w:rFonts w:ascii="Arial" w:hAnsi="Arial" w:cs="Arial"/>
          <w:color w:val="000000"/>
          <w:sz w:val="24"/>
          <w:szCs w:val="24"/>
          <w:lang w:val="en-US"/>
        </w:rPr>
        <w:t>614 locuri de muncă vacante</w:t>
      </w:r>
      <w:r w:rsidRPr="00B309E0">
        <w:rPr>
          <w:rFonts w:ascii="Arial" w:hAnsi="Arial" w:cs="Arial"/>
          <w:i/>
          <w:color w:val="000000"/>
          <w:sz w:val="24"/>
          <w:szCs w:val="24"/>
          <w:lang w:val="en-US"/>
        </w:rPr>
        <w:t xml:space="preserve"> ) </w:t>
      </w:r>
      <w:r w:rsidRPr="00B309E0">
        <w:rPr>
          <w:rFonts w:ascii="Arial" w:hAnsi="Arial" w:cs="Arial"/>
          <w:color w:val="000000"/>
          <w:sz w:val="24"/>
          <w:szCs w:val="24"/>
          <w:lang w:val="en-US"/>
        </w:rPr>
        <w:t>și în</w:t>
      </w:r>
      <w:r w:rsidRPr="00B309E0">
        <w:rPr>
          <w:rFonts w:ascii="Arial" w:hAnsi="Arial" w:cs="Arial"/>
          <w:i/>
          <w:color w:val="000000"/>
          <w:sz w:val="24"/>
          <w:szCs w:val="24"/>
          <w:lang w:val="en-US"/>
        </w:rPr>
        <w:t xml:space="preserve"> sănătate și asistență socială</w:t>
      </w:r>
      <w:r w:rsidRPr="00B309E0">
        <w:rPr>
          <w:rFonts w:ascii="Arial" w:hAnsi="Arial" w:cs="Arial"/>
          <w:color w:val="000000"/>
          <w:sz w:val="24"/>
          <w:szCs w:val="24"/>
          <w:lang w:val="en-US"/>
        </w:rPr>
        <w:t xml:space="preserve"> (596 locuri de muncă vacante).La polul opus, cele mai mici valori în ceea ce priveste numărul mediu anual al locurilor de muncă vacante s-a înregistrat în activitățile din </w:t>
      </w:r>
      <w:r w:rsidRPr="00B309E0">
        <w:rPr>
          <w:rFonts w:ascii="Arial" w:hAnsi="Arial" w:cs="Arial"/>
          <w:i/>
          <w:sz w:val="24"/>
          <w:szCs w:val="24"/>
        </w:rPr>
        <w:t>producția  şi furnizarea  de energie electrică  şi termică, gaze, apă  caldă  şi aer condiționat</w:t>
      </w:r>
      <w:r w:rsidRPr="00B309E0">
        <w:rPr>
          <w:rFonts w:ascii="Arial" w:hAnsi="Arial" w:cs="Arial"/>
          <w:sz w:val="24"/>
          <w:szCs w:val="24"/>
        </w:rPr>
        <w:t xml:space="preserve">  (7  </w:t>
      </w:r>
      <w:r w:rsidRPr="00B309E0">
        <w:rPr>
          <w:rFonts w:ascii="Arial" w:hAnsi="Arial" w:cs="Arial"/>
          <w:color w:val="000000"/>
          <w:sz w:val="24"/>
          <w:szCs w:val="24"/>
          <w:lang w:val="en-US"/>
        </w:rPr>
        <w:t xml:space="preserve">locuri de muncă vacante)  </w:t>
      </w:r>
      <w:r w:rsidRPr="00B309E0">
        <w:rPr>
          <w:rFonts w:ascii="Arial" w:hAnsi="Arial" w:cs="Arial"/>
          <w:color w:val="000000"/>
          <w:sz w:val="24"/>
          <w:szCs w:val="24"/>
          <w:lang w:val="en-US"/>
        </w:rPr>
        <w:lastRenderedPageBreak/>
        <w:t xml:space="preserve">urmate de </w:t>
      </w:r>
      <w:r w:rsidRPr="00B309E0">
        <w:rPr>
          <w:rFonts w:ascii="Arial" w:hAnsi="Arial" w:cs="Arial"/>
          <w:bCs/>
          <w:i/>
          <w:color w:val="000000"/>
          <w:sz w:val="24"/>
          <w:szCs w:val="24"/>
        </w:rPr>
        <w:t>hoteluri și restaurante  (</w:t>
      </w:r>
      <w:r w:rsidR="00D23C57">
        <w:rPr>
          <w:rFonts w:ascii="Arial" w:hAnsi="Arial" w:cs="Arial"/>
          <w:bCs/>
          <w:color w:val="000000"/>
          <w:sz w:val="24"/>
          <w:szCs w:val="24"/>
        </w:rPr>
        <w:t xml:space="preserve">30 </w:t>
      </w:r>
      <w:r w:rsidRPr="00B309E0">
        <w:rPr>
          <w:rFonts w:ascii="Arial" w:hAnsi="Arial" w:cs="Arial"/>
          <w:bCs/>
          <w:color w:val="000000"/>
          <w:sz w:val="24"/>
          <w:szCs w:val="24"/>
        </w:rPr>
        <w:t>locuri de muncă vacante</w:t>
      </w:r>
      <w:r w:rsidRPr="00B309E0">
        <w:rPr>
          <w:rFonts w:ascii="Arial" w:hAnsi="Arial" w:cs="Arial"/>
          <w:bCs/>
          <w:i/>
          <w:color w:val="000000"/>
          <w:sz w:val="24"/>
          <w:szCs w:val="24"/>
        </w:rPr>
        <w:t>) și informații și comunicații (</w:t>
      </w:r>
      <w:r w:rsidRPr="00B309E0">
        <w:rPr>
          <w:rFonts w:ascii="Arial" w:hAnsi="Arial" w:cs="Arial"/>
          <w:bCs/>
          <w:color w:val="000000"/>
          <w:sz w:val="24"/>
          <w:szCs w:val="24"/>
        </w:rPr>
        <w:t>35  locuri de muncă vacante).</w:t>
      </w:r>
    </w:p>
    <w:p w:rsidR="001937AF" w:rsidRPr="006867E4" w:rsidRDefault="006867E4" w:rsidP="000C6A67">
      <w:pPr>
        <w:spacing w:after="0" w:line="240" w:lineRule="auto"/>
        <w:jc w:val="both"/>
        <w:rPr>
          <w:rFonts w:ascii="Arial" w:hAnsi="Arial" w:cs="Arial"/>
          <w:color w:val="000000"/>
          <w:sz w:val="24"/>
          <w:szCs w:val="24"/>
          <w:lang w:val="en-US"/>
        </w:rPr>
      </w:pPr>
      <w:r w:rsidRPr="00B309E0">
        <w:rPr>
          <w:rFonts w:ascii="Arial" w:hAnsi="Arial" w:cs="Arial"/>
          <w:bCs/>
          <w:color w:val="000000"/>
          <w:sz w:val="24"/>
          <w:szCs w:val="24"/>
        </w:rPr>
        <w:t>In profil teritorial, în ceea ce privește numărul mediu al locurilor vacante,</w:t>
      </w:r>
      <w:r w:rsidR="00710E48">
        <w:rPr>
          <w:rFonts w:ascii="Arial" w:hAnsi="Arial" w:cs="Arial"/>
          <w:bCs/>
          <w:color w:val="000000"/>
          <w:sz w:val="24"/>
          <w:szCs w:val="24"/>
        </w:rPr>
        <w:t xml:space="preserve"> Regiunea București</w:t>
      </w:r>
      <w:r w:rsidRPr="00B309E0">
        <w:rPr>
          <w:rFonts w:ascii="Arial" w:hAnsi="Arial" w:cs="Arial"/>
          <w:bCs/>
          <w:color w:val="000000"/>
          <w:sz w:val="24"/>
          <w:szCs w:val="24"/>
        </w:rPr>
        <w:t>–Ilfo</w:t>
      </w:r>
      <w:r w:rsidR="00710E48">
        <w:rPr>
          <w:rFonts w:ascii="Arial" w:hAnsi="Arial" w:cs="Arial"/>
          <w:bCs/>
          <w:color w:val="000000"/>
          <w:sz w:val="24"/>
          <w:szCs w:val="24"/>
        </w:rPr>
        <w:t>v</w:t>
      </w:r>
      <w:r w:rsidRPr="00B309E0">
        <w:rPr>
          <w:rFonts w:ascii="Arial" w:hAnsi="Arial" w:cs="Arial"/>
          <w:bCs/>
          <w:color w:val="000000"/>
          <w:sz w:val="24"/>
          <w:szCs w:val="24"/>
        </w:rPr>
        <w:t xml:space="preserve"> </w:t>
      </w:r>
      <w:r w:rsidR="00A122FC">
        <w:rPr>
          <w:rFonts w:ascii="Arial" w:hAnsi="Arial" w:cs="Arial"/>
          <w:bCs/>
          <w:color w:val="000000"/>
          <w:sz w:val="24"/>
          <w:szCs w:val="24"/>
        </w:rPr>
        <w:t>se situaeaza pe primul loc (10.</w:t>
      </w:r>
      <w:r w:rsidRPr="00B309E0">
        <w:rPr>
          <w:rFonts w:ascii="Arial" w:hAnsi="Arial" w:cs="Arial"/>
          <w:bCs/>
          <w:color w:val="000000"/>
          <w:sz w:val="24"/>
          <w:szCs w:val="24"/>
        </w:rPr>
        <w:t>339 locuri vacante) urmată de Regiunea Nord –Est (5.624 locuri vacante) și Regiunea Vest (5.429 locuri vacante). La polul opus, cele mai scăzute valori ale numărului mediu al locurilor vacante s-au înregistrat în Regiunea Sud-Vest Oltenia (2234 locuri vacante) urmată de Regiunea Sud-Est (2860 locuri vacante).</w:t>
      </w:r>
    </w:p>
    <w:p w:rsidR="00710E48" w:rsidRDefault="00710E48" w:rsidP="000C6A67">
      <w:pPr>
        <w:pStyle w:val="Heading3"/>
        <w:spacing w:before="0" w:line="240" w:lineRule="auto"/>
        <w:jc w:val="both"/>
        <w:rPr>
          <w:rFonts w:ascii="Arial" w:hAnsi="Arial" w:cs="Arial"/>
          <w:b w:val="0"/>
          <w:i/>
          <w:color w:val="auto"/>
          <w:sz w:val="24"/>
          <w:szCs w:val="24"/>
          <w:lang w:eastAsia="ro-RO"/>
        </w:rPr>
      </w:pPr>
    </w:p>
    <w:p w:rsidR="002D1648" w:rsidRPr="00710E48" w:rsidRDefault="002D1648" w:rsidP="000C6A67">
      <w:pPr>
        <w:pStyle w:val="Heading3"/>
        <w:spacing w:before="0" w:line="240" w:lineRule="auto"/>
        <w:jc w:val="both"/>
        <w:rPr>
          <w:rFonts w:ascii="Arial" w:hAnsi="Arial" w:cs="Arial"/>
          <w:b w:val="0"/>
          <w:i/>
          <w:color w:val="auto"/>
          <w:sz w:val="24"/>
          <w:szCs w:val="24"/>
          <w:lang w:eastAsia="ro-RO"/>
        </w:rPr>
      </w:pPr>
      <w:bookmarkStart w:id="74" w:name="_Toc488066045"/>
      <w:r w:rsidRPr="00710E48">
        <w:rPr>
          <w:rFonts w:ascii="Arial" w:hAnsi="Arial" w:cs="Arial"/>
          <w:b w:val="0"/>
          <w:i/>
          <w:color w:val="auto"/>
          <w:sz w:val="24"/>
          <w:szCs w:val="24"/>
          <w:lang w:eastAsia="ro-RO"/>
        </w:rPr>
        <w:t>5.4.2. Evoluţii şi situaţia curentă privind locurile de muncă vacante pe grupe majore de ocupații</w:t>
      </w:r>
      <w:r w:rsidR="000C25BD" w:rsidRPr="00710E48">
        <w:rPr>
          <w:rStyle w:val="FootnoteReference"/>
          <w:rFonts w:ascii="Arial" w:hAnsi="Arial" w:cs="Arial"/>
          <w:b w:val="0"/>
          <w:i/>
          <w:color w:val="auto"/>
          <w:sz w:val="24"/>
          <w:szCs w:val="24"/>
          <w:lang w:eastAsia="ro-RO"/>
        </w:rPr>
        <w:footnoteReference w:id="39"/>
      </w:r>
      <w:bookmarkEnd w:id="74"/>
    </w:p>
    <w:p w:rsidR="008F04D5" w:rsidRDefault="00965358" w:rsidP="008F04D5">
      <w:pPr>
        <w:autoSpaceDE w:val="0"/>
        <w:autoSpaceDN w:val="0"/>
        <w:adjustRightInd w:val="0"/>
        <w:spacing w:after="240" w:line="240" w:lineRule="auto"/>
        <w:jc w:val="both"/>
        <w:rPr>
          <w:rFonts w:ascii="Arial" w:hAnsi="Arial" w:cs="Arial"/>
          <w:sz w:val="24"/>
          <w:szCs w:val="24"/>
        </w:rPr>
      </w:pPr>
      <w:r>
        <w:rPr>
          <w:rFonts w:ascii="Arial" w:hAnsi="Arial" w:cs="Arial"/>
          <w:sz w:val="24"/>
          <w:szCs w:val="24"/>
          <w:lang w:val="en-US"/>
        </w:rPr>
        <w:t xml:space="preserve">În perioada </w:t>
      </w:r>
      <w:r w:rsidR="006867E4" w:rsidRPr="00B309E0">
        <w:rPr>
          <w:rFonts w:ascii="Arial" w:hAnsi="Arial" w:cs="Arial"/>
          <w:sz w:val="24"/>
          <w:szCs w:val="24"/>
          <w:lang w:val="en-US"/>
        </w:rPr>
        <w:t xml:space="preserve">2011- 2015, </w:t>
      </w:r>
      <w:r w:rsidR="006867E4" w:rsidRPr="00B309E0">
        <w:rPr>
          <w:rFonts w:ascii="Arial" w:hAnsi="Arial" w:cs="Arial"/>
          <w:bCs/>
          <w:sz w:val="24"/>
          <w:szCs w:val="24"/>
          <w:lang w:val="en-US"/>
        </w:rPr>
        <w:t>cea mai mare cerere</w:t>
      </w:r>
      <w:r w:rsidR="006867E4" w:rsidRPr="00B309E0">
        <w:rPr>
          <w:rFonts w:ascii="Arial" w:hAnsi="Arial" w:cs="Arial"/>
          <w:b/>
          <w:bCs/>
          <w:sz w:val="24"/>
          <w:szCs w:val="24"/>
          <w:lang w:val="en-US"/>
        </w:rPr>
        <w:t xml:space="preserve"> </w:t>
      </w:r>
      <w:r w:rsidR="006867E4" w:rsidRPr="00B309E0">
        <w:rPr>
          <w:rFonts w:ascii="Arial" w:hAnsi="Arial" w:cs="Arial"/>
          <w:sz w:val="24"/>
          <w:szCs w:val="24"/>
          <w:lang w:val="en-US"/>
        </w:rPr>
        <w:t xml:space="preserve">de forță de muncă salariată exprimată de angajatori prin intermediul </w:t>
      </w:r>
      <w:r w:rsidR="006867E4" w:rsidRPr="00B309E0">
        <w:rPr>
          <w:rFonts w:ascii="Arial" w:hAnsi="Arial" w:cs="Arial"/>
          <w:i/>
          <w:iCs/>
          <w:sz w:val="24"/>
          <w:szCs w:val="24"/>
          <w:lang w:val="en-US"/>
        </w:rPr>
        <w:t xml:space="preserve">numărului mediu anual al locurilor de muncă vacante </w:t>
      </w:r>
      <w:r w:rsidR="006867E4" w:rsidRPr="00B309E0">
        <w:rPr>
          <w:rFonts w:ascii="Arial" w:hAnsi="Arial" w:cs="Arial"/>
          <w:sz w:val="24"/>
          <w:szCs w:val="24"/>
          <w:lang w:val="en-US"/>
        </w:rPr>
        <w:t>s</w:t>
      </w:r>
      <w:r w:rsidR="006867E4" w:rsidRPr="00B309E0">
        <w:rPr>
          <w:rFonts w:ascii="Cambria Math" w:hAnsi="Cambria Math" w:cs="Cambria Math"/>
          <w:sz w:val="24"/>
          <w:szCs w:val="24"/>
          <w:lang w:val="en-US"/>
        </w:rPr>
        <w:t>‐</w:t>
      </w:r>
      <w:r w:rsidR="006867E4" w:rsidRPr="00B309E0">
        <w:rPr>
          <w:rFonts w:ascii="Arial" w:hAnsi="Arial" w:cs="Arial"/>
          <w:sz w:val="24"/>
          <w:szCs w:val="24"/>
          <w:lang w:val="en-US"/>
        </w:rPr>
        <w:t xml:space="preserve">a constatat în rândul ocupațiilor de </w:t>
      </w:r>
      <w:r w:rsidR="006867E4" w:rsidRPr="00B309E0">
        <w:rPr>
          <w:rFonts w:ascii="Arial" w:hAnsi="Arial" w:cs="Arial"/>
          <w:i/>
          <w:iCs/>
          <w:sz w:val="24"/>
          <w:szCs w:val="24"/>
          <w:lang w:val="en-US"/>
        </w:rPr>
        <w:t>specialişti în diverse domenii de activitate  (</w:t>
      </w:r>
      <w:r w:rsidR="006867E4" w:rsidRPr="00B309E0">
        <w:rPr>
          <w:rFonts w:ascii="Arial" w:hAnsi="Arial" w:cs="Arial"/>
          <w:color w:val="000000"/>
          <w:sz w:val="24"/>
          <w:szCs w:val="24"/>
          <w:lang w:val="en-US"/>
        </w:rPr>
        <w:t xml:space="preserve">5.146 locuri de munca vacante),  </w:t>
      </w:r>
      <w:r w:rsidR="006867E4" w:rsidRPr="00B309E0">
        <w:rPr>
          <w:rFonts w:ascii="Arial" w:hAnsi="Arial" w:cs="Arial"/>
          <w:sz w:val="24"/>
          <w:szCs w:val="24"/>
          <w:lang w:val="en-US"/>
        </w:rPr>
        <w:t>urmate de</w:t>
      </w:r>
      <w:r w:rsidR="006867E4" w:rsidRPr="00B309E0">
        <w:rPr>
          <w:rFonts w:ascii="Arial" w:hAnsi="Arial" w:cs="Arial"/>
          <w:color w:val="000000"/>
          <w:sz w:val="24"/>
          <w:szCs w:val="24"/>
          <w:lang w:val="en-US"/>
        </w:rPr>
        <w:t xml:space="preserve"> </w:t>
      </w:r>
      <w:r w:rsidR="006867E4" w:rsidRPr="00B309E0">
        <w:rPr>
          <w:rFonts w:ascii="Arial" w:hAnsi="Arial" w:cs="Arial"/>
          <w:sz w:val="24"/>
          <w:szCs w:val="24"/>
          <w:lang w:val="en-US"/>
        </w:rPr>
        <w:t xml:space="preserve">ocupațiile de </w:t>
      </w:r>
      <w:r w:rsidR="006867E4" w:rsidRPr="00B309E0">
        <w:rPr>
          <w:rFonts w:ascii="Arial" w:hAnsi="Arial" w:cs="Arial"/>
          <w:i/>
          <w:iCs/>
          <w:sz w:val="24"/>
          <w:szCs w:val="24"/>
          <w:lang w:val="en-US"/>
        </w:rPr>
        <w:t xml:space="preserve">Muncitori necalificați </w:t>
      </w:r>
      <w:r w:rsidR="006867E4" w:rsidRPr="00B309E0">
        <w:rPr>
          <w:rFonts w:ascii="Arial" w:hAnsi="Arial" w:cs="Arial"/>
          <w:iCs/>
          <w:sz w:val="24"/>
          <w:szCs w:val="24"/>
          <w:lang w:val="en-US"/>
        </w:rPr>
        <w:t xml:space="preserve">(1.065 locuri vacante) </w:t>
      </w:r>
      <w:r w:rsidR="006867E4" w:rsidRPr="00B309E0">
        <w:rPr>
          <w:rFonts w:ascii="Arial" w:hAnsi="Arial" w:cs="Arial"/>
          <w:i/>
          <w:iCs/>
          <w:sz w:val="24"/>
          <w:szCs w:val="24"/>
          <w:lang w:val="en-US"/>
        </w:rPr>
        <w:t>și Operatori la instalații ș</w:t>
      </w:r>
      <w:r w:rsidR="00157F24">
        <w:rPr>
          <w:rFonts w:ascii="Arial" w:hAnsi="Arial" w:cs="Arial"/>
          <w:i/>
          <w:iCs/>
          <w:sz w:val="24"/>
          <w:szCs w:val="24"/>
          <w:lang w:val="en-US"/>
        </w:rPr>
        <w:t>i mașini; asamblori de mașini ș</w:t>
      </w:r>
      <w:r w:rsidR="006867E4" w:rsidRPr="00B309E0">
        <w:rPr>
          <w:rFonts w:ascii="Arial" w:hAnsi="Arial" w:cs="Arial"/>
          <w:i/>
          <w:iCs/>
          <w:sz w:val="24"/>
          <w:szCs w:val="24"/>
          <w:lang w:val="en-US"/>
        </w:rPr>
        <w:t xml:space="preserve">i echipamente </w:t>
      </w:r>
      <w:r w:rsidR="006867E4" w:rsidRPr="00B309E0">
        <w:rPr>
          <w:rFonts w:ascii="Arial" w:hAnsi="Arial" w:cs="Arial"/>
          <w:iCs/>
          <w:sz w:val="24"/>
          <w:szCs w:val="24"/>
          <w:lang w:val="en-US"/>
        </w:rPr>
        <w:t>(739 locuri vacante).</w:t>
      </w:r>
      <w:r w:rsidR="00157F24">
        <w:rPr>
          <w:rFonts w:ascii="Arial" w:hAnsi="Arial" w:cs="Arial"/>
          <w:iCs/>
          <w:sz w:val="24"/>
          <w:szCs w:val="24"/>
          <w:lang w:val="en-US"/>
        </w:rPr>
        <w:t xml:space="preserve"> </w:t>
      </w:r>
      <w:r w:rsidR="006867E4" w:rsidRPr="00B309E0">
        <w:rPr>
          <w:rFonts w:ascii="Arial" w:hAnsi="Arial" w:cs="Arial"/>
          <w:sz w:val="24"/>
          <w:szCs w:val="24"/>
          <w:lang w:val="en-US"/>
        </w:rPr>
        <w:t xml:space="preserve">La polul opus, </w:t>
      </w:r>
      <w:r w:rsidR="006867E4" w:rsidRPr="00B309E0">
        <w:rPr>
          <w:rFonts w:ascii="Arial" w:hAnsi="Arial" w:cs="Arial"/>
          <w:bCs/>
          <w:sz w:val="24"/>
          <w:szCs w:val="24"/>
          <w:lang w:val="en-US"/>
        </w:rPr>
        <w:t>cea mai redusă disponibilitate</w:t>
      </w:r>
      <w:r w:rsidR="006867E4" w:rsidRPr="00B309E0">
        <w:rPr>
          <w:rFonts w:ascii="Arial" w:hAnsi="Arial" w:cs="Arial"/>
          <w:b/>
          <w:bCs/>
          <w:sz w:val="24"/>
          <w:szCs w:val="24"/>
          <w:lang w:val="en-US"/>
        </w:rPr>
        <w:t xml:space="preserve"> </w:t>
      </w:r>
      <w:r w:rsidR="006867E4" w:rsidRPr="00B309E0">
        <w:rPr>
          <w:rFonts w:ascii="Arial" w:hAnsi="Arial" w:cs="Arial"/>
          <w:sz w:val="24"/>
          <w:szCs w:val="24"/>
          <w:lang w:val="en-US"/>
        </w:rPr>
        <w:t>a cererii de forță de muncă salariată s</w:t>
      </w:r>
      <w:r w:rsidR="006867E4" w:rsidRPr="00B309E0">
        <w:rPr>
          <w:rFonts w:ascii="Cambria Math" w:hAnsi="Cambria Math" w:cs="Cambria Math"/>
          <w:sz w:val="24"/>
          <w:szCs w:val="24"/>
          <w:lang w:val="en-US"/>
        </w:rPr>
        <w:t>‐</w:t>
      </w:r>
      <w:r w:rsidR="006867E4" w:rsidRPr="00B309E0">
        <w:rPr>
          <w:rFonts w:ascii="Arial" w:hAnsi="Arial" w:cs="Arial"/>
          <w:sz w:val="24"/>
          <w:szCs w:val="24"/>
          <w:lang w:val="en-US"/>
        </w:rPr>
        <w:t xml:space="preserve">a constatat pentru ocupațiile de </w:t>
      </w:r>
      <w:r w:rsidR="006867E4" w:rsidRPr="00B309E0">
        <w:rPr>
          <w:rFonts w:ascii="Arial" w:hAnsi="Arial" w:cs="Arial"/>
          <w:i/>
          <w:iCs/>
          <w:sz w:val="24"/>
          <w:szCs w:val="24"/>
          <w:lang w:val="en-US"/>
        </w:rPr>
        <w:t>lucrători calificați în</w:t>
      </w:r>
      <w:r w:rsidR="006867E4" w:rsidRPr="00B309E0">
        <w:rPr>
          <w:rFonts w:ascii="Arial" w:hAnsi="Arial" w:cs="Arial"/>
          <w:sz w:val="24"/>
          <w:szCs w:val="24"/>
          <w:lang w:val="en-US"/>
        </w:rPr>
        <w:t xml:space="preserve"> </w:t>
      </w:r>
      <w:r w:rsidR="006867E4" w:rsidRPr="00B309E0">
        <w:rPr>
          <w:rFonts w:ascii="Arial" w:hAnsi="Arial" w:cs="Arial"/>
          <w:i/>
          <w:iCs/>
          <w:sz w:val="24"/>
          <w:szCs w:val="24"/>
          <w:lang w:val="en-US"/>
        </w:rPr>
        <w:t xml:space="preserve">agricultură, silvicultură şi pescuit </w:t>
      </w:r>
      <w:r w:rsidR="006867E4" w:rsidRPr="00B309E0">
        <w:rPr>
          <w:rFonts w:ascii="Cambria Math" w:hAnsi="Cambria Math" w:cs="Cambria Math"/>
          <w:i/>
          <w:iCs/>
          <w:sz w:val="24"/>
          <w:szCs w:val="24"/>
          <w:lang w:val="en-US"/>
        </w:rPr>
        <w:t>‐</w:t>
      </w:r>
      <w:r w:rsidR="006867E4" w:rsidRPr="00B309E0">
        <w:rPr>
          <w:rFonts w:ascii="Arial" w:hAnsi="Arial" w:cs="Arial"/>
          <w:i/>
          <w:iCs/>
          <w:sz w:val="24"/>
          <w:szCs w:val="24"/>
          <w:lang w:val="en-US"/>
        </w:rPr>
        <w:t xml:space="preserve"> </w:t>
      </w:r>
      <w:r w:rsidR="006867E4" w:rsidRPr="00B309E0">
        <w:rPr>
          <w:rFonts w:ascii="Arial" w:hAnsi="Arial" w:cs="Arial"/>
          <w:sz w:val="24"/>
          <w:szCs w:val="24"/>
          <w:lang w:val="en-US"/>
        </w:rPr>
        <w:t xml:space="preserve">(6 locuri vacante), respectiv de </w:t>
      </w:r>
      <w:r w:rsidR="006867E4" w:rsidRPr="00B309E0">
        <w:rPr>
          <w:rFonts w:ascii="Arial" w:hAnsi="Arial" w:cs="Arial"/>
          <w:i/>
          <w:iCs/>
          <w:sz w:val="24"/>
          <w:szCs w:val="24"/>
          <w:lang w:val="en-US"/>
        </w:rPr>
        <w:t>membri corpului legislativ, ai executivului, înalți conducători ai administrației publice,</w:t>
      </w:r>
      <w:r w:rsidR="006867E4" w:rsidRPr="00B309E0">
        <w:rPr>
          <w:rFonts w:ascii="Arial" w:hAnsi="Arial" w:cs="Arial"/>
          <w:sz w:val="24"/>
          <w:szCs w:val="24"/>
          <w:lang w:val="en-US"/>
        </w:rPr>
        <w:t xml:space="preserve"> </w:t>
      </w:r>
      <w:r w:rsidR="006867E4" w:rsidRPr="00B309E0">
        <w:rPr>
          <w:rFonts w:ascii="Arial" w:hAnsi="Arial" w:cs="Arial"/>
          <w:i/>
          <w:iCs/>
          <w:sz w:val="24"/>
          <w:szCs w:val="24"/>
          <w:lang w:val="en-US"/>
        </w:rPr>
        <w:t xml:space="preserve">conducători şi funcționari superiori </w:t>
      </w:r>
      <w:r w:rsidR="006867E4" w:rsidRPr="00B309E0">
        <w:rPr>
          <w:rFonts w:ascii="Arial" w:hAnsi="Arial" w:cs="Arial"/>
          <w:iCs/>
          <w:sz w:val="24"/>
          <w:szCs w:val="24"/>
          <w:lang w:val="en-US"/>
        </w:rPr>
        <w:t>(402 locuri vacante).</w:t>
      </w:r>
    </w:p>
    <w:p w:rsidR="00D7513E" w:rsidRPr="001E39F2" w:rsidRDefault="005763E2" w:rsidP="000C6A67">
      <w:pPr>
        <w:pStyle w:val="BodyTextIndent3"/>
        <w:spacing w:after="0"/>
        <w:ind w:left="0"/>
        <w:jc w:val="center"/>
        <w:rPr>
          <w:rFonts w:ascii="Arial" w:hAnsi="Arial" w:cs="Arial"/>
          <w:sz w:val="22"/>
          <w:szCs w:val="22"/>
          <w:lang w:eastAsia="ro-RO"/>
        </w:rPr>
      </w:pPr>
      <w:r w:rsidRPr="001E39F2">
        <w:rPr>
          <w:rFonts w:ascii="Arial" w:hAnsi="Arial" w:cs="Arial"/>
          <w:sz w:val="22"/>
          <w:szCs w:val="22"/>
          <w:lang w:eastAsia="ro-RO"/>
        </w:rPr>
        <w:t>Figura 1</w:t>
      </w:r>
      <w:r w:rsidR="006F004E">
        <w:rPr>
          <w:rFonts w:ascii="Arial" w:hAnsi="Arial" w:cs="Arial"/>
          <w:sz w:val="22"/>
          <w:szCs w:val="22"/>
          <w:lang w:eastAsia="ro-RO"/>
        </w:rPr>
        <w:t>5</w:t>
      </w:r>
      <w:r w:rsidRPr="001E39F2">
        <w:rPr>
          <w:rFonts w:ascii="Arial" w:hAnsi="Arial" w:cs="Arial"/>
          <w:sz w:val="22"/>
          <w:szCs w:val="22"/>
          <w:lang w:eastAsia="ro-RO"/>
        </w:rPr>
        <w:t xml:space="preserve">. </w:t>
      </w:r>
    </w:p>
    <w:p w:rsidR="008B0FEB" w:rsidRDefault="008B0FEB" w:rsidP="000C6A67">
      <w:pPr>
        <w:spacing w:after="0" w:line="240" w:lineRule="auto"/>
        <w:jc w:val="center"/>
        <w:rPr>
          <w:rFonts w:ascii="Arial" w:hAnsi="Arial" w:cs="Arial"/>
          <w:bCs/>
          <w:sz w:val="24"/>
          <w:szCs w:val="24"/>
        </w:rPr>
      </w:pPr>
      <w:r w:rsidRPr="00801B4C">
        <w:rPr>
          <w:rFonts w:ascii="AllerRegular" w:hAnsi="AllerRegular"/>
          <w:noProof/>
          <w:color w:val="000000"/>
          <w:sz w:val="27"/>
          <w:szCs w:val="27"/>
          <w:shd w:val="clear" w:color="auto" w:fill="FFFFFF"/>
          <w:lang w:val="en-US"/>
        </w:rPr>
        <w:drawing>
          <wp:inline distT="0" distB="0" distL="0" distR="0">
            <wp:extent cx="5415280" cy="2724150"/>
            <wp:effectExtent l="19050" t="0" r="13970" b="0"/>
            <wp:docPr id="29" name="Diagramă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r w:rsidR="00FB407C">
        <w:rPr>
          <w:rFonts w:ascii="Arial" w:hAnsi="Arial" w:cs="Arial"/>
          <w:bCs/>
          <w:sz w:val="24"/>
          <w:szCs w:val="24"/>
        </w:rPr>
        <w:t>\</w:t>
      </w:r>
    </w:p>
    <w:p w:rsidR="00881BB9" w:rsidRDefault="00881BB9" w:rsidP="008F04D5">
      <w:pPr>
        <w:pStyle w:val="BodyTextIndent3"/>
        <w:spacing w:after="240"/>
        <w:ind w:left="0"/>
        <w:jc w:val="both"/>
        <w:outlineLvl w:val="1"/>
        <w:rPr>
          <w:rFonts w:ascii="Arial" w:hAnsi="Arial" w:cs="Arial"/>
          <w:b/>
          <w:i/>
          <w:sz w:val="24"/>
          <w:szCs w:val="24"/>
          <w:lang w:eastAsia="ro-RO"/>
        </w:rPr>
      </w:pPr>
      <w:bookmarkStart w:id="75" w:name="_Toc488066046"/>
    </w:p>
    <w:p w:rsidR="008F04D5" w:rsidRPr="00B50908" w:rsidRDefault="008F04D5" w:rsidP="008F04D5">
      <w:pPr>
        <w:pStyle w:val="BodyTextIndent3"/>
        <w:spacing w:after="240"/>
        <w:ind w:left="0"/>
        <w:jc w:val="both"/>
        <w:outlineLvl w:val="1"/>
        <w:rPr>
          <w:rFonts w:ascii="Arial" w:hAnsi="Arial" w:cs="Arial"/>
          <w:b/>
          <w:i/>
          <w:sz w:val="24"/>
          <w:szCs w:val="24"/>
          <w:lang w:eastAsia="ro-RO"/>
        </w:rPr>
      </w:pPr>
      <w:r w:rsidRPr="00DD5F85">
        <w:rPr>
          <w:rFonts w:ascii="Arial" w:hAnsi="Arial" w:cs="Arial"/>
          <w:b/>
          <w:i/>
          <w:sz w:val="24"/>
          <w:szCs w:val="24"/>
          <w:lang w:eastAsia="ro-RO"/>
        </w:rPr>
        <w:t>5.5. Evoluţii şi situaţia curentă - efectivul salariaților la sfârșitul anului, pe activităţi (secțiuni şi diviziuni) ale industriei</w:t>
      </w:r>
      <w:r>
        <w:rPr>
          <w:rStyle w:val="FootnoteReference"/>
          <w:rFonts w:ascii="Arial" w:hAnsi="Arial" w:cs="Arial"/>
          <w:b/>
          <w:i/>
          <w:sz w:val="24"/>
          <w:szCs w:val="24"/>
          <w:lang w:eastAsia="ro-RO"/>
        </w:rPr>
        <w:footnoteReference w:id="40"/>
      </w:r>
      <w:bookmarkEnd w:id="75"/>
    </w:p>
    <w:p w:rsidR="008F04D5" w:rsidRDefault="008F04D5" w:rsidP="008F04D5">
      <w:pPr>
        <w:pStyle w:val="BodyTextIndent3"/>
        <w:spacing w:after="0"/>
        <w:ind w:left="0"/>
        <w:jc w:val="both"/>
        <w:rPr>
          <w:rFonts w:ascii="Arial" w:hAnsi="Arial" w:cs="Arial"/>
          <w:sz w:val="24"/>
          <w:szCs w:val="24"/>
        </w:rPr>
      </w:pPr>
      <w:r w:rsidRPr="00B309E0">
        <w:rPr>
          <w:rFonts w:ascii="Arial" w:hAnsi="Arial" w:cs="Arial"/>
          <w:sz w:val="24"/>
          <w:szCs w:val="24"/>
        </w:rPr>
        <w:t xml:space="preserve">Oferă o imagine cantitativă a numărului de salariați, pentru activitati (sectiuni si diviziuni) ale industriei CAEN, pentru fiecare județ, date care împreună cu informații privind vârsta acestora, poate fi relevant </w:t>
      </w:r>
      <w:r>
        <w:rPr>
          <w:rFonts w:ascii="Arial" w:hAnsi="Arial" w:cs="Arial"/>
          <w:sz w:val="24"/>
          <w:szCs w:val="24"/>
        </w:rPr>
        <w:t>î</w:t>
      </w:r>
      <w:r w:rsidRPr="00B309E0">
        <w:rPr>
          <w:rFonts w:ascii="Arial" w:hAnsi="Arial" w:cs="Arial"/>
          <w:sz w:val="24"/>
          <w:szCs w:val="24"/>
        </w:rPr>
        <w:t>n procesul de definire a cererii ofertei, pentru calificările din oferta școlilor VET.</w:t>
      </w:r>
      <w:r>
        <w:rPr>
          <w:rFonts w:ascii="Arial" w:hAnsi="Arial" w:cs="Arial"/>
          <w:sz w:val="24"/>
          <w:szCs w:val="24"/>
        </w:rPr>
        <w:t xml:space="preserve"> – vezi Figura 15. </w:t>
      </w:r>
    </w:p>
    <w:p w:rsidR="00FB407C" w:rsidRPr="00DC6DA1" w:rsidRDefault="00FB407C" w:rsidP="00DC6DA1">
      <w:pPr>
        <w:spacing w:after="0" w:line="240" w:lineRule="auto"/>
        <w:jc w:val="center"/>
        <w:rPr>
          <w:rFonts w:ascii="Arial" w:hAnsi="Arial" w:cs="Arial"/>
          <w:bCs/>
          <w:sz w:val="24"/>
          <w:szCs w:val="24"/>
        </w:rPr>
      </w:pPr>
      <w:r>
        <w:rPr>
          <w:rFonts w:ascii="Arial" w:hAnsi="Arial" w:cs="Arial"/>
          <w:bCs/>
          <w:sz w:val="24"/>
          <w:szCs w:val="24"/>
        </w:rPr>
        <w:lastRenderedPageBreak/>
        <w:t xml:space="preserve"> </w:t>
      </w:r>
    </w:p>
    <w:p w:rsidR="005763E2" w:rsidRPr="00C70BD2" w:rsidRDefault="005763E2" w:rsidP="00DC6DA1">
      <w:pPr>
        <w:pStyle w:val="BodyTextIndent3"/>
        <w:spacing w:after="240"/>
        <w:ind w:left="0"/>
        <w:jc w:val="both"/>
        <w:outlineLvl w:val="1"/>
        <w:rPr>
          <w:rFonts w:ascii="Arial" w:hAnsi="Arial" w:cs="Arial"/>
          <w:b/>
          <w:sz w:val="24"/>
          <w:szCs w:val="24"/>
          <w:lang w:eastAsia="ro-RO"/>
        </w:rPr>
      </w:pPr>
      <w:bookmarkStart w:id="76" w:name="_Toc488066047"/>
      <w:r w:rsidRPr="00C70BD2">
        <w:rPr>
          <w:rFonts w:ascii="Arial" w:hAnsi="Arial" w:cs="Arial"/>
          <w:b/>
          <w:sz w:val="24"/>
          <w:szCs w:val="24"/>
          <w:lang w:eastAsia="ro-RO"/>
        </w:rPr>
        <w:t>5.6. Proiecţia principalilor indicatori ai pieţei muncii (Comisia Naţională de Prognoză)</w:t>
      </w:r>
      <w:bookmarkEnd w:id="76"/>
    </w:p>
    <w:p w:rsidR="005763E2" w:rsidRPr="000A41FA" w:rsidRDefault="005763E2" w:rsidP="00DC6DA1">
      <w:pPr>
        <w:pStyle w:val="Heading3"/>
        <w:spacing w:before="0" w:line="240" w:lineRule="auto"/>
        <w:jc w:val="both"/>
        <w:rPr>
          <w:rFonts w:ascii="Arial" w:hAnsi="Arial" w:cs="Arial"/>
          <w:bCs w:val="0"/>
          <w:i/>
          <w:sz w:val="24"/>
          <w:szCs w:val="24"/>
          <w:lang w:eastAsia="ro-RO"/>
        </w:rPr>
      </w:pPr>
      <w:bookmarkStart w:id="77" w:name="_Toc488066048"/>
      <w:r w:rsidRPr="000A41FA">
        <w:rPr>
          <w:rFonts w:ascii="Arial" w:hAnsi="Arial" w:cs="Arial"/>
          <w:b w:val="0"/>
          <w:bCs w:val="0"/>
          <w:i/>
          <w:color w:val="000000" w:themeColor="text1"/>
          <w:sz w:val="24"/>
          <w:szCs w:val="24"/>
          <w:lang w:eastAsia="ro-RO"/>
        </w:rPr>
        <w:t>5.6.1. Proiecţia numărului mediu de salariaţi</w:t>
      </w:r>
      <w:r w:rsidRPr="000A41FA">
        <w:rPr>
          <w:rStyle w:val="FootnoteReference"/>
          <w:rFonts w:ascii="Arial" w:hAnsi="Arial" w:cs="Arial"/>
          <w:b w:val="0"/>
          <w:bCs w:val="0"/>
          <w:i/>
          <w:color w:val="000000" w:themeColor="text1"/>
          <w:sz w:val="24"/>
          <w:szCs w:val="24"/>
          <w:lang w:eastAsia="ro-RO"/>
        </w:rPr>
        <w:footnoteReference w:id="41"/>
      </w:r>
      <w:bookmarkEnd w:id="77"/>
      <w:r w:rsidRPr="000A41FA">
        <w:rPr>
          <w:rFonts w:ascii="Arial" w:hAnsi="Arial" w:cs="Arial"/>
          <w:b w:val="0"/>
          <w:bCs w:val="0"/>
          <w:i/>
          <w:color w:val="000000" w:themeColor="text1"/>
          <w:sz w:val="24"/>
          <w:szCs w:val="24"/>
          <w:lang w:eastAsia="ro-RO"/>
        </w:rPr>
        <w:t xml:space="preserve"> </w:t>
      </w:r>
    </w:p>
    <w:p w:rsidR="005763E2" w:rsidRPr="00D7513E" w:rsidRDefault="005763E2" w:rsidP="000C6A67">
      <w:pPr>
        <w:spacing w:after="0" w:line="240" w:lineRule="auto"/>
        <w:jc w:val="both"/>
        <w:rPr>
          <w:rFonts w:ascii="Arial" w:hAnsi="Arial" w:cs="Arial"/>
          <w:b/>
          <w:bCs/>
          <w:sz w:val="24"/>
          <w:szCs w:val="24"/>
          <w:lang w:val="en-US"/>
        </w:rPr>
      </w:pPr>
      <w:r w:rsidRPr="00B309E0">
        <w:rPr>
          <w:rFonts w:ascii="Arial" w:hAnsi="Arial" w:cs="Arial"/>
          <w:bCs/>
          <w:sz w:val="24"/>
          <w:szCs w:val="24"/>
          <w:lang w:val="en-US"/>
        </w:rPr>
        <w:t>Numărul mediu de salariaţi</w:t>
      </w:r>
      <w:r>
        <w:rPr>
          <w:rFonts w:ascii="Arial" w:hAnsi="Arial" w:cs="Arial"/>
          <w:bCs/>
          <w:sz w:val="24"/>
          <w:szCs w:val="24"/>
          <w:lang w:val="en-US"/>
        </w:rPr>
        <w:t xml:space="preserve">: </w:t>
      </w:r>
      <w:r w:rsidR="000A41FA">
        <w:rPr>
          <w:rFonts w:ascii="Arial" w:hAnsi="Arial" w:cs="Arial"/>
          <w:bCs/>
          <w:sz w:val="24"/>
          <w:szCs w:val="24"/>
          <w:lang w:val="en-US"/>
        </w:rPr>
        <w:t xml:space="preserve">Conform </w:t>
      </w:r>
      <w:r w:rsidRPr="00B309E0">
        <w:rPr>
          <w:rFonts w:ascii="Arial" w:hAnsi="Arial" w:cs="Arial"/>
          <w:bCs/>
          <w:sz w:val="24"/>
          <w:szCs w:val="24"/>
          <w:lang w:val="en-US"/>
        </w:rPr>
        <w:t>datelor Comisiei Naționale de Prognoză, la nivel național se estimează o creștere a numă</w:t>
      </w:r>
      <w:r w:rsidR="000A41FA">
        <w:rPr>
          <w:rFonts w:ascii="Arial" w:hAnsi="Arial" w:cs="Arial"/>
          <w:bCs/>
          <w:sz w:val="24"/>
          <w:szCs w:val="24"/>
          <w:lang w:val="en-US"/>
        </w:rPr>
        <w:t>rului mediu de salariați cu 702,</w:t>
      </w:r>
      <w:r w:rsidR="001D348E">
        <w:rPr>
          <w:rFonts w:ascii="Arial" w:hAnsi="Arial" w:cs="Arial"/>
          <w:bCs/>
          <w:sz w:val="24"/>
          <w:szCs w:val="24"/>
          <w:lang w:val="en-US"/>
        </w:rPr>
        <w:t>3 mii persoane</w:t>
      </w:r>
      <w:r w:rsidRPr="00B309E0">
        <w:rPr>
          <w:rFonts w:ascii="Arial" w:hAnsi="Arial" w:cs="Arial"/>
          <w:bCs/>
          <w:sz w:val="24"/>
          <w:szCs w:val="24"/>
          <w:lang w:val="en-US"/>
        </w:rPr>
        <w:t xml:space="preserve"> de</w:t>
      </w:r>
      <w:r w:rsidR="000A41FA">
        <w:rPr>
          <w:rFonts w:ascii="Arial" w:hAnsi="Arial" w:cs="Arial"/>
          <w:bCs/>
          <w:sz w:val="24"/>
          <w:szCs w:val="24"/>
          <w:lang w:val="en-US"/>
        </w:rPr>
        <w:t xml:space="preserve"> la 4507,</w:t>
      </w:r>
      <w:r w:rsidR="001D348E">
        <w:rPr>
          <w:rFonts w:ascii="Arial" w:hAnsi="Arial" w:cs="Arial"/>
          <w:bCs/>
          <w:sz w:val="24"/>
          <w:szCs w:val="24"/>
          <w:lang w:val="en-US"/>
        </w:rPr>
        <w:t>7 mii în 2014 la 5210 mii persoane</w:t>
      </w:r>
      <w:r w:rsidRPr="00B309E0">
        <w:rPr>
          <w:rFonts w:ascii="Arial" w:hAnsi="Arial" w:cs="Arial"/>
          <w:bCs/>
          <w:sz w:val="24"/>
          <w:szCs w:val="24"/>
          <w:lang w:val="en-US"/>
        </w:rPr>
        <w:t xml:space="preserve"> în 2019. Cea mai mare creștere se preconizează în București-Ilfov (117,3 mii ) urmat aproape la egalitate de Regiunea Centru (110,1 mii) și Regiunea Nord-Vest (110,2 mii) iar la polul opus se situaeză Reginea Sud-Vest Oltenia (51,2 mii).</w:t>
      </w:r>
      <w:r w:rsidR="001D348E">
        <w:rPr>
          <w:rFonts w:ascii="Arial" w:hAnsi="Arial" w:cs="Arial"/>
          <w:bCs/>
          <w:sz w:val="24"/>
          <w:szCs w:val="24"/>
          <w:lang w:val="en-US"/>
        </w:rPr>
        <w:t xml:space="preserve"> </w:t>
      </w:r>
      <w:r w:rsidRPr="00D7513E">
        <w:rPr>
          <w:rFonts w:ascii="Arial" w:hAnsi="Arial" w:cs="Arial"/>
          <w:b/>
          <w:bCs/>
          <w:sz w:val="24"/>
          <w:szCs w:val="24"/>
          <w:lang w:val="en-US"/>
        </w:rPr>
        <w:t>In Regiunea Vest se estimează ca până în anul 2019 numărul mediu de salariați să crească cu 81,9 mii perso</w:t>
      </w:r>
      <w:r w:rsidR="001D348E">
        <w:rPr>
          <w:rFonts w:ascii="Arial" w:hAnsi="Arial" w:cs="Arial"/>
          <w:b/>
          <w:bCs/>
          <w:sz w:val="24"/>
          <w:szCs w:val="24"/>
          <w:lang w:val="en-US"/>
        </w:rPr>
        <w:t>an</w:t>
      </w:r>
      <w:r w:rsidRPr="00D7513E">
        <w:rPr>
          <w:rFonts w:ascii="Arial" w:hAnsi="Arial" w:cs="Arial"/>
          <w:b/>
          <w:bCs/>
          <w:sz w:val="24"/>
          <w:szCs w:val="24"/>
          <w:lang w:val="en-US"/>
        </w:rPr>
        <w:t>e, ceea ce reprezintă o creșter</w:t>
      </w:r>
      <w:r w:rsidR="001D348E">
        <w:rPr>
          <w:rFonts w:ascii="Arial" w:hAnsi="Arial" w:cs="Arial"/>
          <w:b/>
          <w:bCs/>
          <w:sz w:val="24"/>
          <w:szCs w:val="24"/>
          <w:lang w:val="en-US"/>
        </w:rPr>
        <w:t>e cu 16% (o creștere procentuală</w:t>
      </w:r>
      <w:r w:rsidRPr="00D7513E">
        <w:rPr>
          <w:rFonts w:ascii="Arial" w:hAnsi="Arial" w:cs="Arial"/>
          <w:b/>
          <w:bCs/>
          <w:sz w:val="24"/>
          <w:szCs w:val="24"/>
          <w:lang w:val="en-US"/>
        </w:rPr>
        <w:t xml:space="preserve"> relativă mai mare decât pentru Regiunea Vest, se înregistrează pentru Regiunile Nord Vest, de 18% și Centru de 19%) </w:t>
      </w:r>
    </w:p>
    <w:p w:rsidR="001937AF" w:rsidRPr="00DD5F85" w:rsidRDefault="001937AF" w:rsidP="000C6A67">
      <w:pPr>
        <w:spacing w:after="0" w:line="240" w:lineRule="auto"/>
        <w:jc w:val="both"/>
        <w:rPr>
          <w:rFonts w:ascii="Arial" w:hAnsi="Arial" w:cs="Arial"/>
          <w:bCs/>
          <w:sz w:val="24"/>
          <w:szCs w:val="24"/>
          <w:lang w:eastAsia="ro-RO"/>
        </w:rPr>
      </w:pPr>
    </w:p>
    <w:p w:rsidR="00AF2F7A" w:rsidRPr="000A41FA" w:rsidRDefault="00AF2F7A" w:rsidP="000A41FA">
      <w:pPr>
        <w:pStyle w:val="Heading3"/>
        <w:spacing w:before="0" w:line="240" w:lineRule="auto"/>
        <w:jc w:val="both"/>
        <w:rPr>
          <w:rFonts w:ascii="Arial" w:hAnsi="Arial" w:cs="Arial"/>
          <w:b w:val="0"/>
          <w:i/>
          <w:color w:val="000000" w:themeColor="text1"/>
          <w:sz w:val="24"/>
          <w:szCs w:val="24"/>
        </w:rPr>
      </w:pPr>
      <w:bookmarkStart w:id="78" w:name="_Toc488066049"/>
      <w:r w:rsidRPr="000A41FA">
        <w:rPr>
          <w:rFonts w:ascii="Arial" w:hAnsi="Arial" w:cs="Arial"/>
          <w:b w:val="0"/>
          <w:i/>
          <w:color w:val="000000" w:themeColor="text1"/>
          <w:sz w:val="24"/>
          <w:szCs w:val="24"/>
        </w:rPr>
        <w:t>5</w:t>
      </w:r>
      <w:r w:rsidR="00D45E55" w:rsidRPr="000A41FA">
        <w:rPr>
          <w:rFonts w:ascii="Arial" w:hAnsi="Arial" w:cs="Arial"/>
          <w:b w:val="0"/>
          <w:i/>
          <w:color w:val="000000" w:themeColor="text1"/>
          <w:sz w:val="24"/>
          <w:szCs w:val="24"/>
        </w:rPr>
        <w:t xml:space="preserve">.6.2. </w:t>
      </w:r>
      <w:r w:rsidR="00D45E55" w:rsidRPr="000A41FA">
        <w:rPr>
          <w:rFonts w:ascii="Arial" w:hAnsi="Arial" w:cs="Arial"/>
          <w:b w:val="0"/>
          <w:bCs w:val="0"/>
          <w:i/>
          <w:color w:val="000000" w:themeColor="text1"/>
          <w:sz w:val="24"/>
          <w:szCs w:val="24"/>
          <w:lang w:eastAsia="ro-RO"/>
        </w:rPr>
        <w:t>Proiecţia</w:t>
      </w:r>
      <w:r w:rsidR="00D45E55" w:rsidRPr="000A41FA">
        <w:rPr>
          <w:rFonts w:ascii="Arial" w:hAnsi="Arial" w:cs="Arial"/>
          <w:b w:val="0"/>
          <w:i/>
          <w:color w:val="000000" w:themeColor="text1"/>
          <w:sz w:val="24"/>
          <w:szCs w:val="24"/>
        </w:rPr>
        <w:t xml:space="preserve"> şomerilor înregistraţi, la sfârşitul anului</w:t>
      </w:r>
      <w:r w:rsidR="000C25BD" w:rsidRPr="000A41FA">
        <w:rPr>
          <w:rStyle w:val="FootnoteReference"/>
          <w:rFonts w:ascii="Arial" w:hAnsi="Arial" w:cs="Arial"/>
          <w:b w:val="0"/>
          <w:i/>
          <w:color w:val="000000" w:themeColor="text1"/>
          <w:sz w:val="24"/>
          <w:szCs w:val="24"/>
        </w:rPr>
        <w:footnoteReference w:id="42"/>
      </w:r>
      <w:bookmarkEnd w:id="78"/>
    </w:p>
    <w:p w:rsidR="009B6CC9" w:rsidRPr="00B309E0" w:rsidRDefault="009B6CC9" w:rsidP="000C6A67">
      <w:pPr>
        <w:spacing w:after="0" w:line="240" w:lineRule="auto"/>
        <w:jc w:val="both"/>
        <w:rPr>
          <w:rFonts w:ascii="Arial" w:hAnsi="Arial" w:cs="Arial"/>
          <w:color w:val="000000"/>
          <w:sz w:val="24"/>
          <w:szCs w:val="24"/>
          <w:shd w:val="clear" w:color="auto" w:fill="FFFFFF"/>
        </w:rPr>
      </w:pPr>
      <w:r w:rsidRPr="00B309E0">
        <w:rPr>
          <w:rFonts w:ascii="Arial" w:hAnsi="Arial" w:cs="Arial"/>
          <w:color w:val="000000"/>
          <w:sz w:val="24"/>
          <w:szCs w:val="24"/>
          <w:shd w:val="clear" w:color="auto" w:fill="FFFFFF"/>
        </w:rPr>
        <w:t xml:space="preserve">Per total, la sfârșitul anului 2019, numărul șomerilor înregistrați la nivel naţional va fi de </w:t>
      </w:r>
      <w:r w:rsidRPr="00B309E0">
        <w:rPr>
          <w:rFonts w:ascii="Arial" w:hAnsi="Arial" w:cs="Arial"/>
          <w:bCs/>
          <w:sz w:val="24"/>
          <w:szCs w:val="24"/>
          <w:lang w:val="en-US"/>
        </w:rPr>
        <w:t>405 mii persoane</w:t>
      </w:r>
      <w:r w:rsidRPr="00B309E0">
        <w:rPr>
          <w:rFonts w:ascii="Arial" w:hAnsi="Arial" w:cs="Arial"/>
          <w:b/>
          <w:bCs/>
          <w:sz w:val="24"/>
          <w:szCs w:val="24"/>
          <w:lang w:val="en-US"/>
        </w:rPr>
        <w:t xml:space="preserve"> </w:t>
      </w:r>
      <w:r w:rsidR="001D348E">
        <w:rPr>
          <w:rFonts w:ascii="Arial" w:hAnsi="Arial" w:cs="Arial"/>
          <w:color w:val="000000"/>
          <w:sz w:val="24"/>
          <w:szCs w:val="24"/>
          <w:shd w:val="clear" w:color="auto" w:fill="FFFFFF"/>
        </w:rPr>
        <w:t>cu 73,3 mii</w:t>
      </w:r>
      <w:r w:rsidRPr="00B309E0">
        <w:rPr>
          <w:rFonts w:ascii="Arial" w:hAnsi="Arial" w:cs="Arial"/>
          <w:color w:val="000000"/>
          <w:sz w:val="24"/>
          <w:szCs w:val="24"/>
          <w:shd w:val="clear" w:color="auto" w:fill="FFFFFF"/>
        </w:rPr>
        <w:t xml:space="preserve">  mai puțin decât numărul șomerilor înregistrați la sfârșitul anului 2014. Se estimează ca </w:t>
      </w:r>
      <w:r w:rsidR="001D348E">
        <w:rPr>
          <w:rFonts w:ascii="Arial" w:hAnsi="Arial" w:cs="Arial"/>
          <w:color w:val="000000"/>
          <w:sz w:val="24"/>
          <w:szCs w:val="24"/>
          <w:shd w:val="clear" w:color="auto" w:fill="FFFFFF"/>
        </w:rPr>
        <w:t>acest număr</w:t>
      </w:r>
      <w:r w:rsidRPr="00B309E0">
        <w:rPr>
          <w:rFonts w:ascii="Arial" w:hAnsi="Arial" w:cs="Arial"/>
          <w:color w:val="000000"/>
          <w:sz w:val="24"/>
          <w:szCs w:val="24"/>
          <w:shd w:val="clear" w:color="auto" w:fill="FFFFFF"/>
        </w:rPr>
        <w:t xml:space="preserve"> </w:t>
      </w:r>
      <w:r w:rsidR="001D348E" w:rsidRPr="00B309E0">
        <w:rPr>
          <w:rFonts w:ascii="Arial" w:hAnsi="Arial" w:cs="Arial"/>
          <w:color w:val="000000"/>
          <w:sz w:val="24"/>
          <w:szCs w:val="24"/>
          <w:shd w:val="clear" w:color="auto" w:fill="FFFFFF"/>
        </w:rPr>
        <w:t xml:space="preserve">să scadă </w:t>
      </w:r>
      <w:r w:rsidRPr="00B309E0">
        <w:rPr>
          <w:rFonts w:ascii="Arial" w:hAnsi="Arial" w:cs="Arial"/>
          <w:color w:val="000000"/>
          <w:sz w:val="24"/>
          <w:szCs w:val="24"/>
          <w:shd w:val="clear" w:color="auto" w:fill="FFFFFF"/>
        </w:rPr>
        <w:t xml:space="preserve">în Regiunea Vest cu 5,2 mii,  de la 29,2 mii în 2014 la 24 mii în 2019. </w:t>
      </w:r>
    </w:p>
    <w:p w:rsidR="008F04D5" w:rsidRDefault="001E39F2" w:rsidP="000C6A67">
      <w:pPr>
        <w:spacing w:after="0" w:line="240" w:lineRule="auto"/>
        <w:jc w:val="center"/>
        <w:rPr>
          <w:rFonts w:ascii="Arial" w:hAnsi="Arial" w:cs="Arial"/>
          <w:color w:val="000000"/>
          <w:shd w:val="clear" w:color="auto" w:fill="FFFFFF"/>
        </w:rPr>
      </w:pPr>
      <w:r w:rsidRPr="001E39F2">
        <w:rPr>
          <w:rFonts w:ascii="Arial" w:hAnsi="Arial" w:cs="Arial"/>
          <w:color w:val="000000"/>
          <w:shd w:val="clear" w:color="auto" w:fill="FFFFFF"/>
        </w:rPr>
        <w:t>Figura 1</w:t>
      </w:r>
      <w:r w:rsidR="006F004E">
        <w:rPr>
          <w:rFonts w:ascii="Arial" w:hAnsi="Arial" w:cs="Arial"/>
          <w:color w:val="000000"/>
          <w:shd w:val="clear" w:color="auto" w:fill="FFFFFF"/>
        </w:rPr>
        <w:t>6</w:t>
      </w:r>
      <w:r>
        <w:rPr>
          <w:rFonts w:ascii="Arial" w:hAnsi="Arial" w:cs="Arial"/>
          <w:color w:val="000000"/>
          <w:shd w:val="clear" w:color="auto" w:fill="FFFFFF"/>
        </w:rPr>
        <w:t>.</w:t>
      </w:r>
      <w:r w:rsidRPr="001D348E">
        <w:rPr>
          <w:rFonts w:ascii="Arial" w:hAnsi="Arial" w:cs="Arial"/>
          <w:noProof/>
          <w:color w:val="000000"/>
          <w:sz w:val="24"/>
          <w:szCs w:val="24"/>
          <w:bdr w:val="single" w:sz="4" w:space="0" w:color="auto"/>
          <w:shd w:val="clear" w:color="auto" w:fill="FFFFFF"/>
          <w:lang w:val="en-US"/>
        </w:rPr>
        <w:drawing>
          <wp:inline distT="0" distB="0" distL="0" distR="0">
            <wp:extent cx="5308068" cy="2530823"/>
            <wp:effectExtent l="19050" t="0" r="25932" b="2827"/>
            <wp:docPr id="26" name="Diagramă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937AF" w:rsidRDefault="009B6CC9" w:rsidP="000C6A67">
      <w:pPr>
        <w:spacing w:after="0" w:line="240" w:lineRule="auto"/>
        <w:jc w:val="both"/>
        <w:rPr>
          <w:rFonts w:ascii="Arial" w:hAnsi="Arial" w:cs="Arial"/>
          <w:color w:val="000000"/>
          <w:shd w:val="clear" w:color="auto" w:fill="FFFFFF"/>
        </w:rPr>
      </w:pPr>
      <w:r w:rsidRPr="001E39F2">
        <w:rPr>
          <w:rFonts w:ascii="Arial" w:hAnsi="Arial" w:cs="Arial"/>
          <w:shd w:val="clear" w:color="auto" w:fill="FFFFFF"/>
        </w:rPr>
        <w:t>Sursa datelor: Comisia Nationala de Prognoza - Prognoza în profil teritorial – varianta de primavara 2016 http://www.cnp.ro/ro/prognoze</w:t>
      </w:r>
      <w:r w:rsidRPr="001E39F2">
        <w:rPr>
          <w:rFonts w:ascii="Arial" w:hAnsi="Arial" w:cs="Arial"/>
          <w:color w:val="000000"/>
          <w:shd w:val="clear" w:color="auto" w:fill="FFFFFF"/>
        </w:rPr>
        <w:t xml:space="preserve"> </w:t>
      </w:r>
    </w:p>
    <w:p w:rsidR="001D348E" w:rsidRDefault="001D348E" w:rsidP="000C6A67">
      <w:pPr>
        <w:spacing w:after="0" w:line="240" w:lineRule="auto"/>
        <w:jc w:val="both"/>
        <w:rPr>
          <w:rFonts w:ascii="Arial" w:hAnsi="Arial" w:cs="Arial"/>
          <w:color w:val="000000"/>
          <w:shd w:val="clear" w:color="auto" w:fill="FFFFFF"/>
        </w:rPr>
      </w:pPr>
    </w:p>
    <w:p w:rsidR="001D348E" w:rsidRPr="001E39F2" w:rsidRDefault="001D348E" w:rsidP="000C6A67">
      <w:pPr>
        <w:spacing w:after="0" w:line="240" w:lineRule="auto"/>
        <w:jc w:val="both"/>
        <w:rPr>
          <w:rFonts w:ascii="Arial" w:hAnsi="Arial" w:cs="Arial"/>
          <w:shd w:val="clear" w:color="auto" w:fill="FFFFFF"/>
        </w:rPr>
      </w:pPr>
      <w:r w:rsidRPr="00B309E0">
        <w:rPr>
          <w:rFonts w:ascii="Arial" w:hAnsi="Arial" w:cs="Arial"/>
          <w:color w:val="000000"/>
          <w:sz w:val="24"/>
          <w:szCs w:val="24"/>
          <w:shd w:val="clear" w:color="auto" w:fill="FFFFFF"/>
        </w:rPr>
        <w:t>Proiecția stabilește cele mai mici valori ale numărului de șomeri pentru Regiunea Vest, cu valori puțin mai mari decât pentru București Ilfov, dar semnificativ mai mici decât în celelalte regiuni.</w:t>
      </w:r>
    </w:p>
    <w:p w:rsidR="00185C4B" w:rsidRDefault="00185C4B" w:rsidP="000C6A67">
      <w:pPr>
        <w:pStyle w:val="Heading3"/>
        <w:spacing w:before="0" w:line="240" w:lineRule="auto"/>
        <w:jc w:val="both"/>
        <w:rPr>
          <w:rFonts w:ascii="Arial" w:hAnsi="Arial" w:cs="Arial"/>
          <w:b w:val="0"/>
          <w:i/>
          <w:color w:val="000000" w:themeColor="text1"/>
          <w:sz w:val="24"/>
          <w:szCs w:val="24"/>
        </w:rPr>
      </w:pPr>
    </w:p>
    <w:p w:rsidR="00AF2F7A" w:rsidRPr="00185C4B" w:rsidRDefault="00AF2F7A" w:rsidP="00185C4B">
      <w:pPr>
        <w:pStyle w:val="Heading3"/>
        <w:spacing w:before="0" w:line="240" w:lineRule="auto"/>
        <w:jc w:val="both"/>
        <w:rPr>
          <w:rFonts w:ascii="Arial" w:hAnsi="Arial" w:cs="Arial"/>
          <w:b w:val="0"/>
          <w:i/>
          <w:color w:val="000000" w:themeColor="text1"/>
          <w:sz w:val="24"/>
          <w:szCs w:val="24"/>
        </w:rPr>
      </w:pPr>
      <w:bookmarkStart w:id="79" w:name="_Toc488066050"/>
      <w:r w:rsidRPr="00185C4B">
        <w:rPr>
          <w:rFonts w:ascii="Arial" w:hAnsi="Arial" w:cs="Arial"/>
          <w:b w:val="0"/>
          <w:i/>
          <w:color w:val="000000" w:themeColor="text1"/>
          <w:sz w:val="24"/>
          <w:szCs w:val="24"/>
        </w:rPr>
        <w:t>5</w:t>
      </w:r>
      <w:r w:rsidR="00D45E55" w:rsidRPr="00185C4B">
        <w:rPr>
          <w:rFonts w:ascii="Arial" w:hAnsi="Arial" w:cs="Arial"/>
          <w:b w:val="0"/>
          <w:i/>
          <w:color w:val="000000" w:themeColor="text1"/>
          <w:sz w:val="24"/>
          <w:szCs w:val="24"/>
        </w:rPr>
        <w:t xml:space="preserve">.6.3. </w:t>
      </w:r>
      <w:r w:rsidR="00D45E55" w:rsidRPr="00185C4B">
        <w:rPr>
          <w:rFonts w:ascii="Arial" w:hAnsi="Arial" w:cs="Arial"/>
          <w:b w:val="0"/>
          <w:bCs w:val="0"/>
          <w:i/>
          <w:color w:val="000000" w:themeColor="text1"/>
          <w:sz w:val="24"/>
          <w:szCs w:val="24"/>
          <w:lang w:eastAsia="ro-RO"/>
        </w:rPr>
        <w:t>Proiecţia</w:t>
      </w:r>
      <w:r w:rsidR="00BD0510" w:rsidRPr="00185C4B">
        <w:rPr>
          <w:rFonts w:ascii="Arial" w:hAnsi="Arial" w:cs="Arial"/>
          <w:b w:val="0"/>
          <w:i/>
          <w:color w:val="000000" w:themeColor="text1"/>
          <w:sz w:val="24"/>
          <w:szCs w:val="24"/>
        </w:rPr>
        <w:t xml:space="preserve"> r</w:t>
      </w:r>
      <w:r w:rsidR="00D45E55" w:rsidRPr="00185C4B">
        <w:rPr>
          <w:rFonts w:ascii="Arial" w:hAnsi="Arial" w:cs="Arial"/>
          <w:b w:val="0"/>
          <w:i/>
          <w:color w:val="000000" w:themeColor="text1"/>
          <w:sz w:val="24"/>
          <w:szCs w:val="24"/>
        </w:rPr>
        <w:t>atei şomajului înregistrat</w:t>
      </w:r>
      <w:r w:rsidR="000C25BD" w:rsidRPr="00185C4B">
        <w:rPr>
          <w:rStyle w:val="FootnoteReference"/>
          <w:rFonts w:ascii="Arial" w:hAnsi="Arial" w:cs="Arial"/>
          <w:b w:val="0"/>
          <w:i/>
          <w:color w:val="000000" w:themeColor="text1"/>
          <w:sz w:val="24"/>
          <w:szCs w:val="24"/>
        </w:rPr>
        <w:footnoteReference w:id="43"/>
      </w:r>
      <w:bookmarkEnd w:id="79"/>
    </w:p>
    <w:p w:rsidR="009B6CC9" w:rsidRDefault="009B6CC9" w:rsidP="000C6A67">
      <w:pPr>
        <w:spacing w:after="0" w:line="240" w:lineRule="auto"/>
        <w:jc w:val="both"/>
        <w:rPr>
          <w:rFonts w:ascii="Arial" w:hAnsi="Arial" w:cs="Arial"/>
          <w:color w:val="000000"/>
          <w:sz w:val="24"/>
          <w:szCs w:val="24"/>
          <w:shd w:val="clear" w:color="auto" w:fill="FFFFFF"/>
        </w:rPr>
      </w:pPr>
      <w:r w:rsidRPr="00B309E0">
        <w:rPr>
          <w:rFonts w:ascii="Arial" w:hAnsi="Arial" w:cs="Arial"/>
          <w:color w:val="000000"/>
          <w:sz w:val="24"/>
          <w:szCs w:val="24"/>
          <w:shd w:val="clear" w:color="auto" w:fill="FFFFFF"/>
        </w:rPr>
        <w:t>Rata șomajului înregistrată la nivel național era, la sfârșitul anului 2014, de 5,4%, și conform estimărilor ar trebui să scadă cu 1,1</w:t>
      </w:r>
      <w:r w:rsidR="002A777F">
        <w:rPr>
          <w:rFonts w:ascii="Arial" w:hAnsi="Arial" w:cs="Arial"/>
          <w:color w:val="000000"/>
          <w:sz w:val="24"/>
          <w:szCs w:val="24"/>
          <w:shd w:val="clear" w:color="auto" w:fill="FFFFFF"/>
        </w:rPr>
        <w:t xml:space="preserve"> </w:t>
      </w:r>
      <w:r w:rsidRPr="00B309E0">
        <w:rPr>
          <w:rFonts w:ascii="Arial" w:hAnsi="Arial" w:cs="Arial"/>
          <w:color w:val="000000"/>
          <w:sz w:val="24"/>
          <w:szCs w:val="24"/>
          <w:shd w:val="clear" w:color="auto" w:fill="FFFFFF"/>
        </w:rPr>
        <w:t>puncte procentuale până la sfârșitul anului 2019 după cum arată datele Comisiei Naționale de Prognoză.</w:t>
      </w:r>
      <w:r w:rsidR="001E39F2">
        <w:rPr>
          <w:rFonts w:ascii="Arial" w:hAnsi="Arial" w:cs="Arial"/>
          <w:color w:val="000000"/>
          <w:sz w:val="24"/>
          <w:szCs w:val="24"/>
          <w:shd w:val="clear" w:color="auto" w:fill="FFFFFF"/>
        </w:rPr>
        <w:t xml:space="preserve"> </w:t>
      </w:r>
      <w:r w:rsidRPr="00B309E0">
        <w:rPr>
          <w:rFonts w:ascii="Arial" w:hAnsi="Arial" w:cs="Arial"/>
          <w:color w:val="000000"/>
          <w:sz w:val="24"/>
          <w:szCs w:val="24"/>
          <w:shd w:val="clear" w:color="auto" w:fill="FFFFFF"/>
        </w:rPr>
        <w:t xml:space="preserve">La nivelul Regiunii Vest este preconizat ca rata șomajului să se reducă la 2,6% în 2019 față de 3,4% înregistrat în 2014, astfel încât regiunea se va situa și la acest indicator imediat după București Ilfov. </w:t>
      </w:r>
    </w:p>
    <w:p w:rsidR="009B6CC9" w:rsidRPr="00B309E0" w:rsidRDefault="009B6CC9" w:rsidP="000C6A67">
      <w:pPr>
        <w:spacing w:after="0" w:line="240" w:lineRule="auto"/>
        <w:jc w:val="both"/>
        <w:rPr>
          <w:rFonts w:ascii="Arial" w:hAnsi="Arial" w:cs="Arial"/>
          <w:color w:val="000000"/>
          <w:sz w:val="24"/>
          <w:szCs w:val="24"/>
          <w:shd w:val="clear" w:color="auto" w:fill="FFFFFF"/>
        </w:rPr>
      </w:pPr>
      <w:r w:rsidRPr="00B309E0">
        <w:rPr>
          <w:rFonts w:ascii="Arial" w:hAnsi="Arial" w:cs="Arial"/>
          <w:color w:val="000000"/>
          <w:sz w:val="24"/>
          <w:szCs w:val="24"/>
          <w:shd w:val="clear" w:color="auto" w:fill="FFFFFF"/>
        </w:rPr>
        <w:t>Conform datelor prognozate, ponderea șomerilor înregistrați, la sfârșitul anului va avea următoarea evoluție: scădere în regiunea Nord-Est și București –Ilfov (cu 0,3%), Sud-Est (cu 1%) și Vest (cu 0,2%); creștere în regiunea Sud-Muntenia (cu 0,7%) și Sud-Vest Oltenia (cu 0,6%). În două regiuni, Nord-Est și Centru, ponderea șomerilor înregistrați la sfârțitul anului 2014 păstrează aceeași valoare la sfârșitul anului 2019.</w:t>
      </w:r>
    </w:p>
    <w:p w:rsidR="009B6CC9" w:rsidRPr="00B309E0" w:rsidRDefault="001E39F2" w:rsidP="000C6A67">
      <w:pPr>
        <w:spacing w:after="0" w:line="240" w:lineRule="auto"/>
        <w:jc w:val="center"/>
        <w:rPr>
          <w:rFonts w:ascii="Arial" w:hAnsi="Arial" w:cs="Arial"/>
          <w:color w:val="000000"/>
          <w:sz w:val="24"/>
          <w:szCs w:val="24"/>
          <w:shd w:val="clear" w:color="auto" w:fill="FFFFFF"/>
        </w:rPr>
      </w:pPr>
      <w:r w:rsidRPr="001E39F2">
        <w:rPr>
          <w:rFonts w:ascii="Arial" w:hAnsi="Arial" w:cs="Arial"/>
          <w:color w:val="000000"/>
          <w:shd w:val="clear" w:color="auto" w:fill="FFFFFF"/>
        </w:rPr>
        <w:t>Figura 1</w:t>
      </w:r>
      <w:r w:rsidR="006F004E">
        <w:rPr>
          <w:rFonts w:ascii="Arial" w:hAnsi="Arial" w:cs="Arial"/>
          <w:color w:val="000000"/>
          <w:shd w:val="clear" w:color="auto" w:fill="FFFFFF"/>
        </w:rPr>
        <w:t>7</w:t>
      </w:r>
      <w:r>
        <w:rPr>
          <w:rFonts w:ascii="Arial" w:hAnsi="Arial" w:cs="Arial"/>
          <w:color w:val="000000"/>
          <w:shd w:val="clear" w:color="auto" w:fill="FFFFFF"/>
        </w:rPr>
        <w:t>.</w:t>
      </w:r>
      <w:r w:rsidRPr="001E39F2">
        <w:rPr>
          <w:rFonts w:ascii="Arial" w:hAnsi="Arial" w:cs="Arial"/>
          <w:noProof/>
          <w:color w:val="000000"/>
          <w:sz w:val="24"/>
          <w:szCs w:val="24"/>
          <w:shd w:val="clear" w:color="auto" w:fill="FFFFFF"/>
          <w:lang w:val="en-US"/>
        </w:rPr>
        <w:t xml:space="preserve"> </w:t>
      </w:r>
      <w:r w:rsidRPr="00B309E0">
        <w:rPr>
          <w:rFonts w:ascii="Arial" w:hAnsi="Arial" w:cs="Arial"/>
          <w:noProof/>
          <w:color w:val="000000"/>
          <w:sz w:val="24"/>
          <w:szCs w:val="24"/>
          <w:shd w:val="clear" w:color="auto" w:fill="FFFFFF"/>
          <w:lang w:val="en-US"/>
        </w:rPr>
        <w:drawing>
          <wp:inline distT="0" distB="0" distL="0" distR="0">
            <wp:extent cx="5210175" cy="2169459"/>
            <wp:effectExtent l="0" t="0" r="9525" b="2540"/>
            <wp:docPr id="27" name="Diagramă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9B6CC9" w:rsidRPr="001E39F2" w:rsidRDefault="001E39F2" w:rsidP="000C6A67">
      <w:pPr>
        <w:spacing w:after="0" w:line="240" w:lineRule="auto"/>
        <w:jc w:val="both"/>
        <w:rPr>
          <w:rFonts w:ascii="Arial" w:hAnsi="Arial" w:cs="Arial"/>
          <w:color w:val="000000"/>
          <w:shd w:val="clear" w:color="auto" w:fill="FFFFFF"/>
        </w:rPr>
      </w:pPr>
      <w:r w:rsidRPr="001E39F2">
        <w:rPr>
          <w:rFonts w:ascii="Arial" w:hAnsi="Arial" w:cs="Arial"/>
          <w:color w:val="000000"/>
          <w:shd w:val="clear" w:color="auto" w:fill="FFFFFF"/>
        </w:rPr>
        <w:t>S</w:t>
      </w:r>
      <w:r w:rsidR="009B6CC9" w:rsidRPr="001E39F2">
        <w:rPr>
          <w:rFonts w:ascii="Arial" w:hAnsi="Arial" w:cs="Arial"/>
          <w:color w:val="000000"/>
          <w:shd w:val="clear" w:color="auto" w:fill="FFFFFF"/>
        </w:rPr>
        <w:t>ursa datelor: Comisia Nationala de Prognoza - Prognoza în profil teritorial – varianta de primavara 2016</w:t>
      </w:r>
      <w:r w:rsidR="00D7513E" w:rsidRPr="001E39F2">
        <w:rPr>
          <w:rFonts w:ascii="Arial" w:hAnsi="Arial" w:cs="Arial"/>
          <w:color w:val="000000"/>
          <w:shd w:val="clear" w:color="auto" w:fill="FFFFFF"/>
        </w:rPr>
        <w:t xml:space="preserve">  http://www.cnp.ro/ro/prognoze</w:t>
      </w:r>
    </w:p>
    <w:p w:rsidR="00881B6A" w:rsidRDefault="00881B6A" w:rsidP="000C6A67">
      <w:pPr>
        <w:spacing w:after="0" w:line="240" w:lineRule="auto"/>
        <w:jc w:val="both"/>
        <w:rPr>
          <w:rFonts w:ascii="Arial" w:hAnsi="Arial" w:cs="Arial"/>
          <w:color w:val="000000"/>
          <w:sz w:val="24"/>
          <w:szCs w:val="24"/>
          <w:shd w:val="clear" w:color="auto" w:fill="FFFFFF"/>
        </w:rPr>
      </w:pPr>
    </w:p>
    <w:p w:rsidR="009B6CC9" w:rsidRDefault="009B6CC9" w:rsidP="000C6A67">
      <w:pPr>
        <w:spacing w:after="0" w:line="240" w:lineRule="auto"/>
        <w:jc w:val="both"/>
        <w:rPr>
          <w:rFonts w:ascii="Arial" w:hAnsi="Arial" w:cs="Arial"/>
          <w:color w:val="000000"/>
          <w:sz w:val="24"/>
          <w:szCs w:val="24"/>
          <w:shd w:val="clear" w:color="auto" w:fill="FFFFFF"/>
        </w:rPr>
      </w:pPr>
      <w:r w:rsidRPr="00B309E0">
        <w:rPr>
          <w:rFonts w:ascii="Arial" w:hAnsi="Arial" w:cs="Arial"/>
          <w:color w:val="000000"/>
          <w:sz w:val="24"/>
          <w:szCs w:val="24"/>
          <w:shd w:val="clear" w:color="auto" w:fill="FFFFFF"/>
        </w:rPr>
        <w:t>Rata șomajului în județele regiunii este prognozată cu o scădere față de valorile actuale, dar la valori cu diferențe semnificative între județe, cu valori finale extreme prognozate între 1,2% pentru județul Timiș și 5,7% pentru județul Hunedoara, și cu valorile de 2% pentru Județul Arad</w:t>
      </w:r>
      <w:r w:rsidR="00D7513E">
        <w:rPr>
          <w:rFonts w:ascii="Arial" w:hAnsi="Arial" w:cs="Arial"/>
          <w:color w:val="000000"/>
          <w:sz w:val="24"/>
          <w:szCs w:val="24"/>
          <w:shd w:val="clear" w:color="auto" w:fill="FFFFFF"/>
        </w:rPr>
        <w:t xml:space="preserve"> și 3,9% pentru Caraș Severin. </w:t>
      </w:r>
    </w:p>
    <w:p w:rsidR="00C70BD2" w:rsidRDefault="00C70BD2" w:rsidP="000C6A67">
      <w:pPr>
        <w:spacing w:after="0" w:line="240" w:lineRule="auto"/>
        <w:jc w:val="center"/>
        <w:rPr>
          <w:rFonts w:ascii="Arial" w:hAnsi="Arial" w:cs="Arial"/>
          <w:color w:val="000000"/>
          <w:shd w:val="clear" w:color="auto" w:fill="FFFFFF"/>
        </w:rPr>
      </w:pPr>
    </w:p>
    <w:p w:rsidR="001E39F2" w:rsidRPr="001E39F2" w:rsidRDefault="001E39F2" w:rsidP="000C6A67">
      <w:pPr>
        <w:spacing w:after="0" w:line="240" w:lineRule="auto"/>
        <w:jc w:val="center"/>
        <w:rPr>
          <w:rFonts w:ascii="Arial" w:hAnsi="Arial" w:cs="Arial"/>
          <w:color w:val="000000"/>
          <w:shd w:val="clear" w:color="auto" w:fill="FFFFFF"/>
        </w:rPr>
      </w:pPr>
      <w:r w:rsidRPr="001E39F2">
        <w:rPr>
          <w:rFonts w:ascii="Arial" w:hAnsi="Arial" w:cs="Arial"/>
          <w:color w:val="000000"/>
          <w:shd w:val="clear" w:color="auto" w:fill="FFFFFF"/>
        </w:rPr>
        <w:t>Figura 1</w:t>
      </w:r>
      <w:r w:rsidR="006F004E">
        <w:rPr>
          <w:rFonts w:ascii="Arial" w:hAnsi="Arial" w:cs="Arial"/>
          <w:color w:val="000000"/>
          <w:shd w:val="clear" w:color="auto" w:fill="FFFFFF"/>
        </w:rPr>
        <w:t>8</w:t>
      </w:r>
      <w:r w:rsidRPr="001E39F2">
        <w:rPr>
          <w:rFonts w:ascii="Arial" w:hAnsi="Arial" w:cs="Arial"/>
          <w:color w:val="000000"/>
          <w:shd w:val="clear" w:color="auto" w:fill="FFFFFF"/>
        </w:rPr>
        <w:t>.</w:t>
      </w:r>
      <w:r w:rsidR="002B0255" w:rsidRPr="002B0255">
        <w:rPr>
          <w:rFonts w:ascii="Arial" w:hAnsi="Arial" w:cs="Arial"/>
          <w:color w:val="000000"/>
          <w:shd w:val="clear" w:color="auto" w:fill="FFFFFF"/>
        </w:rPr>
        <w:t xml:space="preserve"> </w:t>
      </w:r>
      <w:r w:rsidR="002B0255">
        <w:rPr>
          <w:rFonts w:ascii="Arial" w:hAnsi="Arial" w:cs="Arial"/>
          <w:color w:val="000000"/>
          <w:shd w:val="clear" w:color="auto" w:fill="FFFFFF"/>
        </w:rPr>
        <w:t xml:space="preserve">                                 </w:t>
      </w:r>
      <w:r w:rsidR="002B0255" w:rsidRPr="001E39F2">
        <w:rPr>
          <w:rFonts w:ascii="Arial" w:hAnsi="Arial" w:cs="Arial"/>
          <w:color w:val="000000"/>
          <w:shd w:val="clear" w:color="auto" w:fill="FFFFFF"/>
        </w:rPr>
        <w:t>Figura 1</w:t>
      </w:r>
      <w:r w:rsidR="002B0255">
        <w:rPr>
          <w:rFonts w:ascii="Arial" w:hAnsi="Arial" w:cs="Arial"/>
          <w:color w:val="000000"/>
          <w:shd w:val="clear" w:color="auto" w:fill="FFFFFF"/>
        </w:rPr>
        <w:t>9</w:t>
      </w:r>
      <w:r w:rsidR="002B0255" w:rsidRPr="001E39F2">
        <w:rPr>
          <w:rFonts w:ascii="Arial" w:hAnsi="Arial" w:cs="Arial"/>
          <w:color w:val="000000"/>
          <w:shd w:val="clear" w:color="auto" w:fill="FFFFFF"/>
        </w:rPr>
        <w:t>.</w:t>
      </w:r>
    </w:p>
    <w:p w:rsidR="00C70BD2" w:rsidRDefault="009B6CC9" w:rsidP="00720075">
      <w:pPr>
        <w:spacing w:after="0" w:line="240" w:lineRule="auto"/>
      </w:pPr>
      <w:r w:rsidRPr="00B309E0">
        <w:rPr>
          <w:rFonts w:ascii="Arial" w:hAnsi="Arial" w:cs="Arial"/>
          <w:noProof/>
          <w:color w:val="000000"/>
          <w:sz w:val="24"/>
          <w:szCs w:val="24"/>
          <w:shd w:val="clear" w:color="auto" w:fill="FFFFFF"/>
          <w:lang w:val="en-US"/>
        </w:rPr>
        <w:drawing>
          <wp:inline distT="0" distB="0" distL="0" distR="0">
            <wp:extent cx="2731082" cy="2238998"/>
            <wp:effectExtent l="19050" t="0" r="12118" b="8902"/>
            <wp:docPr id="28" name="Diagramă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rsidRPr="00B309E0">
        <w:rPr>
          <w:rFonts w:ascii="Arial" w:hAnsi="Arial" w:cs="Arial"/>
          <w:b/>
          <w:bCs/>
          <w:noProof/>
          <w:color w:val="FF0000"/>
          <w:sz w:val="24"/>
          <w:szCs w:val="24"/>
          <w:lang w:val="en-US"/>
        </w:rPr>
        <w:drawing>
          <wp:inline distT="0" distB="0" distL="0" distR="0">
            <wp:extent cx="2969385" cy="2247544"/>
            <wp:effectExtent l="19050" t="0" r="21465" b="356"/>
            <wp:docPr id="52" name="Diagramă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r w:rsidR="00FE6DF2" w:rsidRPr="00FE6DF2">
        <w:t xml:space="preserve"> </w:t>
      </w:r>
    </w:p>
    <w:p w:rsidR="00FE6DF2" w:rsidRDefault="00FE6DF2" w:rsidP="00720075">
      <w:pPr>
        <w:spacing w:after="0" w:line="240" w:lineRule="auto"/>
        <w:rPr>
          <w:rFonts w:ascii="Arial" w:hAnsi="Arial" w:cs="Arial"/>
          <w:bCs/>
        </w:rPr>
      </w:pPr>
      <w:r w:rsidRPr="00FE6DF2">
        <w:rPr>
          <w:rFonts w:ascii="Arial" w:hAnsi="Arial" w:cs="Arial"/>
          <w:bCs/>
        </w:rPr>
        <w:lastRenderedPageBreak/>
        <w:t>Sursa datelor: Comisia Nationala de Prognoza - Prognoza în profil teritorial – varianta de primavara 2016</w:t>
      </w:r>
    </w:p>
    <w:p w:rsidR="001D348E" w:rsidRPr="00720075" w:rsidRDefault="001D348E" w:rsidP="00720075">
      <w:pPr>
        <w:spacing w:after="0" w:line="240" w:lineRule="auto"/>
        <w:rPr>
          <w:rFonts w:ascii="Arial" w:hAnsi="Arial" w:cs="Arial"/>
          <w:b/>
          <w:bCs/>
          <w:sz w:val="24"/>
          <w:szCs w:val="24"/>
        </w:rPr>
      </w:pPr>
    </w:p>
    <w:p w:rsidR="001E39F2" w:rsidRPr="00B309E0" w:rsidRDefault="001E39F2" w:rsidP="00881B6A">
      <w:pPr>
        <w:spacing w:after="240" w:line="240" w:lineRule="auto"/>
        <w:jc w:val="both"/>
        <w:rPr>
          <w:rFonts w:ascii="Arial" w:hAnsi="Arial" w:cs="Arial"/>
          <w:color w:val="000000"/>
          <w:sz w:val="24"/>
          <w:szCs w:val="24"/>
          <w:shd w:val="clear" w:color="auto" w:fill="FFFFFF"/>
        </w:rPr>
      </w:pPr>
      <w:r w:rsidRPr="00B309E0">
        <w:rPr>
          <w:rFonts w:ascii="Arial" w:hAnsi="Arial" w:cs="Arial"/>
          <w:color w:val="000000"/>
          <w:sz w:val="24"/>
          <w:szCs w:val="24"/>
          <w:shd w:val="clear" w:color="auto" w:fill="FFFFFF"/>
        </w:rPr>
        <w:t xml:space="preserve">Imaginea globală privind salariații și șomerii din regiuni, în comparație națională ne oferă </w:t>
      </w:r>
      <w:r w:rsidRPr="00B309E0">
        <w:rPr>
          <w:rFonts w:ascii="Arial" w:hAnsi="Arial" w:cs="Arial"/>
          <w:b/>
          <w:color w:val="000000"/>
          <w:sz w:val="24"/>
          <w:szCs w:val="24"/>
          <w:shd w:val="clear" w:color="auto" w:fill="FFFFFF"/>
        </w:rPr>
        <w:t>Proiecția structurii numărului mediu de salariaţi,</w:t>
      </w:r>
      <w:r w:rsidRPr="00B309E0">
        <w:rPr>
          <w:rFonts w:ascii="Arial" w:hAnsi="Arial" w:cs="Arial"/>
          <w:color w:val="000000"/>
          <w:sz w:val="24"/>
          <w:szCs w:val="24"/>
          <w:shd w:val="clear" w:color="auto" w:fill="FFFFFF"/>
        </w:rPr>
        <w:t xml:space="preserve"> cu 11% revenin</w:t>
      </w:r>
      <w:r w:rsidR="00720075">
        <w:rPr>
          <w:rFonts w:ascii="Arial" w:hAnsi="Arial" w:cs="Arial"/>
          <w:color w:val="000000"/>
          <w:sz w:val="24"/>
          <w:szCs w:val="24"/>
          <w:shd w:val="clear" w:color="auto" w:fill="FFFFFF"/>
        </w:rPr>
        <w:t>d</w:t>
      </w:r>
      <w:r w:rsidRPr="00B309E0">
        <w:rPr>
          <w:rFonts w:ascii="Arial" w:hAnsi="Arial" w:cs="Arial"/>
          <w:color w:val="000000"/>
          <w:sz w:val="24"/>
          <w:szCs w:val="24"/>
          <w:shd w:val="clear" w:color="auto" w:fill="FFFFFF"/>
        </w:rPr>
        <w:t xml:space="preserve"> Regiunii Vest, în timp ce </w:t>
      </w:r>
      <w:r w:rsidRPr="00B309E0">
        <w:rPr>
          <w:rFonts w:ascii="Arial" w:hAnsi="Arial" w:cs="Arial"/>
          <w:b/>
          <w:color w:val="000000"/>
          <w:sz w:val="24"/>
          <w:szCs w:val="24"/>
          <w:shd w:val="clear" w:color="auto" w:fill="FFFFFF"/>
        </w:rPr>
        <w:t>Proiecția structura numărului de şomeri înregistraţi</w:t>
      </w:r>
      <w:r w:rsidRPr="00B309E0">
        <w:rPr>
          <w:rFonts w:ascii="Arial" w:hAnsi="Arial" w:cs="Arial"/>
          <w:color w:val="000000"/>
          <w:sz w:val="24"/>
          <w:szCs w:val="24"/>
          <w:shd w:val="clear" w:color="auto" w:fill="FFFFFF"/>
        </w:rPr>
        <w:t xml:space="preserve">, la sfârşitul anului 2019 prevede doar 6% șomeri din totalul la nivel național. </w:t>
      </w:r>
    </w:p>
    <w:p w:rsidR="001937AF" w:rsidRPr="00D36D3E" w:rsidRDefault="00AF2F7A" w:rsidP="00D36D3E">
      <w:pPr>
        <w:pStyle w:val="Heading2"/>
        <w:spacing w:before="0" w:after="240" w:line="240" w:lineRule="auto"/>
        <w:jc w:val="both"/>
        <w:rPr>
          <w:rFonts w:ascii="Arial" w:hAnsi="Arial" w:cs="Arial"/>
          <w:bCs w:val="0"/>
          <w:i/>
          <w:color w:val="000000" w:themeColor="text1"/>
          <w:sz w:val="24"/>
          <w:szCs w:val="24"/>
          <w:lang w:eastAsia="ro-RO"/>
        </w:rPr>
      </w:pPr>
      <w:bookmarkStart w:id="80" w:name="_Toc488066051"/>
      <w:r w:rsidRPr="00DD5F85">
        <w:rPr>
          <w:rFonts w:ascii="Arial" w:hAnsi="Arial" w:cs="Arial"/>
          <w:bCs w:val="0"/>
          <w:i/>
          <w:color w:val="000000" w:themeColor="text1"/>
          <w:sz w:val="24"/>
          <w:szCs w:val="24"/>
          <w:lang w:eastAsia="ro-RO"/>
        </w:rPr>
        <w:t>5</w:t>
      </w:r>
      <w:r w:rsidR="00D45E55" w:rsidRPr="00DD5F85">
        <w:rPr>
          <w:rFonts w:ascii="Arial" w:hAnsi="Arial" w:cs="Arial"/>
          <w:bCs w:val="0"/>
          <w:i/>
          <w:color w:val="000000" w:themeColor="text1"/>
          <w:sz w:val="24"/>
          <w:szCs w:val="24"/>
          <w:lang w:eastAsia="ro-RO"/>
        </w:rPr>
        <w:t>.7.</w:t>
      </w:r>
      <w:r w:rsidRPr="00DD5F85">
        <w:rPr>
          <w:rFonts w:ascii="Arial" w:hAnsi="Arial" w:cs="Arial"/>
          <w:bCs w:val="0"/>
          <w:i/>
          <w:color w:val="000000" w:themeColor="text1"/>
          <w:sz w:val="24"/>
          <w:szCs w:val="24"/>
          <w:lang w:eastAsia="ro-RO"/>
        </w:rPr>
        <w:t xml:space="preserve"> </w:t>
      </w:r>
      <w:r w:rsidR="00D87A2A" w:rsidRPr="00DD5F85">
        <w:rPr>
          <w:rFonts w:ascii="Arial" w:hAnsi="Arial" w:cs="Arial"/>
          <w:bCs w:val="0"/>
          <w:i/>
          <w:color w:val="000000" w:themeColor="text1"/>
          <w:sz w:val="24"/>
          <w:szCs w:val="24"/>
          <w:lang w:eastAsia="ro-RO"/>
        </w:rPr>
        <w:t>Prognoze privind cererea şi oferta de locuri de muncă</w:t>
      </w:r>
      <w:bookmarkEnd w:id="80"/>
    </w:p>
    <w:p w:rsidR="00AF2F7A" w:rsidRPr="00D36D3E" w:rsidRDefault="00AF2F7A" w:rsidP="00D36D3E">
      <w:pPr>
        <w:pStyle w:val="Heading3"/>
        <w:spacing w:before="0" w:line="240" w:lineRule="auto"/>
        <w:jc w:val="both"/>
        <w:rPr>
          <w:rFonts w:ascii="Arial" w:hAnsi="Arial" w:cs="Arial"/>
          <w:b w:val="0"/>
          <w:bCs w:val="0"/>
          <w:i/>
          <w:color w:val="auto"/>
          <w:sz w:val="24"/>
          <w:szCs w:val="24"/>
          <w:lang w:eastAsia="ro-RO"/>
        </w:rPr>
      </w:pPr>
      <w:bookmarkStart w:id="81" w:name="_Toc488066052"/>
      <w:r w:rsidRPr="00D36D3E">
        <w:rPr>
          <w:rFonts w:ascii="Arial" w:hAnsi="Arial" w:cs="Arial"/>
          <w:b w:val="0"/>
          <w:bCs w:val="0"/>
          <w:i/>
          <w:color w:val="auto"/>
          <w:sz w:val="24"/>
          <w:szCs w:val="24"/>
          <w:lang w:eastAsia="ro-RO"/>
        </w:rPr>
        <w:t>5</w:t>
      </w:r>
      <w:r w:rsidR="00D45E55" w:rsidRPr="00D36D3E">
        <w:rPr>
          <w:rFonts w:ascii="Arial" w:hAnsi="Arial" w:cs="Arial"/>
          <w:b w:val="0"/>
          <w:bCs w:val="0"/>
          <w:i/>
          <w:color w:val="auto"/>
          <w:sz w:val="24"/>
          <w:szCs w:val="24"/>
          <w:lang w:eastAsia="ro-RO"/>
        </w:rPr>
        <w:t xml:space="preserve">.7.1. Prognoza cererii şi ofertei de locuri de muncă pe termen mediu şi lung </w:t>
      </w:r>
      <w:r w:rsidRPr="00D36D3E">
        <w:rPr>
          <w:rFonts w:ascii="Arial" w:hAnsi="Arial" w:cs="Arial"/>
          <w:b w:val="0"/>
          <w:bCs w:val="0"/>
          <w:i/>
          <w:color w:val="auto"/>
          <w:sz w:val="24"/>
          <w:szCs w:val="24"/>
          <w:lang w:eastAsia="ro-RO"/>
        </w:rPr>
        <w:t xml:space="preserve">din </w:t>
      </w:r>
      <w:r w:rsidR="00D45E55" w:rsidRPr="00D36D3E">
        <w:rPr>
          <w:rFonts w:ascii="Arial" w:hAnsi="Arial" w:cs="Arial"/>
          <w:b w:val="0"/>
          <w:bCs w:val="0"/>
          <w:i/>
          <w:color w:val="auto"/>
          <w:sz w:val="24"/>
          <w:szCs w:val="24"/>
          <w:lang w:eastAsia="ro-RO"/>
        </w:rPr>
        <w:t xml:space="preserve">Studii previzionale la nivel European </w:t>
      </w:r>
      <w:r w:rsidRPr="00D36D3E">
        <w:rPr>
          <w:rFonts w:ascii="Arial" w:hAnsi="Arial" w:cs="Arial"/>
          <w:b w:val="0"/>
          <w:bCs w:val="0"/>
          <w:i/>
          <w:color w:val="auto"/>
          <w:sz w:val="24"/>
          <w:szCs w:val="24"/>
          <w:lang w:eastAsia="ro-RO"/>
        </w:rPr>
        <w:t>–</w:t>
      </w:r>
      <w:r w:rsidR="00D45E55" w:rsidRPr="00D36D3E">
        <w:rPr>
          <w:rFonts w:ascii="Arial" w:hAnsi="Arial" w:cs="Arial"/>
          <w:b w:val="0"/>
          <w:bCs w:val="0"/>
          <w:i/>
          <w:color w:val="auto"/>
          <w:sz w:val="24"/>
          <w:szCs w:val="24"/>
          <w:lang w:eastAsia="ro-RO"/>
        </w:rPr>
        <w:t xml:space="preserve"> </w:t>
      </w:r>
      <w:r w:rsidRPr="00D36D3E">
        <w:rPr>
          <w:rFonts w:ascii="Arial" w:hAnsi="Arial" w:cs="Arial"/>
          <w:b w:val="0"/>
          <w:bCs w:val="0"/>
          <w:i/>
          <w:color w:val="auto"/>
          <w:sz w:val="24"/>
          <w:szCs w:val="24"/>
          <w:lang w:eastAsia="ro-RO"/>
        </w:rPr>
        <w:t>CEDEFOP</w:t>
      </w:r>
      <w:bookmarkEnd w:id="81"/>
    </w:p>
    <w:p w:rsidR="002B452F" w:rsidRPr="00FE749F" w:rsidRDefault="002B452F" w:rsidP="000C6A67">
      <w:pPr>
        <w:pStyle w:val="Header"/>
        <w:tabs>
          <w:tab w:val="center" w:pos="851"/>
        </w:tabs>
        <w:jc w:val="both"/>
        <w:rPr>
          <w:rStyle w:val="hps"/>
          <w:rFonts w:ascii="Arial" w:hAnsi="Arial" w:cs="Arial"/>
          <w:color w:val="222222"/>
          <w:sz w:val="24"/>
          <w:szCs w:val="24"/>
        </w:rPr>
      </w:pPr>
      <w:r w:rsidRPr="009D7A9A">
        <w:rPr>
          <w:rStyle w:val="hps"/>
          <w:rFonts w:ascii="Arial" w:hAnsi="Arial" w:cs="Arial"/>
          <w:b/>
          <w:color w:val="222222"/>
          <w:sz w:val="24"/>
          <w:szCs w:val="24"/>
        </w:rPr>
        <w:t>Prognozele</w:t>
      </w:r>
      <w:r w:rsidRPr="009D7A9A">
        <w:rPr>
          <w:rFonts w:ascii="Arial" w:hAnsi="Arial" w:cs="Arial"/>
          <w:b/>
          <w:color w:val="222222"/>
          <w:sz w:val="24"/>
          <w:szCs w:val="24"/>
        </w:rPr>
        <w:t xml:space="preserve"> </w:t>
      </w:r>
      <w:r w:rsidRPr="009D7A9A">
        <w:rPr>
          <w:rStyle w:val="hps"/>
          <w:rFonts w:ascii="Arial" w:hAnsi="Arial" w:cs="Arial"/>
          <w:b/>
          <w:color w:val="222222"/>
          <w:sz w:val="24"/>
          <w:szCs w:val="24"/>
        </w:rPr>
        <w:t>CEDEFOP</w:t>
      </w:r>
      <w:r w:rsidRPr="00FE749F">
        <w:rPr>
          <w:rFonts w:ascii="Arial" w:hAnsi="Arial" w:cs="Arial"/>
          <w:color w:val="222222"/>
          <w:sz w:val="24"/>
          <w:szCs w:val="24"/>
        </w:rPr>
        <w:t xml:space="preserve"> </w:t>
      </w:r>
      <w:r w:rsidRPr="00FE749F">
        <w:rPr>
          <w:rStyle w:val="hps"/>
          <w:rFonts w:ascii="Arial" w:hAnsi="Arial" w:cs="Arial"/>
          <w:color w:val="222222"/>
          <w:sz w:val="24"/>
          <w:szCs w:val="24"/>
        </w:rPr>
        <w:t>oferă o perspectivă despre</w:t>
      </w:r>
      <w:r w:rsidRPr="00FE749F">
        <w:rPr>
          <w:rFonts w:ascii="Arial" w:hAnsi="Arial" w:cs="Arial"/>
          <w:color w:val="222222"/>
          <w:sz w:val="24"/>
          <w:szCs w:val="24"/>
        </w:rPr>
        <w:t xml:space="preserve"> </w:t>
      </w:r>
      <w:r w:rsidRPr="00FE749F">
        <w:rPr>
          <w:rStyle w:val="hps"/>
          <w:rFonts w:ascii="Arial" w:hAnsi="Arial" w:cs="Arial"/>
          <w:color w:val="222222"/>
          <w:sz w:val="24"/>
          <w:szCs w:val="24"/>
        </w:rPr>
        <w:t>posibilitățile de angajare</w:t>
      </w:r>
      <w:r w:rsidRPr="00FE749F">
        <w:rPr>
          <w:rFonts w:ascii="Arial" w:hAnsi="Arial" w:cs="Arial"/>
          <w:color w:val="222222"/>
          <w:sz w:val="24"/>
          <w:szCs w:val="24"/>
        </w:rPr>
        <w:t xml:space="preserve"> </w:t>
      </w:r>
      <w:r w:rsidRPr="00FE749F">
        <w:rPr>
          <w:rStyle w:val="hps"/>
          <w:rFonts w:ascii="Arial" w:hAnsi="Arial" w:cs="Arial"/>
          <w:color w:val="222222"/>
          <w:sz w:val="24"/>
          <w:szCs w:val="24"/>
        </w:rPr>
        <w:t>între 2015 și 2025</w:t>
      </w:r>
      <w:r w:rsidRPr="00FE749F">
        <w:rPr>
          <w:rFonts w:ascii="Arial" w:hAnsi="Arial" w:cs="Arial"/>
          <w:color w:val="222222"/>
          <w:sz w:val="24"/>
          <w:szCs w:val="24"/>
        </w:rPr>
        <w:t xml:space="preserve">. </w:t>
      </w:r>
      <w:r w:rsidRPr="00FE749F">
        <w:rPr>
          <w:rStyle w:val="hps"/>
          <w:rFonts w:ascii="Arial" w:hAnsi="Arial" w:cs="Arial"/>
          <w:color w:val="222222"/>
          <w:sz w:val="24"/>
          <w:szCs w:val="24"/>
        </w:rPr>
        <w:t>Totalul</w:t>
      </w:r>
      <w:r w:rsidRPr="00FE749F">
        <w:rPr>
          <w:rFonts w:ascii="Arial" w:hAnsi="Arial" w:cs="Arial"/>
          <w:color w:val="222222"/>
          <w:sz w:val="24"/>
          <w:szCs w:val="24"/>
        </w:rPr>
        <w:t xml:space="preserve"> </w:t>
      </w:r>
      <w:r w:rsidRPr="00FE749F">
        <w:rPr>
          <w:rStyle w:val="hps"/>
          <w:rFonts w:ascii="Arial" w:hAnsi="Arial" w:cs="Arial"/>
          <w:color w:val="222222"/>
          <w:sz w:val="24"/>
          <w:szCs w:val="24"/>
        </w:rPr>
        <w:t>de locuri de muncă</w:t>
      </w:r>
      <w:r w:rsidRPr="00FE749F">
        <w:rPr>
          <w:rFonts w:ascii="Arial" w:hAnsi="Arial" w:cs="Arial"/>
          <w:color w:val="222222"/>
          <w:sz w:val="24"/>
          <w:szCs w:val="24"/>
        </w:rPr>
        <w:t xml:space="preserve"> </w:t>
      </w:r>
      <w:r w:rsidRPr="00FE749F">
        <w:rPr>
          <w:rStyle w:val="hps"/>
          <w:rFonts w:ascii="Arial" w:hAnsi="Arial" w:cs="Arial"/>
          <w:color w:val="222222"/>
          <w:sz w:val="24"/>
          <w:szCs w:val="24"/>
        </w:rPr>
        <w:t>reprezintă suma</w:t>
      </w:r>
      <w:r w:rsidRPr="00FE749F">
        <w:rPr>
          <w:rFonts w:ascii="Arial" w:hAnsi="Arial" w:cs="Arial"/>
          <w:color w:val="222222"/>
          <w:sz w:val="24"/>
          <w:szCs w:val="24"/>
        </w:rPr>
        <w:t xml:space="preserve"> </w:t>
      </w:r>
      <w:r w:rsidRPr="00FE749F">
        <w:rPr>
          <w:rStyle w:val="hps"/>
          <w:rFonts w:ascii="Arial" w:hAnsi="Arial" w:cs="Arial"/>
          <w:color w:val="222222"/>
          <w:sz w:val="24"/>
          <w:szCs w:val="24"/>
        </w:rPr>
        <w:t>de locuri de muncă</w:t>
      </w:r>
      <w:r w:rsidRPr="00FE749F">
        <w:rPr>
          <w:rFonts w:ascii="Arial" w:hAnsi="Arial" w:cs="Arial"/>
          <w:color w:val="222222"/>
          <w:sz w:val="24"/>
          <w:szCs w:val="24"/>
        </w:rPr>
        <w:t xml:space="preserve"> </w:t>
      </w:r>
      <w:r w:rsidRPr="00FE749F">
        <w:rPr>
          <w:rStyle w:val="hps"/>
          <w:rFonts w:ascii="Arial" w:hAnsi="Arial" w:cs="Arial"/>
          <w:color w:val="222222"/>
          <w:sz w:val="24"/>
          <w:szCs w:val="24"/>
        </w:rPr>
        <w:t>nou create</w:t>
      </w:r>
      <w:r w:rsidRPr="00FE749F">
        <w:rPr>
          <w:rFonts w:ascii="Arial" w:hAnsi="Arial" w:cs="Arial"/>
          <w:color w:val="222222"/>
          <w:sz w:val="24"/>
          <w:szCs w:val="24"/>
        </w:rPr>
        <w:t xml:space="preserve"> </w:t>
      </w:r>
      <w:r w:rsidRPr="00FE749F">
        <w:rPr>
          <w:rStyle w:val="hps"/>
          <w:rFonts w:ascii="Arial" w:hAnsi="Arial" w:cs="Arial"/>
          <w:color w:val="222222"/>
          <w:sz w:val="24"/>
          <w:szCs w:val="24"/>
        </w:rPr>
        <w:t xml:space="preserve">- </w:t>
      </w:r>
      <w:r w:rsidRPr="00FE749F">
        <w:rPr>
          <w:rFonts w:ascii="Arial" w:hAnsi="Arial" w:cs="Arial"/>
          <w:color w:val="222222"/>
          <w:sz w:val="24"/>
          <w:szCs w:val="24"/>
        </w:rPr>
        <w:t xml:space="preserve">cerere expandată - și </w:t>
      </w:r>
      <w:r w:rsidRPr="00FE749F">
        <w:rPr>
          <w:rStyle w:val="hps"/>
          <w:rFonts w:ascii="Arial" w:hAnsi="Arial" w:cs="Arial"/>
          <w:color w:val="222222"/>
          <w:sz w:val="24"/>
          <w:szCs w:val="24"/>
        </w:rPr>
        <w:t>de locuri de muncă</w:t>
      </w:r>
      <w:r w:rsidRPr="00FE749F">
        <w:rPr>
          <w:rFonts w:ascii="Arial" w:hAnsi="Arial" w:cs="Arial"/>
          <w:color w:val="222222"/>
          <w:sz w:val="24"/>
          <w:szCs w:val="24"/>
        </w:rPr>
        <w:t xml:space="preserve"> </w:t>
      </w:r>
      <w:r w:rsidRPr="00FE749F">
        <w:rPr>
          <w:rStyle w:val="hps"/>
          <w:rFonts w:ascii="Arial" w:hAnsi="Arial" w:cs="Arial"/>
          <w:color w:val="222222"/>
          <w:sz w:val="24"/>
          <w:szCs w:val="24"/>
        </w:rPr>
        <w:t>care rezultă</w:t>
      </w:r>
      <w:r w:rsidRPr="00FE749F">
        <w:rPr>
          <w:rFonts w:ascii="Arial" w:hAnsi="Arial" w:cs="Arial"/>
          <w:color w:val="222222"/>
          <w:sz w:val="24"/>
          <w:szCs w:val="24"/>
        </w:rPr>
        <w:t xml:space="preserve"> </w:t>
      </w:r>
      <w:r w:rsidRPr="00FE749F">
        <w:rPr>
          <w:rStyle w:val="hps"/>
          <w:rFonts w:ascii="Arial" w:hAnsi="Arial" w:cs="Arial"/>
          <w:color w:val="222222"/>
          <w:sz w:val="24"/>
          <w:szCs w:val="24"/>
        </w:rPr>
        <w:t>din necesitatea</w:t>
      </w:r>
      <w:r w:rsidRPr="00FE749F">
        <w:rPr>
          <w:rFonts w:ascii="Arial" w:hAnsi="Arial" w:cs="Arial"/>
          <w:color w:val="222222"/>
          <w:sz w:val="24"/>
          <w:szCs w:val="24"/>
        </w:rPr>
        <w:t xml:space="preserve"> </w:t>
      </w:r>
      <w:r w:rsidRPr="00FE749F">
        <w:rPr>
          <w:rStyle w:val="hps"/>
          <w:rFonts w:ascii="Arial" w:hAnsi="Arial" w:cs="Arial"/>
          <w:color w:val="222222"/>
          <w:sz w:val="24"/>
          <w:szCs w:val="24"/>
        </w:rPr>
        <w:t>de a înlocui</w:t>
      </w:r>
      <w:r w:rsidRPr="00FE749F">
        <w:rPr>
          <w:rFonts w:ascii="Arial" w:hAnsi="Arial" w:cs="Arial"/>
          <w:color w:val="222222"/>
          <w:sz w:val="24"/>
          <w:szCs w:val="24"/>
        </w:rPr>
        <w:t xml:space="preserve"> </w:t>
      </w:r>
      <w:r w:rsidRPr="00FE749F">
        <w:rPr>
          <w:rStyle w:val="hps"/>
          <w:rFonts w:ascii="Arial" w:hAnsi="Arial" w:cs="Arial"/>
          <w:color w:val="222222"/>
          <w:sz w:val="24"/>
          <w:szCs w:val="24"/>
        </w:rPr>
        <w:t>oameni care fie</w:t>
      </w:r>
      <w:r w:rsidRPr="00FE749F">
        <w:rPr>
          <w:rFonts w:ascii="Arial" w:hAnsi="Arial" w:cs="Arial"/>
          <w:color w:val="222222"/>
          <w:sz w:val="24"/>
          <w:szCs w:val="24"/>
        </w:rPr>
        <w:t xml:space="preserve"> ocupă </w:t>
      </w:r>
      <w:r w:rsidRPr="00FE749F">
        <w:rPr>
          <w:rStyle w:val="hps"/>
          <w:rFonts w:ascii="Arial" w:hAnsi="Arial" w:cs="Arial"/>
          <w:color w:val="222222"/>
          <w:sz w:val="24"/>
          <w:szCs w:val="24"/>
        </w:rPr>
        <w:t>alte locuri de muncă,</w:t>
      </w:r>
      <w:r w:rsidRPr="00FE749F">
        <w:rPr>
          <w:rFonts w:ascii="Arial" w:hAnsi="Arial" w:cs="Arial"/>
          <w:color w:val="222222"/>
          <w:sz w:val="24"/>
          <w:szCs w:val="24"/>
        </w:rPr>
        <w:t xml:space="preserve"> fie </w:t>
      </w:r>
      <w:r w:rsidRPr="00FE749F">
        <w:rPr>
          <w:rStyle w:val="hps"/>
          <w:rFonts w:ascii="Arial" w:hAnsi="Arial" w:cs="Arial"/>
          <w:color w:val="222222"/>
          <w:sz w:val="24"/>
          <w:szCs w:val="24"/>
        </w:rPr>
        <w:t>ies</w:t>
      </w:r>
      <w:r w:rsidRPr="00FE749F">
        <w:rPr>
          <w:rFonts w:ascii="Arial" w:hAnsi="Arial" w:cs="Arial"/>
          <w:color w:val="222222"/>
          <w:sz w:val="24"/>
          <w:szCs w:val="24"/>
        </w:rPr>
        <w:t xml:space="preserve"> de </w:t>
      </w:r>
      <w:r w:rsidRPr="00FE749F">
        <w:rPr>
          <w:rStyle w:val="hps"/>
          <w:rFonts w:ascii="Arial" w:hAnsi="Arial" w:cs="Arial"/>
          <w:color w:val="222222"/>
          <w:sz w:val="24"/>
          <w:szCs w:val="24"/>
        </w:rPr>
        <w:t>pe piața muncii</w:t>
      </w:r>
      <w:r w:rsidRPr="00FE749F">
        <w:rPr>
          <w:rFonts w:ascii="Arial" w:hAnsi="Arial" w:cs="Arial"/>
          <w:color w:val="222222"/>
          <w:sz w:val="24"/>
          <w:szCs w:val="24"/>
        </w:rPr>
        <w:t xml:space="preserve">, </w:t>
      </w:r>
      <w:r w:rsidRPr="00FE749F">
        <w:rPr>
          <w:rStyle w:val="hps"/>
          <w:rFonts w:ascii="Arial" w:hAnsi="Arial" w:cs="Arial"/>
          <w:color w:val="222222"/>
          <w:sz w:val="24"/>
          <w:szCs w:val="24"/>
        </w:rPr>
        <w:t>de exemplu,</w:t>
      </w:r>
      <w:r w:rsidRPr="00FE749F">
        <w:rPr>
          <w:rFonts w:ascii="Arial" w:hAnsi="Arial" w:cs="Arial"/>
          <w:color w:val="222222"/>
          <w:sz w:val="24"/>
          <w:szCs w:val="24"/>
        </w:rPr>
        <w:t xml:space="preserve"> </w:t>
      </w:r>
      <w:r w:rsidRPr="00FE749F">
        <w:rPr>
          <w:rStyle w:val="hps"/>
          <w:rFonts w:ascii="Arial" w:hAnsi="Arial" w:cs="Arial"/>
          <w:color w:val="222222"/>
          <w:sz w:val="24"/>
          <w:szCs w:val="24"/>
        </w:rPr>
        <w:t>ca urmare a</w:t>
      </w:r>
      <w:r w:rsidRPr="00FE749F">
        <w:rPr>
          <w:rFonts w:ascii="Arial" w:hAnsi="Arial" w:cs="Arial"/>
          <w:color w:val="222222"/>
          <w:sz w:val="24"/>
          <w:szCs w:val="24"/>
        </w:rPr>
        <w:t xml:space="preserve"> </w:t>
      </w:r>
      <w:r w:rsidRPr="00FE749F">
        <w:rPr>
          <w:rStyle w:val="hps"/>
          <w:rFonts w:ascii="Arial" w:hAnsi="Arial" w:cs="Arial"/>
          <w:color w:val="222222"/>
          <w:sz w:val="24"/>
          <w:szCs w:val="24"/>
        </w:rPr>
        <w:t>pensionării</w:t>
      </w:r>
      <w:r w:rsidRPr="00FE749F">
        <w:rPr>
          <w:rFonts w:ascii="Arial" w:hAnsi="Arial" w:cs="Arial"/>
          <w:color w:val="222222"/>
          <w:sz w:val="24"/>
          <w:szCs w:val="24"/>
        </w:rPr>
        <w:t xml:space="preserve"> </w:t>
      </w:r>
      <w:r w:rsidRPr="00FE749F">
        <w:rPr>
          <w:rStyle w:val="hps"/>
          <w:rFonts w:ascii="Arial" w:hAnsi="Arial" w:cs="Arial"/>
          <w:color w:val="222222"/>
          <w:sz w:val="24"/>
          <w:szCs w:val="24"/>
        </w:rPr>
        <w:t xml:space="preserve">- </w:t>
      </w:r>
      <w:r w:rsidRPr="00FE749F">
        <w:rPr>
          <w:rFonts w:ascii="Arial" w:hAnsi="Arial" w:cs="Arial"/>
          <w:color w:val="222222"/>
          <w:sz w:val="24"/>
          <w:szCs w:val="24"/>
        </w:rPr>
        <w:t xml:space="preserve">cerere de </w:t>
      </w:r>
      <w:r w:rsidRPr="00FE749F">
        <w:rPr>
          <w:rStyle w:val="hps"/>
          <w:rFonts w:ascii="Arial" w:hAnsi="Arial" w:cs="Arial"/>
          <w:color w:val="222222"/>
          <w:sz w:val="24"/>
          <w:szCs w:val="24"/>
        </w:rPr>
        <w:t>înlocuire</w:t>
      </w:r>
      <w:r w:rsidRPr="00FE749F">
        <w:rPr>
          <w:rFonts w:ascii="Arial" w:hAnsi="Arial" w:cs="Arial"/>
          <w:color w:val="222222"/>
          <w:sz w:val="24"/>
          <w:szCs w:val="24"/>
        </w:rPr>
        <w:t xml:space="preserve">. </w:t>
      </w:r>
      <w:r w:rsidRPr="00FE749F">
        <w:rPr>
          <w:rStyle w:val="hps"/>
          <w:rFonts w:ascii="Arial" w:hAnsi="Arial" w:cs="Arial"/>
          <w:color w:val="222222"/>
          <w:sz w:val="24"/>
          <w:szCs w:val="24"/>
        </w:rPr>
        <w:t>De multe ori</w:t>
      </w:r>
      <w:r w:rsidRPr="00FE749F">
        <w:rPr>
          <w:rFonts w:ascii="Arial" w:hAnsi="Arial" w:cs="Arial"/>
          <w:color w:val="222222"/>
          <w:sz w:val="24"/>
          <w:szCs w:val="24"/>
        </w:rPr>
        <w:t xml:space="preserve">, cererea </w:t>
      </w:r>
      <w:r w:rsidRPr="00FE749F">
        <w:rPr>
          <w:rStyle w:val="hps"/>
          <w:rFonts w:ascii="Arial" w:hAnsi="Arial" w:cs="Arial"/>
          <w:color w:val="222222"/>
          <w:sz w:val="24"/>
          <w:szCs w:val="24"/>
        </w:rPr>
        <w:t>de înlocuire</w:t>
      </w:r>
      <w:r w:rsidRPr="00FE749F">
        <w:rPr>
          <w:rFonts w:ascii="Arial" w:hAnsi="Arial" w:cs="Arial"/>
          <w:color w:val="222222"/>
          <w:sz w:val="24"/>
          <w:szCs w:val="24"/>
        </w:rPr>
        <w:t xml:space="preserve"> </w:t>
      </w:r>
      <w:r w:rsidRPr="00FE749F">
        <w:rPr>
          <w:rStyle w:val="hps"/>
          <w:rFonts w:ascii="Arial" w:hAnsi="Arial" w:cs="Arial"/>
          <w:color w:val="222222"/>
          <w:sz w:val="24"/>
          <w:szCs w:val="24"/>
        </w:rPr>
        <w:t>oferă mai multe</w:t>
      </w:r>
      <w:r w:rsidRPr="00FE749F">
        <w:rPr>
          <w:rFonts w:ascii="Arial" w:hAnsi="Arial" w:cs="Arial"/>
          <w:color w:val="222222"/>
          <w:sz w:val="24"/>
          <w:szCs w:val="24"/>
        </w:rPr>
        <w:t xml:space="preserve"> </w:t>
      </w:r>
      <w:r w:rsidRPr="00FE749F">
        <w:rPr>
          <w:rStyle w:val="hps"/>
          <w:rFonts w:ascii="Arial" w:hAnsi="Arial" w:cs="Arial"/>
          <w:color w:val="222222"/>
          <w:sz w:val="24"/>
          <w:szCs w:val="24"/>
        </w:rPr>
        <w:t>oportunități de angajare</w:t>
      </w:r>
      <w:r w:rsidRPr="00FE749F">
        <w:rPr>
          <w:rFonts w:ascii="Arial" w:hAnsi="Arial" w:cs="Arial"/>
          <w:color w:val="222222"/>
          <w:sz w:val="24"/>
          <w:szCs w:val="24"/>
        </w:rPr>
        <w:t xml:space="preserve"> </w:t>
      </w:r>
      <w:r w:rsidRPr="00FE749F">
        <w:rPr>
          <w:rStyle w:val="hps"/>
          <w:rFonts w:ascii="Arial" w:hAnsi="Arial" w:cs="Arial"/>
          <w:color w:val="222222"/>
          <w:sz w:val="24"/>
          <w:szCs w:val="24"/>
        </w:rPr>
        <w:t>decât cererea</w:t>
      </w:r>
      <w:r w:rsidRPr="00FE749F">
        <w:rPr>
          <w:rFonts w:ascii="Arial" w:hAnsi="Arial" w:cs="Arial"/>
          <w:color w:val="222222"/>
          <w:sz w:val="24"/>
          <w:szCs w:val="24"/>
        </w:rPr>
        <w:t xml:space="preserve"> </w:t>
      </w:r>
      <w:r w:rsidRPr="00FE749F">
        <w:rPr>
          <w:rStyle w:val="hps"/>
          <w:rFonts w:ascii="Arial" w:hAnsi="Arial" w:cs="Arial"/>
          <w:color w:val="222222"/>
          <w:sz w:val="24"/>
          <w:szCs w:val="24"/>
        </w:rPr>
        <w:t>expandată</w:t>
      </w:r>
      <w:r w:rsidRPr="00FE749F">
        <w:rPr>
          <w:rFonts w:ascii="Arial" w:hAnsi="Arial" w:cs="Arial"/>
          <w:color w:val="222222"/>
          <w:sz w:val="24"/>
          <w:szCs w:val="24"/>
        </w:rPr>
        <w:t xml:space="preserve">, ceea ce înseamnă </w:t>
      </w:r>
      <w:r w:rsidRPr="00FE749F">
        <w:rPr>
          <w:rStyle w:val="hps"/>
          <w:rFonts w:ascii="Arial" w:hAnsi="Arial" w:cs="Arial"/>
          <w:color w:val="222222"/>
          <w:sz w:val="24"/>
          <w:szCs w:val="24"/>
        </w:rPr>
        <w:t>că vor</w:t>
      </w:r>
      <w:r w:rsidRPr="00FE749F">
        <w:rPr>
          <w:rFonts w:ascii="Arial" w:hAnsi="Arial" w:cs="Arial"/>
          <w:color w:val="222222"/>
          <w:sz w:val="24"/>
          <w:szCs w:val="24"/>
        </w:rPr>
        <w:t xml:space="preserve"> </w:t>
      </w:r>
      <w:r w:rsidRPr="00FE749F">
        <w:rPr>
          <w:rStyle w:val="hps"/>
          <w:rFonts w:ascii="Arial" w:hAnsi="Arial" w:cs="Arial"/>
          <w:color w:val="222222"/>
          <w:sz w:val="24"/>
          <w:szCs w:val="24"/>
        </w:rPr>
        <w:t>fi în continuare</w:t>
      </w:r>
      <w:r w:rsidRPr="00FE749F">
        <w:rPr>
          <w:rFonts w:ascii="Arial" w:hAnsi="Arial" w:cs="Arial"/>
          <w:color w:val="222222"/>
          <w:sz w:val="24"/>
          <w:szCs w:val="24"/>
        </w:rPr>
        <w:t xml:space="preserve"> </w:t>
      </w:r>
      <w:r w:rsidRPr="00FE749F">
        <w:rPr>
          <w:rStyle w:val="hps"/>
          <w:rFonts w:ascii="Arial" w:hAnsi="Arial" w:cs="Arial"/>
          <w:color w:val="222222"/>
          <w:sz w:val="24"/>
          <w:szCs w:val="24"/>
        </w:rPr>
        <w:t>oportunități de angajare</w:t>
      </w:r>
      <w:r w:rsidRPr="00FE749F">
        <w:rPr>
          <w:rFonts w:ascii="Arial" w:hAnsi="Arial" w:cs="Arial"/>
          <w:color w:val="222222"/>
          <w:sz w:val="24"/>
          <w:szCs w:val="24"/>
        </w:rPr>
        <w:t xml:space="preserve">, chiar </w:t>
      </w:r>
      <w:r w:rsidRPr="00FE749F">
        <w:rPr>
          <w:rStyle w:val="hps"/>
          <w:rFonts w:ascii="Arial" w:hAnsi="Arial" w:cs="Arial"/>
          <w:color w:val="222222"/>
          <w:sz w:val="24"/>
          <w:szCs w:val="24"/>
        </w:rPr>
        <w:t>dacă nivelul</w:t>
      </w:r>
      <w:r w:rsidRPr="00FE749F">
        <w:rPr>
          <w:rFonts w:ascii="Arial" w:hAnsi="Arial" w:cs="Arial"/>
          <w:color w:val="222222"/>
          <w:sz w:val="24"/>
          <w:szCs w:val="24"/>
        </w:rPr>
        <w:t xml:space="preserve"> </w:t>
      </w:r>
      <w:r w:rsidRPr="00FE749F">
        <w:rPr>
          <w:rStyle w:val="hps"/>
          <w:rFonts w:ascii="Arial" w:hAnsi="Arial" w:cs="Arial"/>
          <w:color w:val="222222"/>
          <w:sz w:val="24"/>
          <w:szCs w:val="24"/>
        </w:rPr>
        <w:t>global al</w:t>
      </w:r>
      <w:r w:rsidRPr="00FE749F">
        <w:rPr>
          <w:rFonts w:ascii="Arial" w:hAnsi="Arial" w:cs="Arial"/>
          <w:color w:val="222222"/>
          <w:sz w:val="24"/>
          <w:szCs w:val="24"/>
        </w:rPr>
        <w:t xml:space="preserve"> </w:t>
      </w:r>
      <w:r w:rsidRPr="00FE749F">
        <w:rPr>
          <w:rStyle w:val="hps"/>
          <w:rFonts w:ascii="Arial" w:hAnsi="Arial" w:cs="Arial"/>
          <w:color w:val="222222"/>
          <w:sz w:val="24"/>
          <w:szCs w:val="24"/>
        </w:rPr>
        <w:t>ocupării forței de muncă</w:t>
      </w:r>
      <w:r w:rsidRPr="00FE749F">
        <w:rPr>
          <w:rFonts w:ascii="Arial" w:hAnsi="Arial" w:cs="Arial"/>
          <w:color w:val="222222"/>
          <w:sz w:val="24"/>
          <w:szCs w:val="24"/>
        </w:rPr>
        <w:t xml:space="preserve"> </w:t>
      </w:r>
      <w:r w:rsidRPr="00FE749F">
        <w:rPr>
          <w:rStyle w:val="hps"/>
          <w:rFonts w:ascii="Arial" w:hAnsi="Arial" w:cs="Arial"/>
          <w:color w:val="222222"/>
          <w:sz w:val="24"/>
          <w:szCs w:val="24"/>
        </w:rPr>
        <w:t>scade</w:t>
      </w:r>
      <w:r w:rsidRPr="00FE749F">
        <w:rPr>
          <w:rFonts w:ascii="Arial" w:hAnsi="Arial" w:cs="Arial"/>
          <w:color w:val="222222"/>
          <w:sz w:val="24"/>
          <w:szCs w:val="24"/>
        </w:rPr>
        <w:t xml:space="preserve">. </w:t>
      </w:r>
    </w:p>
    <w:p w:rsidR="002B452F" w:rsidRDefault="002B452F" w:rsidP="000C6A67">
      <w:pPr>
        <w:pStyle w:val="Header"/>
        <w:tabs>
          <w:tab w:val="center" w:pos="851"/>
        </w:tabs>
        <w:jc w:val="both"/>
        <w:rPr>
          <w:rStyle w:val="hps"/>
          <w:rFonts w:ascii="Arial" w:hAnsi="Arial" w:cs="Arial"/>
          <w:color w:val="222222"/>
          <w:sz w:val="24"/>
          <w:szCs w:val="24"/>
        </w:rPr>
      </w:pPr>
    </w:p>
    <w:p w:rsidR="002B452F" w:rsidRPr="00040AD8" w:rsidRDefault="002B452F" w:rsidP="000C6A67">
      <w:pPr>
        <w:pStyle w:val="Header"/>
        <w:tabs>
          <w:tab w:val="center" w:pos="851"/>
        </w:tabs>
        <w:jc w:val="center"/>
        <w:rPr>
          <w:rStyle w:val="hps"/>
          <w:rFonts w:ascii="Arial" w:hAnsi="Arial" w:cs="Arial"/>
          <w:color w:val="222222"/>
        </w:rPr>
      </w:pPr>
      <w:r w:rsidRPr="00040AD8">
        <w:rPr>
          <w:rStyle w:val="hps"/>
          <w:rFonts w:ascii="Arial" w:hAnsi="Arial" w:cs="Arial"/>
          <w:color w:val="222222"/>
        </w:rPr>
        <w:t xml:space="preserve">Figura </w:t>
      </w:r>
      <w:r w:rsidR="002B0255">
        <w:rPr>
          <w:rStyle w:val="hps"/>
          <w:rFonts w:ascii="Arial" w:hAnsi="Arial" w:cs="Arial"/>
          <w:color w:val="222222"/>
        </w:rPr>
        <w:t>20</w:t>
      </w:r>
      <w:r w:rsidRPr="00040AD8">
        <w:rPr>
          <w:rStyle w:val="hps"/>
          <w:rFonts w:ascii="Arial" w:hAnsi="Arial" w:cs="Arial"/>
          <w:color w:val="222222"/>
        </w:rPr>
        <w:t>.</w:t>
      </w:r>
    </w:p>
    <w:p w:rsidR="002B452F" w:rsidRPr="007F4928" w:rsidRDefault="001E39F2" w:rsidP="000C6A67">
      <w:pPr>
        <w:pStyle w:val="Header"/>
        <w:tabs>
          <w:tab w:val="center" w:pos="709"/>
        </w:tabs>
        <w:ind w:left="284"/>
        <w:jc w:val="center"/>
        <w:rPr>
          <w:rFonts w:ascii="Times New Roman" w:hAnsi="Times New Roman"/>
          <w:sz w:val="24"/>
          <w:szCs w:val="24"/>
        </w:rPr>
      </w:pPr>
      <w:r w:rsidRPr="007F4928">
        <w:rPr>
          <w:rFonts w:ascii="Times New Roman" w:hAnsi="Times New Roman"/>
          <w:sz w:val="24"/>
          <w:szCs w:val="24"/>
        </w:rPr>
        <w:object w:dxaOrig="13123" w:dyaOrig="83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75pt;height:195.75pt" o:ole="">
            <v:imagedata r:id="rId37" o:title=""/>
          </v:shape>
          <o:OLEObject Type="Embed" ProgID="Excel.Sheet.12" ShapeID="_x0000_i1025" DrawAspect="Content" ObjectID="_1568281822" r:id="rId38"/>
        </w:object>
      </w:r>
    </w:p>
    <w:p w:rsidR="002B452F" w:rsidRPr="00176A3F" w:rsidRDefault="002B452F" w:rsidP="000C6A67">
      <w:pPr>
        <w:pStyle w:val="FootnoteText"/>
        <w:jc w:val="center"/>
        <w:rPr>
          <w:rFonts w:ascii="Arial" w:hAnsi="Arial" w:cs="Arial"/>
        </w:rPr>
      </w:pPr>
      <w:r w:rsidRPr="00176A3F">
        <w:rPr>
          <w:rFonts w:ascii="Arial" w:hAnsi="Arial" w:cs="Arial"/>
        </w:rPr>
        <w:t>Sursa datelor: CEDEFOP - Romania Country forecasts - Skill supply and demand up to 2025</w:t>
      </w:r>
    </w:p>
    <w:p w:rsidR="002B452F" w:rsidRDefault="002B452F" w:rsidP="000C6A67">
      <w:pPr>
        <w:pStyle w:val="Header"/>
        <w:tabs>
          <w:tab w:val="center" w:pos="851"/>
        </w:tabs>
        <w:jc w:val="both"/>
        <w:rPr>
          <w:rFonts w:ascii="Arial" w:hAnsi="Arial" w:cs="Arial"/>
        </w:rPr>
      </w:pPr>
    </w:p>
    <w:p w:rsidR="001E39F2" w:rsidRDefault="001E39F2" w:rsidP="00040AD8">
      <w:pPr>
        <w:pStyle w:val="Header"/>
        <w:tabs>
          <w:tab w:val="center" w:pos="851"/>
        </w:tabs>
        <w:jc w:val="both"/>
        <w:rPr>
          <w:rStyle w:val="hps"/>
          <w:rFonts w:ascii="Arial" w:hAnsi="Arial" w:cs="Arial"/>
          <w:color w:val="222222"/>
          <w:sz w:val="24"/>
          <w:szCs w:val="24"/>
        </w:rPr>
      </w:pPr>
      <w:r w:rsidRPr="00FE749F">
        <w:rPr>
          <w:rStyle w:val="hps"/>
          <w:rFonts w:ascii="Arial" w:hAnsi="Arial" w:cs="Arial"/>
          <w:color w:val="222222"/>
          <w:sz w:val="24"/>
          <w:szCs w:val="24"/>
        </w:rPr>
        <w:t>În România</w:t>
      </w:r>
      <w:r w:rsidRPr="00FE749F">
        <w:rPr>
          <w:rFonts w:ascii="Arial" w:hAnsi="Arial" w:cs="Arial"/>
          <w:color w:val="222222"/>
          <w:sz w:val="24"/>
          <w:szCs w:val="24"/>
        </w:rPr>
        <w:t xml:space="preserve">, </w:t>
      </w:r>
      <w:r w:rsidRPr="00FE749F">
        <w:rPr>
          <w:rStyle w:val="hps"/>
          <w:rFonts w:ascii="Arial" w:hAnsi="Arial" w:cs="Arial"/>
          <w:color w:val="222222"/>
          <w:sz w:val="24"/>
          <w:szCs w:val="24"/>
        </w:rPr>
        <w:t>ca urmare a</w:t>
      </w:r>
      <w:r w:rsidRPr="00FE749F">
        <w:rPr>
          <w:rFonts w:ascii="Arial" w:hAnsi="Arial" w:cs="Arial"/>
          <w:color w:val="222222"/>
          <w:sz w:val="24"/>
          <w:szCs w:val="24"/>
        </w:rPr>
        <w:t xml:space="preserve"> </w:t>
      </w:r>
      <w:r w:rsidRPr="009D7A9A">
        <w:rPr>
          <w:rStyle w:val="hps"/>
          <w:rFonts w:ascii="Arial" w:hAnsi="Arial" w:cs="Arial"/>
          <w:b/>
          <w:color w:val="222222"/>
          <w:sz w:val="24"/>
          <w:szCs w:val="24"/>
        </w:rPr>
        <w:t>cererii</w:t>
      </w:r>
      <w:r w:rsidRPr="009D7A9A">
        <w:rPr>
          <w:rFonts w:ascii="Arial" w:hAnsi="Arial" w:cs="Arial"/>
          <w:b/>
          <w:color w:val="222222"/>
          <w:sz w:val="24"/>
          <w:szCs w:val="24"/>
        </w:rPr>
        <w:t xml:space="preserve"> </w:t>
      </w:r>
      <w:r w:rsidRPr="009D7A9A">
        <w:rPr>
          <w:rStyle w:val="hps"/>
          <w:rFonts w:ascii="Arial" w:hAnsi="Arial" w:cs="Arial"/>
          <w:b/>
          <w:color w:val="222222"/>
          <w:sz w:val="24"/>
          <w:szCs w:val="24"/>
        </w:rPr>
        <w:t>de înlocuire</w:t>
      </w:r>
      <w:r w:rsidRPr="009D7A9A">
        <w:rPr>
          <w:rFonts w:ascii="Arial" w:hAnsi="Arial" w:cs="Arial"/>
          <w:b/>
          <w:color w:val="222222"/>
          <w:sz w:val="24"/>
          <w:szCs w:val="24"/>
        </w:rPr>
        <w:t xml:space="preserve"> </w:t>
      </w:r>
      <w:r w:rsidRPr="009D7A9A">
        <w:rPr>
          <w:rStyle w:val="hps"/>
          <w:rFonts w:ascii="Arial" w:hAnsi="Arial" w:cs="Arial"/>
          <w:b/>
          <w:color w:val="222222"/>
          <w:sz w:val="24"/>
          <w:szCs w:val="24"/>
        </w:rPr>
        <w:t>ridicate</w:t>
      </w:r>
      <w:r w:rsidRPr="00FE749F">
        <w:rPr>
          <w:rStyle w:val="hps"/>
          <w:rFonts w:ascii="Arial" w:hAnsi="Arial" w:cs="Arial"/>
          <w:color w:val="222222"/>
          <w:sz w:val="24"/>
          <w:szCs w:val="24"/>
        </w:rPr>
        <w:t>,</w:t>
      </w:r>
      <w:r w:rsidRPr="00FE749F">
        <w:rPr>
          <w:rFonts w:ascii="Arial" w:hAnsi="Arial" w:cs="Arial"/>
          <w:color w:val="222222"/>
          <w:sz w:val="24"/>
          <w:szCs w:val="24"/>
        </w:rPr>
        <w:t xml:space="preserve"> </w:t>
      </w:r>
      <w:r w:rsidRPr="00FE749F">
        <w:rPr>
          <w:rStyle w:val="hps"/>
          <w:rFonts w:ascii="Arial" w:hAnsi="Arial" w:cs="Arial"/>
          <w:color w:val="222222"/>
          <w:sz w:val="24"/>
          <w:szCs w:val="24"/>
        </w:rPr>
        <w:t>cele mai multe posibilități</w:t>
      </w:r>
      <w:r w:rsidRPr="00FE749F">
        <w:rPr>
          <w:rFonts w:ascii="Arial" w:hAnsi="Arial" w:cs="Arial"/>
          <w:color w:val="222222"/>
          <w:sz w:val="24"/>
          <w:szCs w:val="24"/>
        </w:rPr>
        <w:t xml:space="preserve"> </w:t>
      </w:r>
      <w:r w:rsidRPr="00FE749F">
        <w:rPr>
          <w:rStyle w:val="hps"/>
          <w:rFonts w:ascii="Arial" w:hAnsi="Arial" w:cs="Arial"/>
          <w:color w:val="222222"/>
          <w:sz w:val="24"/>
          <w:szCs w:val="24"/>
        </w:rPr>
        <w:t>de angajare</w:t>
      </w:r>
      <w:r w:rsidRPr="00FE749F">
        <w:rPr>
          <w:rFonts w:ascii="Arial" w:hAnsi="Arial" w:cs="Arial"/>
          <w:color w:val="222222"/>
          <w:sz w:val="24"/>
          <w:szCs w:val="24"/>
        </w:rPr>
        <w:t xml:space="preserve">, </w:t>
      </w:r>
      <w:r w:rsidRPr="00FE749F">
        <w:rPr>
          <w:rStyle w:val="hps"/>
          <w:rFonts w:ascii="Arial" w:hAnsi="Arial" w:cs="Arial"/>
          <w:color w:val="222222"/>
          <w:sz w:val="24"/>
          <w:szCs w:val="24"/>
        </w:rPr>
        <w:t>în jurul valorii de</w:t>
      </w:r>
      <w:r w:rsidRPr="00FE749F">
        <w:rPr>
          <w:rFonts w:ascii="Arial" w:hAnsi="Arial" w:cs="Arial"/>
          <w:color w:val="222222"/>
          <w:sz w:val="24"/>
          <w:szCs w:val="24"/>
        </w:rPr>
        <w:t xml:space="preserve"> </w:t>
      </w:r>
      <w:r w:rsidRPr="00FE749F">
        <w:rPr>
          <w:rStyle w:val="hps"/>
          <w:rFonts w:ascii="Arial" w:hAnsi="Arial" w:cs="Arial"/>
          <w:color w:val="222222"/>
          <w:sz w:val="24"/>
          <w:szCs w:val="24"/>
        </w:rPr>
        <w:t>47%,</w:t>
      </w:r>
      <w:r w:rsidRPr="00FE749F">
        <w:rPr>
          <w:rFonts w:ascii="Arial" w:hAnsi="Arial" w:cs="Arial"/>
          <w:color w:val="222222"/>
          <w:sz w:val="24"/>
          <w:szCs w:val="24"/>
        </w:rPr>
        <w:t xml:space="preserve"> </w:t>
      </w:r>
      <w:r w:rsidRPr="00FE749F">
        <w:rPr>
          <w:rStyle w:val="hps"/>
          <w:rFonts w:ascii="Arial" w:hAnsi="Arial" w:cs="Arial"/>
          <w:color w:val="222222"/>
          <w:sz w:val="24"/>
          <w:szCs w:val="24"/>
        </w:rPr>
        <w:t>vor fi pentru</w:t>
      </w:r>
      <w:r w:rsidRPr="00FE749F">
        <w:rPr>
          <w:rFonts w:ascii="Arial" w:hAnsi="Arial" w:cs="Arial"/>
          <w:color w:val="222222"/>
          <w:sz w:val="24"/>
          <w:szCs w:val="24"/>
        </w:rPr>
        <w:t xml:space="preserve"> </w:t>
      </w:r>
      <w:r w:rsidRPr="00FE749F">
        <w:rPr>
          <w:rStyle w:val="hps"/>
          <w:rFonts w:ascii="Arial" w:hAnsi="Arial" w:cs="Arial"/>
          <w:color w:val="222222"/>
          <w:sz w:val="24"/>
          <w:szCs w:val="24"/>
        </w:rPr>
        <w:t>calificări în agricultură, silvicultură</w:t>
      </w:r>
      <w:r w:rsidRPr="00FE749F">
        <w:rPr>
          <w:rFonts w:ascii="Arial" w:hAnsi="Arial" w:cs="Arial"/>
          <w:color w:val="222222"/>
          <w:sz w:val="24"/>
          <w:szCs w:val="24"/>
        </w:rPr>
        <w:t xml:space="preserve"> </w:t>
      </w:r>
      <w:r w:rsidRPr="00FE749F">
        <w:rPr>
          <w:rStyle w:val="hps"/>
          <w:rFonts w:ascii="Arial" w:hAnsi="Arial" w:cs="Arial"/>
          <w:color w:val="222222"/>
          <w:sz w:val="24"/>
          <w:szCs w:val="24"/>
        </w:rPr>
        <w:t>și pescuit</w:t>
      </w:r>
      <w:r w:rsidRPr="00FE749F">
        <w:rPr>
          <w:rFonts w:ascii="Arial" w:hAnsi="Arial" w:cs="Arial"/>
          <w:color w:val="222222"/>
          <w:sz w:val="24"/>
          <w:szCs w:val="24"/>
        </w:rPr>
        <w:t xml:space="preserve">, </w:t>
      </w:r>
      <w:r w:rsidRPr="00FE749F">
        <w:rPr>
          <w:rStyle w:val="hps"/>
          <w:rFonts w:ascii="Arial" w:hAnsi="Arial" w:cs="Arial"/>
          <w:color w:val="222222"/>
          <w:sz w:val="24"/>
          <w:szCs w:val="24"/>
        </w:rPr>
        <w:t>de aproape opt</w:t>
      </w:r>
      <w:r w:rsidRPr="00FE749F">
        <w:rPr>
          <w:rFonts w:ascii="Arial" w:hAnsi="Arial" w:cs="Arial"/>
          <w:color w:val="222222"/>
          <w:sz w:val="24"/>
          <w:szCs w:val="24"/>
        </w:rPr>
        <w:t xml:space="preserve"> </w:t>
      </w:r>
      <w:r w:rsidRPr="00FE749F">
        <w:rPr>
          <w:rStyle w:val="hps"/>
          <w:rFonts w:ascii="Arial" w:hAnsi="Arial" w:cs="Arial"/>
          <w:color w:val="222222"/>
          <w:sz w:val="24"/>
          <w:szCs w:val="24"/>
        </w:rPr>
        <w:t>ori mai mare decât</w:t>
      </w:r>
      <w:r w:rsidRPr="00FE749F">
        <w:rPr>
          <w:rFonts w:ascii="Arial" w:hAnsi="Arial" w:cs="Arial"/>
          <w:color w:val="222222"/>
          <w:sz w:val="24"/>
          <w:szCs w:val="24"/>
        </w:rPr>
        <w:t xml:space="preserve"> </w:t>
      </w:r>
      <w:r w:rsidRPr="00FE749F">
        <w:rPr>
          <w:rStyle w:val="hps"/>
          <w:rFonts w:ascii="Arial" w:hAnsi="Arial" w:cs="Arial"/>
          <w:color w:val="222222"/>
          <w:sz w:val="24"/>
          <w:szCs w:val="24"/>
        </w:rPr>
        <w:t>prognoza</w:t>
      </w:r>
      <w:r w:rsidRPr="00FE749F">
        <w:rPr>
          <w:rFonts w:ascii="Arial" w:hAnsi="Arial" w:cs="Arial"/>
          <w:color w:val="222222"/>
          <w:sz w:val="24"/>
          <w:szCs w:val="24"/>
        </w:rPr>
        <w:t xml:space="preserve"> </w:t>
      </w:r>
      <w:r w:rsidRPr="00FE749F">
        <w:rPr>
          <w:rStyle w:val="hps"/>
          <w:rFonts w:ascii="Arial" w:hAnsi="Arial" w:cs="Arial"/>
          <w:color w:val="222222"/>
          <w:sz w:val="24"/>
          <w:szCs w:val="24"/>
        </w:rPr>
        <w:t>de 6% pentru</w:t>
      </w:r>
      <w:r w:rsidRPr="00FE749F">
        <w:rPr>
          <w:rFonts w:ascii="Arial" w:hAnsi="Arial" w:cs="Arial"/>
          <w:color w:val="222222"/>
          <w:sz w:val="24"/>
          <w:szCs w:val="24"/>
        </w:rPr>
        <w:t xml:space="preserve"> </w:t>
      </w:r>
      <w:r w:rsidRPr="00FE749F">
        <w:rPr>
          <w:rStyle w:val="hps"/>
          <w:rFonts w:ascii="Arial" w:hAnsi="Arial" w:cs="Arial"/>
          <w:color w:val="222222"/>
          <w:sz w:val="24"/>
          <w:szCs w:val="24"/>
        </w:rPr>
        <w:t>aceaste ocupații</w:t>
      </w:r>
      <w:r w:rsidRPr="00FE749F">
        <w:rPr>
          <w:rFonts w:ascii="Arial" w:hAnsi="Arial" w:cs="Arial"/>
          <w:color w:val="222222"/>
          <w:sz w:val="24"/>
          <w:szCs w:val="24"/>
        </w:rPr>
        <w:t xml:space="preserve"> </w:t>
      </w:r>
      <w:r w:rsidRPr="00FE749F">
        <w:rPr>
          <w:rStyle w:val="hps"/>
          <w:rFonts w:ascii="Arial" w:hAnsi="Arial" w:cs="Arial"/>
          <w:color w:val="222222"/>
          <w:sz w:val="24"/>
          <w:szCs w:val="24"/>
        </w:rPr>
        <w:t xml:space="preserve">pentru </w:t>
      </w:r>
      <w:r>
        <w:rPr>
          <w:rStyle w:val="hps"/>
          <w:rFonts w:ascii="Arial" w:hAnsi="Arial" w:cs="Arial"/>
          <w:color w:val="222222"/>
          <w:sz w:val="24"/>
          <w:szCs w:val="24"/>
        </w:rPr>
        <w:t xml:space="preserve">statele </w:t>
      </w:r>
      <w:r w:rsidRPr="00FE749F">
        <w:rPr>
          <w:rStyle w:val="hps"/>
          <w:rFonts w:ascii="Arial" w:hAnsi="Arial" w:cs="Arial"/>
          <w:color w:val="222222"/>
          <w:sz w:val="24"/>
          <w:szCs w:val="24"/>
        </w:rPr>
        <w:t>Uniunii Europene</w:t>
      </w:r>
      <w:r w:rsidRPr="00FE749F">
        <w:rPr>
          <w:rFonts w:ascii="Arial" w:hAnsi="Arial" w:cs="Arial"/>
          <w:color w:val="222222"/>
          <w:sz w:val="24"/>
          <w:szCs w:val="24"/>
        </w:rPr>
        <w:t xml:space="preserve">. </w:t>
      </w:r>
      <w:r w:rsidRPr="00FE749F">
        <w:rPr>
          <w:rStyle w:val="hps"/>
          <w:rFonts w:ascii="Arial" w:hAnsi="Arial" w:cs="Arial"/>
          <w:color w:val="222222"/>
          <w:sz w:val="24"/>
          <w:szCs w:val="24"/>
        </w:rPr>
        <w:t>În</w:t>
      </w:r>
      <w:r w:rsidRPr="00FE749F">
        <w:rPr>
          <w:rFonts w:ascii="Arial" w:hAnsi="Arial" w:cs="Arial"/>
          <w:color w:val="222222"/>
          <w:sz w:val="24"/>
          <w:szCs w:val="24"/>
        </w:rPr>
        <w:t xml:space="preserve"> </w:t>
      </w:r>
      <w:r w:rsidRPr="00FE749F">
        <w:rPr>
          <w:rStyle w:val="hps"/>
          <w:rFonts w:ascii="Arial" w:hAnsi="Arial" w:cs="Arial"/>
          <w:color w:val="222222"/>
          <w:sz w:val="24"/>
          <w:szCs w:val="24"/>
        </w:rPr>
        <w:t>schimb, oportunitățile de angajare pentru</w:t>
      </w:r>
      <w:r w:rsidRPr="00FE749F">
        <w:rPr>
          <w:rFonts w:ascii="Arial" w:hAnsi="Arial" w:cs="Arial"/>
          <w:color w:val="222222"/>
          <w:sz w:val="24"/>
          <w:szCs w:val="24"/>
        </w:rPr>
        <w:t xml:space="preserve"> muncitori calificaţi şi asimilaţi, </w:t>
      </w:r>
      <w:r w:rsidRPr="00FE749F">
        <w:rPr>
          <w:rStyle w:val="hps"/>
          <w:rFonts w:ascii="Arial" w:hAnsi="Arial" w:cs="Arial"/>
          <w:color w:val="222222"/>
          <w:sz w:val="24"/>
          <w:szCs w:val="24"/>
        </w:rPr>
        <w:t>în România</w:t>
      </w:r>
      <w:r w:rsidRPr="00FE749F">
        <w:rPr>
          <w:rFonts w:ascii="Arial" w:hAnsi="Arial" w:cs="Arial"/>
          <w:color w:val="222222"/>
          <w:sz w:val="24"/>
          <w:szCs w:val="24"/>
        </w:rPr>
        <w:t xml:space="preserve">, </w:t>
      </w:r>
      <w:r w:rsidRPr="00FE749F">
        <w:rPr>
          <w:rStyle w:val="hps"/>
          <w:rFonts w:ascii="Arial" w:hAnsi="Arial" w:cs="Arial"/>
          <w:color w:val="222222"/>
          <w:sz w:val="24"/>
          <w:szCs w:val="24"/>
        </w:rPr>
        <w:t>în jurul valorii de</w:t>
      </w:r>
      <w:r w:rsidRPr="00FE749F">
        <w:rPr>
          <w:rFonts w:ascii="Arial" w:hAnsi="Arial" w:cs="Arial"/>
          <w:color w:val="222222"/>
          <w:sz w:val="24"/>
          <w:szCs w:val="24"/>
        </w:rPr>
        <w:t xml:space="preserve"> </w:t>
      </w:r>
      <w:r w:rsidRPr="00FE749F">
        <w:rPr>
          <w:rStyle w:val="hps"/>
          <w:rFonts w:ascii="Arial" w:hAnsi="Arial" w:cs="Arial"/>
          <w:color w:val="222222"/>
          <w:sz w:val="24"/>
          <w:szCs w:val="24"/>
        </w:rPr>
        <w:t>0</w:t>
      </w:r>
      <w:r w:rsidRPr="00FE749F">
        <w:rPr>
          <w:rFonts w:ascii="Arial" w:hAnsi="Arial" w:cs="Arial"/>
          <w:color w:val="222222"/>
          <w:sz w:val="24"/>
          <w:szCs w:val="24"/>
        </w:rPr>
        <w:t xml:space="preserve">%, </w:t>
      </w:r>
      <w:r w:rsidRPr="00FE749F">
        <w:rPr>
          <w:rStyle w:val="hps"/>
          <w:rFonts w:ascii="Arial" w:hAnsi="Arial" w:cs="Arial"/>
          <w:color w:val="222222"/>
          <w:sz w:val="24"/>
          <w:szCs w:val="24"/>
        </w:rPr>
        <w:t>este semnificativ sub</w:t>
      </w:r>
      <w:r w:rsidRPr="00FE749F">
        <w:rPr>
          <w:rFonts w:ascii="Arial" w:hAnsi="Arial" w:cs="Arial"/>
          <w:color w:val="222222"/>
          <w:sz w:val="24"/>
          <w:szCs w:val="24"/>
        </w:rPr>
        <w:t xml:space="preserve"> </w:t>
      </w:r>
      <w:r w:rsidRPr="00FE749F">
        <w:rPr>
          <w:rStyle w:val="hps"/>
          <w:rFonts w:ascii="Arial" w:hAnsi="Arial" w:cs="Arial"/>
          <w:color w:val="222222"/>
          <w:sz w:val="24"/>
          <w:szCs w:val="24"/>
        </w:rPr>
        <w:t>prognoza</w:t>
      </w:r>
      <w:r w:rsidRPr="00FE749F">
        <w:rPr>
          <w:rFonts w:ascii="Arial" w:hAnsi="Arial" w:cs="Arial"/>
          <w:color w:val="222222"/>
          <w:sz w:val="24"/>
          <w:szCs w:val="24"/>
        </w:rPr>
        <w:t xml:space="preserve"> </w:t>
      </w:r>
      <w:r w:rsidRPr="00FE749F">
        <w:rPr>
          <w:rStyle w:val="hps"/>
          <w:rFonts w:ascii="Arial" w:hAnsi="Arial" w:cs="Arial"/>
          <w:color w:val="222222"/>
          <w:sz w:val="24"/>
          <w:szCs w:val="24"/>
        </w:rPr>
        <w:t>de 5% pentru Uniunea Europeană</w:t>
      </w:r>
      <w:r w:rsidRPr="00FE749F">
        <w:rPr>
          <w:rFonts w:ascii="Arial" w:hAnsi="Arial" w:cs="Arial"/>
          <w:color w:val="222222"/>
          <w:sz w:val="24"/>
          <w:szCs w:val="24"/>
        </w:rPr>
        <w:t xml:space="preserve"> </w:t>
      </w:r>
      <w:r w:rsidRPr="00FE749F">
        <w:rPr>
          <w:rStyle w:val="hps"/>
          <w:rFonts w:ascii="Arial" w:hAnsi="Arial" w:cs="Arial"/>
          <w:color w:val="222222"/>
          <w:sz w:val="24"/>
          <w:szCs w:val="24"/>
        </w:rPr>
        <w:t>în ansamblul său.</w:t>
      </w:r>
    </w:p>
    <w:p w:rsidR="00502DE2" w:rsidRDefault="002B452F" w:rsidP="000C6A67">
      <w:pPr>
        <w:pStyle w:val="Header"/>
        <w:tabs>
          <w:tab w:val="center" w:pos="851"/>
        </w:tabs>
        <w:jc w:val="both"/>
        <w:rPr>
          <w:rFonts w:ascii="Arial" w:hAnsi="Arial" w:cs="Arial"/>
          <w:color w:val="222222"/>
          <w:sz w:val="24"/>
          <w:szCs w:val="24"/>
        </w:rPr>
      </w:pPr>
      <w:r w:rsidRPr="00FE749F">
        <w:rPr>
          <w:rStyle w:val="hps"/>
          <w:rFonts w:ascii="Arial" w:hAnsi="Arial" w:cs="Arial"/>
          <w:color w:val="222222"/>
          <w:sz w:val="24"/>
          <w:szCs w:val="24"/>
        </w:rPr>
        <w:t>Cele mai multe</w:t>
      </w:r>
      <w:r w:rsidRPr="00FE749F">
        <w:rPr>
          <w:rFonts w:ascii="Arial" w:hAnsi="Arial" w:cs="Arial"/>
          <w:color w:val="222222"/>
          <w:sz w:val="24"/>
          <w:szCs w:val="24"/>
        </w:rPr>
        <w:t xml:space="preserve"> </w:t>
      </w:r>
      <w:r w:rsidRPr="00FE749F">
        <w:rPr>
          <w:rStyle w:val="hps"/>
          <w:rFonts w:ascii="Arial" w:hAnsi="Arial" w:cs="Arial"/>
          <w:color w:val="222222"/>
          <w:sz w:val="24"/>
          <w:szCs w:val="24"/>
        </w:rPr>
        <w:t>oportunități de angajare</w:t>
      </w:r>
      <w:r w:rsidRPr="00FE749F">
        <w:rPr>
          <w:rFonts w:ascii="Arial" w:hAnsi="Arial" w:cs="Arial"/>
          <w:color w:val="222222"/>
          <w:sz w:val="24"/>
          <w:szCs w:val="24"/>
        </w:rPr>
        <w:t xml:space="preserve"> </w:t>
      </w:r>
      <w:r w:rsidRPr="00FE749F">
        <w:rPr>
          <w:rStyle w:val="hps"/>
          <w:rFonts w:ascii="Arial" w:hAnsi="Arial" w:cs="Arial"/>
          <w:color w:val="222222"/>
          <w:sz w:val="24"/>
          <w:szCs w:val="24"/>
        </w:rPr>
        <w:t>în România</w:t>
      </w:r>
      <w:r w:rsidRPr="00FE749F">
        <w:rPr>
          <w:rFonts w:ascii="Arial" w:hAnsi="Arial" w:cs="Arial"/>
          <w:color w:val="222222"/>
          <w:sz w:val="24"/>
          <w:szCs w:val="24"/>
        </w:rPr>
        <w:t xml:space="preserve"> </w:t>
      </w:r>
      <w:r w:rsidRPr="00FE749F">
        <w:rPr>
          <w:rStyle w:val="hps"/>
          <w:rFonts w:ascii="Arial" w:hAnsi="Arial" w:cs="Arial"/>
          <w:color w:val="222222"/>
          <w:sz w:val="24"/>
          <w:szCs w:val="24"/>
        </w:rPr>
        <w:t>vor necesita calificări</w:t>
      </w:r>
      <w:r w:rsidRPr="00FE749F">
        <w:rPr>
          <w:rFonts w:ascii="Arial" w:hAnsi="Arial" w:cs="Arial"/>
          <w:color w:val="222222"/>
          <w:sz w:val="24"/>
          <w:szCs w:val="24"/>
        </w:rPr>
        <w:t xml:space="preserve"> </w:t>
      </w:r>
      <w:r w:rsidRPr="00FE749F">
        <w:rPr>
          <w:rStyle w:val="hps"/>
          <w:rFonts w:ascii="Arial" w:hAnsi="Arial" w:cs="Arial"/>
          <w:color w:val="222222"/>
          <w:sz w:val="24"/>
          <w:szCs w:val="24"/>
        </w:rPr>
        <w:t>de nivel inferior, adică ISCED</w:t>
      </w:r>
      <w:r w:rsidRPr="00FE749F">
        <w:rPr>
          <w:rFonts w:ascii="Arial" w:hAnsi="Arial" w:cs="Arial"/>
          <w:color w:val="222222"/>
          <w:sz w:val="24"/>
          <w:szCs w:val="24"/>
        </w:rPr>
        <w:t xml:space="preserve"> </w:t>
      </w:r>
      <w:r w:rsidRPr="00FE749F">
        <w:rPr>
          <w:rStyle w:val="hps"/>
          <w:rFonts w:ascii="Arial" w:hAnsi="Arial" w:cs="Arial"/>
          <w:color w:val="222222"/>
          <w:sz w:val="24"/>
          <w:szCs w:val="24"/>
        </w:rPr>
        <w:t>97</w:t>
      </w:r>
      <w:r w:rsidRPr="00FE749F">
        <w:rPr>
          <w:rFonts w:ascii="Arial" w:hAnsi="Arial" w:cs="Arial"/>
          <w:color w:val="222222"/>
          <w:sz w:val="24"/>
          <w:szCs w:val="24"/>
        </w:rPr>
        <w:t xml:space="preserve"> </w:t>
      </w:r>
      <w:r w:rsidRPr="00FE749F">
        <w:rPr>
          <w:rStyle w:val="hps"/>
          <w:rFonts w:ascii="Arial" w:hAnsi="Arial" w:cs="Arial"/>
          <w:color w:val="222222"/>
          <w:sz w:val="24"/>
          <w:szCs w:val="24"/>
        </w:rPr>
        <w:t>niveluri</w:t>
      </w:r>
      <w:r w:rsidRPr="00FE749F">
        <w:rPr>
          <w:rFonts w:ascii="Arial" w:hAnsi="Arial" w:cs="Arial"/>
          <w:color w:val="222222"/>
          <w:sz w:val="24"/>
          <w:szCs w:val="24"/>
        </w:rPr>
        <w:t xml:space="preserve"> </w:t>
      </w:r>
      <w:r w:rsidRPr="00FE749F">
        <w:rPr>
          <w:rStyle w:val="hps"/>
          <w:rFonts w:ascii="Arial" w:hAnsi="Arial" w:cs="Arial"/>
          <w:color w:val="222222"/>
          <w:sz w:val="24"/>
          <w:szCs w:val="24"/>
        </w:rPr>
        <w:t>1 și 2</w:t>
      </w:r>
      <w:r w:rsidRPr="00FE749F">
        <w:rPr>
          <w:rFonts w:ascii="Arial" w:hAnsi="Arial" w:cs="Arial"/>
          <w:color w:val="222222"/>
          <w:sz w:val="24"/>
          <w:szCs w:val="24"/>
        </w:rPr>
        <w:t xml:space="preserve">. </w:t>
      </w:r>
      <w:r w:rsidRPr="00FE749F">
        <w:rPr>
          <w:rStyle w:val="hps"/>
          <w:rFonts w:ascii="Arial" w:hAnsi="Arial" w:cs="Arial"/>
          <w:color w:val="222222"/>
          <w:sz w:val="24"/>
          <w:szCs w:val="24"/>
        </w:rPr>
        <w:t>Cu toate acestea</w:t>
      </w:r>
      <w:r w:rsidRPr="00FE749F">
        <w:rPr>
          <w:rFonts w:ascii="Arial" w:hAnsi="Arial" w:cs="Arial"/>
          <w:color w:val="222222"/>
          <w:sz w:val="24"/>
          <w:szCs w:val="24"/>
        </w:rPr>
        <w:t xml:space="preserve">, </w:t>
      </w:r>
      <w:r w:rsidRPr="00FE749F">
        <w:rPr>
          <w:rStyle w:val="hps"/>
          <w:rFonts w:ascii="Arial" w:hAnsi="Arial" w:cs="Arial"/>
          <w:color w:val="222222"/>
          <w:sz w:val="24"/>
          <w:szCs w:val="24"/>
        </w:rPr>
        <w:t>va exista și un număr semnificativ de</w:t>
      </w:r>
      <w:r w:rsidRPr="00FE749F">
        <w:rPr>
          <w:rFonts w:ascii="Arial" w:hAnsi="Arial" w:cs="Arial"/>
          <w:color w:val="222222"/>
          <w:sz w:val="24"/>
          <w:szCs w:val="24"/>
        </w:rPr>
        <w:t xml:space="preserve"> </w:t>
      </w:r>
      <w:r w:rsidRPr="00FE749F">
        <w:rPr>
          <w:rStyle w:val="hps"/>
          <w:rFonts w:ascii="Arial" w:hAnsi="Arial" w:cs="Arial"/>
          <w:color w:val="222222"/>
          <w:sz w:val="24"/>
          <w:szCs w:val="24"/>
        </w:rPr>
        <w:t>oportunități de angajare</w:t>
      </w:r>
      <w:r w:rsidRPr="00FE749F">
        <w:rPr>
          <w:rFonts w:ascii="Arial" w:hAnsi="Arial" w:cs="Arial"/>
          <w:color w:val="222222"/>
          <w:sz w:val="24"/>
          <w:szCs w:val="24"/>
        </w:rPr>
        <w:t xml:space="preserve"> </w:t>
      </w:r>
      <w:r w:rsidRPr="00FE749F">
        <w:rPr>
          <w:rStyle w:val="hps"/>
          <w:rFonts w:ascii="Arial" w:hAnsi="Arial" w:cs="Arial"/>
          <w:color w:val="222222"/>
          <w:sz w:val="24"/>
          <w:szCs w:val="24"/>
        </w:rPr>
        <w:t>care necesită</w:t>
      </w:r>
      <w:r w:rsidRPr="00FE749F">
        <w:rPr>
          <w:rFonts w:ascii="Arial" w:hAnsi="Arial" w:cs="Arial"/>
          <w:color w:val="222222"/>
          <w:sz w:val="24"/>
          <w:szCs w:val="24"/>
        </w:rPr>
        <w:t xml:space="preserve"> </w:t>
      </w:r>
      <w:r w:rsidRPr="00FE749F">
        <w:rPr>
          <w:rStyle w:val="hps"/>
          <w:rFonts w:ascii="Arial" w:hAnsi="Arial" w:cs="Arial"/>
          <w:color w:val="222222"/>
          <w:sz w:val="24"/>
          <w:szCs w:val="24"/>
        </w:rPr>
        <w:t xml:space="preserve">calificări de nivel înalt, adică </w:t>
      </w:r>
      <w:r w:rsidRPr="00FE749F">
        <w:rPr>
          <w:rFonts w:ascii="Arial" w:hAnsi="Arial" w:cs="Arial"/>
          <w:color w:val="222222"/>
          <w:sz w:val="24"/>
          <w:szCs w:val="24"/>
        </w:rPr>
        <w:t xml:space="preserve">ISCED </w:t>
      </w:r>
      <w:r w:rsidRPr="00FE749F">
        <w:rPr>
          <w:rStyle w:val="hps"/>
          <w:rFonts w:ascii="Arial" w:hAnsi="Arial" w:cs="Arial"/>
          <w:color w:val="222222"/>
          <w:sz w:val="24"/>
          <w:szCs w:val="24"/>
        </w:rPr>
        <w:t>97</w:t>
      </w:r>
      <w:r w:rsidRPr="00FE749F">
        <w:rPr>
          <w:rFonts w:ascii="Arial" w:hAnsi="Arial" w:cs="Arial"/>
          <w:color w:val="222222"/>
          <w:sz w:val="24"/>
          <w:szCs w:val="24"/>
        </w:rPr>
        <w:t xml:space="preserve"> </w:t>
      </w:r>
      <w:r w:rsidRPr="00FE749F">
        <w:rPr>
          <w:rStyle w:val="hps"/>
          <w:rFonts w:ascii="Arial" w:hAnsi="Arial" w:cs="Arial"/>
          <w:color w:val="222222"/>
          <w:sz w:val="24"/>
          <w:szCs w:val="24"/>
        </w:rPr>
        <w:t>niveluri</w:t>
      </w:r>
      <w:r w:rsidRPr="00FE749F">
        <w:rPr>
          <w:rFonts w:ascii="Arial" w:hAnsi="Arial" w:cs="Arial"/>
          <w:color w:val="222222"/>
          <w:sz w:val="24"/>
          <w:szCs w:val="24"/>
        </w:rPr>
        <w:t xml:space="preserve"> </w:t>
      </w:r>
      <w:r w:rsidRPr="00FE749F">
        <w:rPr>
          <w:rStyle w:val="hps"/>
          <w:rFonts w:ascii="Arial" w:hAnsi="Arial" w:cs="Arial"/>
          <w:color w:val="222222"/>
          <w:sz w:val="24"/>
          <w:szCs w:val="24"/>
        </w:rPr>
        <w:t>5 și</w:t>
      </w:r>
      <w:r w:rsidRPr="00FE749F">
        <w:rPr>
          <w:rFonts w:ascii="Arial" w:hAnsi="Arial" w:cs="Arial"/>
          <w:color w:val="222222"/>
          <w:sz w:val="24"/>
          <w:szCs w:val="24"/>
        </w:rPr>
        <w:t xml:space="preserve"> </w:t>
      </w:r>
      <w:r w:rsidRPr="00FE749F">
        <w:rPr>
          <w:rStyle w:val="hps"/>
          <w:rFonts w:ascii="Arial" w:hAnsi="Arial" w:cs="Arial"/>
          <w:color w:val="222222"/>
          <w:sz w:val="24"/>
          <w:szCs w:val="24"/>
        </w:rPr>
        <w:t>6</w:t>
      </w:r>
      <w:r w:rsidR="00CC0DB8">
        <w:rPr>
          <w:rStyle w:val="hps"/>
          <w:rFonts w:ascii="Arial" w:hAnsi="Arial" w:cs="Arial"/>
          <w:color w:val="222222"/>
          <w:sz w:val="24"/>
          <w:szCs w:val="24"/>
        </w:rPr>
        <w:t>.</w:t>
      </w:r>
    </w:p>
    <w:p w:rsidR="00040AD8" w:rsidRDefault="00040AD8" w:rsidP="000C6A67">
      <w:pPr>
        <w:pStyle w:val="Header"/>
        <w:tabs>
          <w:tab w:val="center" w:pos="851"/>
        </w:tabs>
        <w:jc w:val="both"/>
        <w:rPr>
          <w:rFonts w:ascii="Arial" w:hAnsi="Arial" w:cs="Arial"/>
          <w:color w:val="222222"/>
          <w:sz w:val="24"/>
          <w:szCs w:val="24"/>
        </w:rPr>
      </w:pPr>
    </w:p>
    <w:p w:rsidR="00040AD8" w:rsidRDefault="00040AD8" w:rsidP="000C6A67">
      <w:pPr>
        <w:pStyle w:val="Header"/>
        <w:tabs>
          <w:tab w:val="center" w:pos="851"/>
        </w:tabs>
        <w:jc w:val="both"/>
        <w:rPr>
          <w:rFonts w:ascii="Arial" w:hAnsi="Arial" w:cs="Arial"/>
          <w:color w:val="222222"/>
          <w:sz w:val="24"/>
          <w:szCs w:val="24"/>
        </w:rPr>
      </w:pPr>
    </w:p>
    <w:p w:rsidR="00040AD8" w:rsidRDefault="00040AD8" w:rsidP="000C6A67">
      <w:pPr>
        <w:pStyle w:val="Header"/>
        <w:tabs>
          <w:tab w:val="center" w:pos="851"/>
        </w:tabs>
        <w:jc w:val="both"/>
        <w:rPr>
          <w:rFonts w:ascii="Arial" w:hAnsi="Arial" w:cs="Arial"/>
          <w:color w:val="222222"/>
          <w:sz w:val="24"/>
          <w:szCs w:val="24"/>
        </w:rPr>
      </w:pPr>
    </w:p>
    <w:p w:rsidR="00040AD8" w:rsidRDefault="00040AD8" w:rsidP="000C6A67">
      <w:pPr>
        <w:pStyle w:val="Header"/>
        <w:tabs>
          <w:tab w:val="center" w:pos="851"/>
        </w:tabs>
        <w:jc w:val="both"/>
        <w:rPr>
          <w:rFonts w:ascii="Arial" w:hAnsi="Arial" w:cs="Arial"/>
          <w:color w:val="222222"/>
          <w:sz w:val="24"/>
          <w:szCs w:val="24"/>
        </w:rPr>
      </w:pPr>
    </w:p>
    <w:p w:rsidR="00CC0DB8" w:rsidRDefault="00CC0DB8" w:rsidP="000C6A67">
      <w:pPr>
        <w:pStyle w:val="Header"/>
        <w:tabs>
          <w:tab w:val="center" w:pos="851"/>
        </w:tabs>
        <w:jc w:val="both"/>
        <w:rPr>
          <w:rFonts w:ascii="Arial" w:hAnsi="Arial" w:cs="Arial"/>
          <w:color w:val="222222"/>
          <w:sz w:val="24"/>
          <w:szCs w:val="24"/>
        </w:rPr>
      </w:pPr>
    </w:p>
    <w:p w:rsidR="00CC0DB8" w:rsidRPr="00FE749F" w:rsidRDefault="00CC0DB8" w:rsidP="000C6A67">
      <w:pPr>
        <w:pStyle w:val="Header"/>
        <w:tabs>
          <w:tab w:val="center" w:pos="851"/>
        </w:tabs>
        <w:jc w:val="both"/>
        <w:rPr>
          <w:rFonts w:ascii="Arial" w:hAnsi="Arial" w:cs="Arial"/>
          <w:color w:val="222222"/>
          <w:sz w:val="24"/>
          <w:szCs w:val="24"/>
        </w:rPr>
      </w:pPr>
    </w:p>
    <w:p w:rsidR="002B452F" w:rsidRDefault="002B452F" w:rsidP="000C6A67">
      <w:pPr>
        <w:pStyle w:val="Header"/>
        <w:tabs>
          <w:tab w:val="center" w:pos="851"/>
        </w:tabs>
        <w:jc w:val="both"/>
        <w:rPr>
          <w:rFonts w:ascii="Arial" w:hAnsi="Arial" w:cs="Arial"/>
          <w:color w:val="222222"/>
          <w:sz w:val="24"/>
          <w:szCs w:val="24"/>
        </w:rPr>
      </w:pPr>
    </w:p>
    <w:p w:rsidR="002B452F" w:rsidRPr="00502DE2" w:rsidRDefault="001E39F2" w:rsidP="000C6A67">
      <w:pPr>
        <w:pStyle w:val="Header"/>
        <w:tabs>
          <w:tab w:val="center" w:pos="851"/>
        </w:tabs>
        <w:jc w:val="center"/>
        <w:rPr>
          <w:rFonts w:ascii="Arial" w:hAnsi="Arial" w:cs="Arial"/>
        </w:rPr>
      </w:pPr>
      <w:r w:rsidRPr="00502DE2">
        <w:rPr>
          <w:rFonts w:ascii="Arial" w:hAnsi="Arial" w:cs="Arial"/>
          <w:color w:val="222222"/>
        </w:rPr>
        <w:t xml:space="preserve">Figura </w:t>
      </w:r>
      <w:r w:rsidR="006F004E">
        <w:rPr>
          <w:rFonts w:ascii="Arial" w:hAnsi="Arial" w:cs="Arial"/>
          <w:color w:val="222222"/>
        </w:rPr>
        <w:t>2</w:t>
      </w:r>
      <w:r w:rsidR="002B0255">
        <w:rPr>
          <w:rFonts w:ascii="Arial" w:hAnsi="Arial" w:cs="Arial"/>
          <w:color w:val="222222"/>
        </w:rPr>
        <w:t>1</w:t>
      </w:r>
      <w:r w:rsidR="006F004E">
        <w:rPr>
          <w:rFonts w:ascii="Arial" w:hAnsi="Arial" w:cs="Arial"/>
          <w:color w:val="222222"/>
        </w:rPr>
        <w:t>.</w:t>
      </w:r>
      <w:r w:rsidRPr="00502DE2">
        <w:rPr>
          <w:rFonts w:ascii="Arial" w:hAnsi="Arial" w:cs="Arial"/>
          <w:color w:val="222222"/>
        </w:rPr>
        <w:t xml:space="preserve"> </w:t>
      </w:r>
      <w:r w:rsidR="002B452F" w:rsidRPr="00502DE2">
        <w:rPr>
          <w:rFonts w:ascii="Arial" w:hAnsi="Arial" w:cs="Arial"/>
          <w:color w:val="222222"/>
        </w:rPr>
        <w:t xml:space="preserve">Prognoza oportunităților de angajare – (în mii de locuri) </w:t>
      </w:r>
    </w:p>
    <w:p w:rsidR="002B452F" w:rsidRPr="007F4928" w:rsidRDefault="002B452F" w:rsidP="000C6A67">
      <w:pPr>
        <w:pStyle w:val="FootnoteText"/>
        <w:jc w:val="center"/>
        <w:rPr>
          <w:rFonts w:ascii="Times New Roman" w:hAnsi="Times New Roman"/>
          <w:sz w:val="24"/>
          <w:szCs w:val="24"/>
        </w:rPr>
      </w:pPr>
      <w:r w:rsidRPr="007F4928">
        <w:rPr>
          <w:rFonts w:ascii="Times New Roman" w:hAnsi="Times New Roman"/>
          <w:noProof/>
          <w:sz w:val="24"/>
          <w:szCs w:val="24"/>
          <w:lang w:val="en-US"/>
        </w:rPr>
        <w:drawing>
          <wp:inline distT="0" distB="0" distL="0" distR="0">
            <wp:extent cx="4914900" cy="2705100"/>
            <wp:effectExtent l="0" t="0" r="0" b="0"/>
            <wp:docPr id="2"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pic:cNvPicPr>
                      <a:picLocks noChangeAspect="1" noChangeArrowheads="1"/>
                    </pic:cNvPicPr>
                  </pic:nvPicPr>
                  <pic:blipFill>
                    <a:blip r:embed="rId39" cstate="print"/>
                    <a:srcRect/>
                    <a:stretch>
                      <a:fillRect/>
                    </a:stretch>
                  </pic:blipFill>
                  <pic:spPr bwMode="auto">
                    <a:xfrm>
                      <a:off x="0" y="0"/>
                      <a:ext cx="4914900" cy="2705100"/>
                    </a:xfrm>
                    <a:prstGeom prst="rect">
                      <a:avLst/>
                    </a:prstGeom>
                    <a:noFill/>
                    <a:ln w="9525">
                      <a:noFill/>
                      <a:miter lim="800000"/>
                      <a:headEnd/>
                      <a:tailEnd/>
                    </a:ln>
                  </pic:spPr>
                </pic:pic>
              </a:graphicData>
            </a:graphic>
          </wp:inline>
        </w:drawing>
      </w:r>
      <w:r w:rsidRPr="007F4928">
        <w:rPr>
          <w:rFonts w:ascii="Times New Roman" w:hAnsi="Times New Roman"/>
          <w:color w:val="222222"/>
          <w:sz w:val="24"/>
          <w:szCs w:val="24"/>
        </w:rPr>
        <w:br/>
      </w:r>
      <w:r w:rsidRPr="00B90F63">
        <w:rPr>
          <w:rFonts w:ascii="Arial" w:hAnsi="Arial" w:cs="Arial"/>
        </w:rPr>
        <w:t>Sursa datelor: Cedefop - Romania Country forecasts - Skill supply and demand up to 2025</w:t>
      </w:r>
    </w:p>
    <w:p w:rsidR="002B452F" w:rsidRPr="007F4928" w:rsidRDefault="002B452F" w:rsidP="000C6A67">
      <w:pPr>
        <w:pStyle w:val="FootnoteText"/>
        <w:jc w:val="center"/>
        <w:rPr>
          <w:rFonts w:ascii="Times New Roman" w:hAnsi="Times New Roman"/>
          <w:sz w:val="24"/>
          <w:szCs w:val="24"/>
        </w:rPr>
      </w:pPr>
    </w:p>
    <w:p w:rsidR="002B452F" w:rsidRDefault="002B452F" w:rsidP="000C6A67">
      <w:pPr>
        <w:pStyle w:val="Header"/>
        <w:tabs>
          <w:tab w:val="center" w:pos="851"/>
        </w:tabs>
        <w:jc w:val="both"/>
        <w:rPr>
          <w:rFonts w:ascii="Arial" w:hAnsi="Arial" w:cs="Arial"/>
          <w:color w:val="222222"/>
          <w:sz w:val="24"/>
          <w:szCs w:val="24"/>
        </w:rPr>
      </w:pPr>
      <w:r w:rsidRPr="00FE749F">
        <w:rPr>
          <w:rStyle w:val="hps"/>
          <w:rFonts w:ascii="Arial" w:hAnsi="Arial" w:cs="Arial"/>
          <w:color w:val="222222"/>
          <w:sz w:val="24"/>
          <w:szCs w:val="24"/>
        </w:rPr>
        <w:t>Forța de muncă</w:t>
      </w:r>
      <w:r w:rsidRPr="00FE749F">
        <w:rPr>
          <w:rFonts w:ascii="Arial" w:hAnsi="Arial" w:cs="Arial"/>
          <w:color w:val="222222"/>
          <w:sz w:val="24"/>
          <w:szCs w:val="24"/>
        </w:rPr>
        <w:t xml:space="preserve"> </w:t>
      </w:r>
      <w:r w:rsidRPr="00FE749F">
        <w:rPr>
          <w:rStyle w:val="hps"/>
          <w:rFonts w:ascii="Arial" w:hAnsi="Arial" w:cs="Arial"/>
          <w:color w:val="222222"/>
          <w:sz w:val="24"/>
          <w:szCs w:val="24"/>
        </w:rPr>
        <w:t>din România</w:t>
      </w:r>
      <w:r w:rsidRPr="00FE749F">
        <w:rPr>
          <w:rFonts w:ascii="Arial" w:hAnsi="Arial" w:cs="Arial"/>
          <w:color w:val="222222"/>
          <w:sz w:val="24"/>
          <w:szCs w:val="24"/>
        </w:rPr>
        <w:t xml:space="preserve"> </w:t>
      </w:r>
      <w:r w:rsidRPr="00FE749F">
        <w:rPr>
          <w:rStyle w:val="hps"/>
          <w:rFonts w:ascii="Arial" w:hAnsi="Arial" w:cs="Arial"/>
          <w:color w:val="222222"/>
          <w:sz w:val="24"/>
          <w:szCs w:val="24"/>
        </w:rPr>
        <w:t>este</w:t>
      </w:r>
      <w:r w:rsidRPr="00FE749F">
        <w:rPr>
          <w:rFonts w:ascii="Arial" w:hAnsi="Arial" w:cs="Arial"/>
          <w:color w:val="222222"/>
          <w:sz w:val="24"/>
          <w:szCs w:val="24"/>
        </w:rPr>
        <w:t xml:space="preserve"> </w:t>
      </w:r>
      <w:r w:rsidRPr="00FE749F">
        <w:rPr>
          <w:rStyle w:val="hps"/>
          <w:rFonts w:ascii="Arial" w:hAnsi="Arial" w:cs="Arial"/>
          <w:color w:val="222222"/>
          <w:sz w:val="24"/>
          <w:szCs w:val="24"/>
        </w:rPr>
        <w:t>din ce în ce</w:t>
      </w:r>
      <w:r w:rsidRPr="00FE749F">
        <w:rPr>
          <w:rFonts w:ascii="Arial" w:hAnsi="Arial" w:cs="Arial"/>
          <w:color w:val="222222"/>
          <w:sz w:val="24"/>
          <w:szCs w:val="24"/>
        </w:rPr>
        <w:t xml:space="preserve"> </w:t>
      </w:r>
      <w:r w:rsidRPr="00FE749F">
        <w:rPr>
          <w:rStyle w:val="hps"/>
          <w:rFonts w:ascii="Arial" w:hAnsi="Arial" w:cs="Arial"/>
          <w:color w:val="222222"/>
          <w:sz w:val="24"/>
          <w:szCs w:val="24"/>
        </w:rPr>
        <w:t>mai</w:t>
      </w:r>
      <w:r w:rsidRPr="00FE749F">
        <w:rPr>
          <w:rFonts w:ascii="Arial" w:hAnsi="Arial" w:cs="Arial"/>
          <w:color w:val="222222"/>
          <w:sz w:val="24"/>
          <w:szCs w:val="24"/>
        </w:rPr>
        <w:t xml:space="preserve"> </w:t>
      </w:r>
      <w:r w:rsidRPr="00FE749F">
        <w:rPr>
          <w:rStyle w:val="hps"/>
          <w:rFonts w:ascii="Arial" w:hAnsi="Arial" w:cs="Arial"/>
          <w:color w:val="222222"/>
          <w:sz w:val="24"/>
          <w:szCs w:val="24"/>
        </w:rPr>
        <w:t>înalt calificată.</w:t>
      </w:r>
      <w:r w:rsidRPr="00FE749F">
        <w:rPr>
          <w:rFonts w:ascii="Arial" w:hAnsi="Arial" w:cs="Arial"/>
          <w:color w:val="222222"/>
          <w:sz w:val="24"/>
          <w:szCs w:val="24"/>
        </w:rPr>
        <w:t xml:space="preserve"> </w:t>
      </w:r>
      <w:r w:rsidRPr="00FE749F">
        <w:rPr>
          <w:rStyle w:val="hps"/>
          <w:rFonts w:ascii="Arial" w:hAnsi="Arial" w:cs="Arial"/>
          <w:color w:val="222222"/>
          <w:sz w:val="24"/>
          <w:szCs w:val="24"/>
        </w:rPr>
        <w:t>Aceasta se explică prin faptul că mai multe persoane în vârstă,</w:t>
      </w:r>
      <w:r w:rsidRPr="00FE749F">
        <w:rPr>
          <w:rFonts w:ascii="Arial" w:hAnsi="Arial" w:cs="Arial"/>
          <w:color w:val="222222"/>
          <w:sz w:val="24"/>
          <w:szCs w:val="24"/>
        </w:rPr>
        <w:t xml:space="preserve"> </w:t>
      </w:r>
      <w:r w:rsidRPr="00FE749F">
        <w:rPr>
          <w:rStyle w:val="hps"/>
          <w:rFonts w:ascii="Arial" w:hAnsi="Arial" w:cs="Arial"/>
          <w:color w:val="222222"/>
          <w:sz w:val="24"/>
          <w:szCs w:val="24"/>
        </w:rPr>
        <w:t>mai puțin</w:t>
      </w:r>
      <w:r w:rsidRPr="00FE749F">
        <w:rPr>
          <w:rFonts w:ascii="Arial" w:hAnsi="Arial" w:cs="Arial"/>
          <w:color w:val="222222"/>
          <w:sz w:val="24"/>
          <w:szCs w:val="24"/>
        </w:rPr>
        <w:t xml:space="preserve"> </w:t>
      </w:r>
      <w:r w:rsidRPr="00FE749F">
        <w:rPr>
          <w:rStyle w:val="hps"/>
          <w:rFonts w:ascii="Arial" w:hAnsi="Arial" w:cs="Arial"/>
          <w:color w:val="222222"/>
          <w:sz w:val="24"/>
          <w:szCs w:val="24"/>
        </w:rPr>
        <w:t>calificate, părăsesc</w:t>
      </w:r>
      <w:r w:rsidRPr="00FE749F">
        <w:rPr>
          <w:rFonts w:ascii="Arial" w:hAnsi="Arial" w:cs="Arial"/>
          <w:color w:val="222222"/>
          <w:sz w:val="24"/>
          <w:szCs w:val="24"/>
        </w:rPr>
        <w:t xml:space="preserve"> </w:t>
      </w:r>
      <w:r w:rsidRPr="00FE749F">
        <w:rPr>
          <w:rStyle w:val="hps"/>
          <w:rFonts w:ascii="Arial" w:hAnsi="Arial" w:cs="Arial"/>
          <w:color w:val="222222"/>
          <w:sz w:val="24"/>
          <w:szCs w:val="24"/>
        </w:rPr>
        <w:t>piața</w:t>
      </w:r>
      <w:r w:rsidRPr="00FE749F">
        <w:rPr>
          <w:rFonts w:ascii="Arial" w:hAnsi="Arial" w:cs="Arial"/>
          <w:color w:val="222222"/>
          <w:sz w:val="24"/>
          <w:szCs w:val="24"/>
        </w:rPr>
        <w:t xml:space="preserve"> </w:t>
      </w:r>
      <w:r w:rsidRPr="00FE749F">
        <w:rPr>
          <w:rStyle w:val="hps"/>
          <w:rFonts w:ascii="Arial" w:hAnsi="Arial" w:cs="Arial"/>
          <w:color w:val="222222"/>
          <w:sz w:val="24"/>
          <w:szCs w:val="24"/>
        </w:rPr>
        <w:t>forței de muncă și</w:t>
      </w:r>
      <w:r w:rsidRPr="00FE749F">
        <w:rPr>
          <w:rFonts w:ascii="Arial" w:hAnsi="Arial" w:cs="Arial"/>
          <w:color w:val="222222"/>
          <w:sz w:val="24"/>
          <w:szCs w:val="24"/>
        </w:rPr>
        <w:t xml:space="preserve"> mai mulţi </w:t>
      </w:r>
      <w:r w:rsidRPr="00FE749F">
        <w:rPr>
          <w:rStyle w:val="hps"/>
          <w:rFonts w:ascii="Arial" w:hAnsi="Arial" w:cs="Arial"/>
          <w:color w:val="222222"/>
          <w:sz w:val="24"/>
          <w:szCs w:val="24"/>
        </w:rPr>
        <w:t>oameni tineri,</w:t>
      </w:r>
      <w:r w:rsidRPr="00FE749F">
        <w:rPr>
          <w:rFonts w:ascii="Arial" w:hAnsi="Arial" w:cs="Arial"/>
          <w:color w:val="222222"/>
          <w:sz w:val="24"/>
          <w:szCs w:val="24"/>
        </w:rPr>
        <w:t xml:space="preserve"> </w:t>
      </w:r>
      <w:r w:rsidRPr="00FE749F">
        <w:rPr>
          <w:rStyle w:val="hps"/>
          <w:rFonts w:ascii="Arial" w:hAnsi="Arial" w:cs="Arial"/>
          <w:color w:val="222222"/>
          <w:sz w:val="24"/>
          <w:szCs w:val="24"/>
        </w:rPr>
        <w:t>cu studii superioare,</w:t>
      </w:r>
      <w:r w:rsidRPr="00FE749F">
        <w:rPr>
          <w:rFonts w:ascii="Arial" w:hAnsi="Arial" w:cs="Arial"/>
          <w:color w:val="222222"/>
          <w:sz w:val="24"/>
          <w:szCs w:val="24"/>
        </w:rPr>
        <w:t xml:space="preserve"> </w:t>
      </w:r>
      <w:r w:rsidRPr="00FE749F">
        <w:rPr>
          <w:rStyle w:val="hps"/>
          <w:rFonts w:ascii="Arial" w:hAnsi="Arial" w:cs="Arial"/>
          <w:color w:val="222222"/>
          <w:sz w:val="24"/>
          <w:szCs w:val="24"/>
        </w:rPr>
        <w:t>intră pe piața</w:t>
      </w:r>
      <w:r w:rsidRPr="00FE749F">
        <w:rPr>
          <w:rFonts w:ascii="Arial" w:hAnsi="Arial" w:cs="Arial"/>
          <w:color w:val="222222"/>
          <w:sz w:val="24"/>
          <w:szCs w:val="24"/>
        </w:rPr>
        <w:t xml:space="preserve"> </w:t>
      </w:r>
      <w:r w:rsidRPr="00FE749F">
        <w:rPr>
          <w:rStyle w:val="hps"/>
          <w:rFonts w:ascii="Arial" w:hAnsi="Arial" w:cs="Arial"/>
          <w:color w:val="222222"/>
          <w:sz w:val="24"/>
          <w:szCs w:val="24"/>
        </w:rPr>
        <w:t>forței de muncă</w:t>
      </w:r>
      <w:r w:rsidRPr="00FE749F">
        <w:rPr>
          <w:rFonts w:ascii="Arial" w:hAnsi="Arial" w:cs="Arial"/>
          <w:color w:val="222222"/>
          <w:sz w:val="24"/>
          <w:szCs w:val="24"/>
        </w:rPr>
        <w:t xml:space="preserve">. </w:t>
      </w:r>
    </w:p>
    <w:p w:rsidR="002B452F" w:rsidRDefault="002B452F" w:rsidP="000C6A67">
      <w:pPr>
        <w:pStyle w:val="Header"/>
        <w:tabs>
          <w:tab w:val="center" w:pos="851"/>
        </w:tabs>
        <w:jc w:val="both"/>
        <w:rPr>
          <w:rFonts w:ascii="Arial" w:hAnsi="Arial" w:cs="Arial"/>
          <w:color w:val="222222"/>
          <w:sz w:val="24"/>
          <w:szCs w:val="24"/>
        </w:rPr>
      </w:pPr>
    </w:p>
    <w:p w:rsidR="002B452F" w:rsidRPr="001E39F2" w:rsidRDefault="002B452F" w:rsidP="000C6A67">
      <w:pPr>
        <w:pStyle w:val="Header"/>
        <w:tabs>
          <w:tab w:val="center" w:pos="851"/>
        </w:tabs>
        <w:jc w:val="both"/>
        <w:rPr>
          <w:rFonts w:ascii="Arial" w:hAnsi="Arial" w:cs="Arial"/>
          <w:color w:val="222222"/>
        </w:rPr>
      </w:pPr>
      <w:r>
        <w:rPr>
          <w:rFonts w:ascii="Arial" w:hAnsi="Arial" w:cs="Arial"/>
          <w:color w:val="222222"/>
          <w:sz w:val="24"/>
          <w:szCs w:val="24"/>
        </w:rPr>
        <w:t xml:space="preserve"> </w:t>
      </w:r>
      <w:r w:rsidR="001E39F2" w:rsidRPr="001E39F2">
        <w:rPr>
          <w:rFonts w:ascii="Arial" w:hAnsi="Arial" w:cs="Arial"/>
          <w:color w:val="222222"/>
        </w:rPr>
        <w:t xml:space="preserve">Figura </w:t>
      </w:r>
      <w:r w:rsidR="006F004E">
        <w:rPr>
          <w:rFonts w:ascii="Arial" w:hAnsi="Arial" w:cs="Arial"/>
          <w:color w:val="222222"/>
        </w:rPr>
        <w:t>2</w:t>
      </w:r>
      <w:r w:rsidR="002B0255">
        <w:rPr>
          <w:rFonts w:ascii="Arial" w:hAnsi="Arial" w:cs="Arial"/>
          <w:color w:val="222222"/>
        </w:rPr>
        <w:t>2</w:t>
      </w:r>
      <w:r w:rsidR="001E39F2" w:rsidRPr="001E39F2">
        <w:rPr>
          <w:rFonts w:ascii="Arial" w:hAnsi="Arial" w:cs="Arial"/>
          <w:color w:val="222222"/>
        </w:rPr>
        <w:t xml:space="preserve">. </w:t>
      </w:r>
      <w:r w:rsidRPr="001E39F2">
        <w:rPr>
          <w:rFonts w:ascii="Arial" w:hAnsi="Arial" w:cs="Arial"/>
          <w:color w:val="222222"/>
        </w:rPr>
        <w:t>Cerea și oferta de calificări – prognoza de țară, pentru România,  pentru 2025</w:t>
      </w:r>
    </w:p>
    <w:p w:rsidR="002B452F" w:rsidRDefault="002B452F" w:rsidP="000C6A67">
      <w:pPr>
        <w:pStyle w:val="Header"/>
        <w:tabs>
          <w:tab w:val="center" w:pos="851"/>
        </w:tabs>
        <w:ind w:left="284"/>
        <w:jc w:val="center"/>
        <w:rPr>
          <w:rFonts w:ascii="Times New Roman" w:hAnsi="Times New Roman"/>
          <w:sz w:val="16"/>
          <w:szCs w:val="16"/>
        </w:rPr>
      </w:pPr>
      <w:r w:rsidRPr="007F4928">
        <w:rPr>
          <w:rFonts w:ascii="Times New Roman" w:hAnsi="Times New Roman"/>
          <w:noProof/>
          <w:sz w:val="24"/>
          <w:szCs w:val="24"/>
          <w:lang w:val="en-US"/>
        </w:rPr>
        <w:drawing>
          <wp:inline distT="0" distB="0" distL="0" distR="0">
            <wp:extent cx="5343091" cy="3048000"/>
            <wp:effectExtent l="0" t="0" r="0" b="0"/>
            <wp:docPr id="1"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
                    <pic:cNvPicPr>
                      <a:picLocks noChangeAspect="1" noChangeArrowheads="1"/>
                    </pic:cNvPicPr>
                  </pic:nvPicPr>
                  <pic:blipFill>
                    <a:blip r:embed="rId40" cstate="print"/>
                    <a:srcRect/>
                    <a:stretch>
                      <a:fillRect/>
                    </a:stretch>
                  </pic:blipFill>
                  <pic:spPr bwMode="auto">
                    <a:xfrm>
                      <a:off x="0" y="0"/>
                      <a:ext cx="5376591" cy="3067110"/>
                    </a:xfrm>
                    <a:prstGeom prst="rect">
                      <a:avLst/>
                    </a:prstGeom>
                    <a:noFill/>
                    <a:ln w="9525">
                      <a:noFill/>
                      <a:miter lim="800000"/>
                      <a:headEnd/>
                      <a:tailEnd/>
                    </a:ln>
                  </pic:spPr>
                </pic:pic>
              </a:graphicData>
            </a:graphic>
          </wp:inline>
        </w:drawing>
      </w:r>
    </w:p>
    <w:p w:rsidR="002B452F" w:rsidRPr="00B90F63" w:rsidRDefault="002B452F" w:rsidP="000C6A67">
      <w:pPr>
        <w:pStyle w:val="Header"/>
        <w:tabs>
          <w:tab w:val="center" w:pos="851"/>
        </w:tabs>
        <w:ind w:left="284"/>
        <w:jc w:val="center"/>
        <w:rPr>
          <w:rFonts w:ascii="Arial" w:hAnsi="Arial" w:cs="Arial"/>
          <w:sz w:val="20"/>
          <w:szCs w:val="20"/>
        </w:rPr>
      </w:pPr>
      <w:r w:rsidRPr="00B90F63">
        <w:rPr>
          <w:rFonts w:ascii="Arial" w:hAnsi="Arial" w:cs="Arial"/>
          <w:sz w:val="20"/>
          <w:szCs w:val="20"/>
        </w:rPr>
        <w:t>Sursa datelor: CEDEFOP - Romania Country forecasts - Skill supply and demand up to 2025</w:t>
      </w:r>
    </w:p>
    <w:p w:rsidR="002B452F" w:rsidRDefault="002B452F" w:rsidP="000C6A67">
      <w:pPr>
        <w:pStyle w:val="Header"/>
        <w:tabs>
          <w:tab w:val="center" w:pos="851"/>
        </w:tabs>
        <w:jc w:val="both"/>
        <w:rPr>
          <w:rFonts w:ascii="Arial" w:hAnsi="Arial" w:cs="Arial"/>
          <w:color w:val="222222"/>
          <w:sz w:val="24"/>
          <w:szCs w:val="24"/>
        </w:rPr>
      </w:pPr>
    </w:p>
    <w:p w:rsidR="002B452F" w:rsidRPr="00FE749F" w:rsidRDefault="002B452F" w:rsidP="000C6A67">
      <w:pPr>
        <w:pStyle w:val="Header"/>
        <w:tabs>
          <w:tab w:val="center" w:pos="851"/>
        </w:tabs>
        <w:jc w:val="both"/>
        <w:rPr>
          <w:rFonts w:ascii="Arial" w:hAnsi="Arial" w:cs="Arial"/>
          <w:color w:val="222222"/>
          <w:sz w:val="24"/>
          <w:szCs w:val="24"/>
        </w:rPr>
      </w:pPr>
      <w:r w:rsidRPr="00FE749F">
        <w:rPr>
          <w:rStyle w:val="hps"/>
          <w:rFonts w:ascii="Arial" w:hAnsi="Arial" w:cs="Arial"/>
          <w:color w:val="222222"/>
          <w:sz w:val="24"/>
          <w:szCs w:val="24"/>
        </w:rPr>
        <w:t>Până în 2025</w:t>
      </w:r>
      <w:r w:rsidRPr="00FE749F">
        <w:rPr>
          <w:rFonts w:ascii="Arial" w:hAnsi="Arial" w:cs="Arial"/>
          <w:color w:val="222222"/>
          <w:sz w:val="24"/>
          <w:szCs w:val="24"/>
        </w:rPr>
        <w:t xml:space="preserve">, </w:t>
      </w:r>
      <w:r w:rsidRPr="00FE749F">
        <w:rPr>
          <w:rStyle w:val="hps"/>
          <w:rFonts w:ascii="Arial" w:hAnsi="Arial" w:cs="Arial"/>
          <w:color w:val="222222"/>
          <w:sz w:val="24"/>
          <w:szCs w:val="24"/>
        </w:rPr>
        <w:t>ponderea</w:t>
      </w:r>
      <w:r w:rsidRPr="00FE749F">
        <w:rPr>
          <w:rFonts w:ascii="Arial" w:hAnsi="Arial" w:cs="Arial"/>
          <w:color w:val="222222"/>
          <w:sz w:val="24"/>
          <w:szCs w:val="24"/>
        </w:rPr>
        <w:t xml:space="preserve"> </w:t>
      </w:r>
      <w:r w:rsidRPr="00FE749F">
        <w:rPr>
          <w:rStyle w:val="hps"/>
          <w:rFonts w:ascii="Arial" w:hAnsi="Arial" w:cs="Arial"/>
          <w:color w:val="222222"/>
          <w:sz w:val="24"/>
          <w:szCs w:val="24"/>
        </w:rPr>
        <w:t>forței</w:t>
      </w:r>
      <w:r w:rsidRPr="00FE749F">
        <w:rPr>
          <w:rFonts w:ascii="Arial" w:hAnsi="Arial" w:cs="Arial"/>
          <w:color w:val="222222"/>
          <w:sz w:val="24"/>
          <w:szCs w:val="24"/>
        </w:rPr>
        <w:t xml:space="preserve"> </w:t>
      </w:r>
      <w:r w:rsidRPr="00FE749F">
        <w:rPr>
          <w:rStyle w:val="hps"/>
          <w:rFonts w:ascii="Arial" w:hAnsi="Arial" w:cs="Arial"/>
          <w:color w:val="222222"/>
          <w:sz w:val="24"/>
          <w:szCs w:val="24"/>
        </w:rPr>
        <w:t>de muncă din România</w:t>
      </w:r>
      <w:r w:rsidRPr="00FE749F">
        <w:rPr>
          <w:rFonts w:ascii="Arial" w:hAnsi="Arial" w:cs="Arial"/>
          <w:color w:val="222222"/>
          <w:sz w:val="24"/>
          <w:szCs w:val="24"/>
        </w:rPr>
        <w:t xml:space="preserve"> </w:t>
      </w:r>
      <w:r w:rsidRPr="00FE749F">
        <w:rPr>
          <w:rStyle w:val="hps"/>
          <w:rFonts w:ascii="Arial" w:hAnsi="Arial" w:cs="Arial"/>
          <w:color w:val="222222"/>
          <w:sz w:val="24"/>
          <w:szCs w:val="24"/>
        </w:rPr>
        <w:t>cu</w:t>
      </w:r>
      <w:r w:rsidRPr="00FE749F">
        <w:rPr>
          <w:rFonts w:ascii="Arial" w:hAnsi="Arial" w:cs="Arial"/>
          <w:color w:val="222222"/>
          <w:sz w:val="24"/>
          <w:szCs w:val="24"/>
        </w:rPr>
        <w:t xml:space="preserve"> </w:t>
      </w:r>
      <w:r w:rsidRPr="00FE749F">
        <w:rPr>
          <w:rStyle w:val="hps"/>
          <w:rFonts w:ascii="Arial" w:hAnsi="Arial" w:cs="Arial"/>
          <w:color w:val="222222"/>
          <w:sz w:val="24"/>
          <w:szCs w:val="24"/>
        </w:rPr>
        <w:t>nivel înalt de calificare</w:t>
      </w:r>
      <w:r w:rsidRPr="00FE749F">
        <w:rPr>
          <w:rFonts w:ascii="Arial" w:hAnsi="Arial" w:cs="Arial"/>
          <w:color w:val="222222"/>
          <w:sz w:val="24"/>
          <w:szCs w:val="24"/>
        </w:rPr>
        <w:t xml:space="preserve"> </w:t>
      </w:r>
      <w:r w:rsidRPr="00FE749F">
        <w:rPr>
          <w:rStyle w:val="hps"/>
          <w:rFonts w:ascii="Arial" w:hAnsi="Arial" w:cs="Arial"/>
          <w:color w:val="222222"/>
          <w:sz w:val="24"/>
          <w:szCs w:val="24"/>
        </w:rPr>
        <w:t>ar trebui să crească</w:t>
      </w:r>
      <w:r w:rsidRPr="00FE749F">
        <w:rPr>
          <w:rFonts w:ascii="Arial" w:hAnsi="Arial" w:cs="Arial"/>
          <w:color w:val="222222"/>
          <w:sz w:val="24"/>
          <w:szCs w:val="24"/>
        </w:rPr>
        <w:t xml:space="preserve"> </w:t>
      </w:r>
      <w:r w:rsidRPr="00FE749F">
        <w:rPr>
          <w:rStyle w:val="hps"/>
          <w:rFonts w:ascii="Arial" w:hAnsi="Arial" w:cs="Arial"/>
          <w:color w:val="222222"/>
          <w:sz w:val="24"/>
          <w:szCs w:val="24"/>
        </w:rPr>
        <w:t>până la</w:t>
      </w:r>
      <w:r w:rsidRPr="00FE749F">
        <w:rPr>
          <w:rFonts w:ascii="Arial" w:hAnsi="Arial" w:cs="Arial"/>
          <w:color w:val="222222"/>
          <w:sz w:val="24"/>
          <w:szCs w:val="24"/>
        </w:rPr>
        <w:t xml:space="preserve"> </w:t>
      </w:r>
      <w:r w:rsidRPr="00FE749F">
        <w:rPr>
          <w:rStyle w:val="hps"/>
          <w:rFonts w:ascii="Arial" w:hAnsi="Arial" w:cs="Arial"/>
          <w:color w:val="222222"/>
          <w:sz w:val="24"/>
          <w:szCs w:val="24"/>
        </w:rPr>
        <w:t>39,4%</w:t>
      </w:r>
      <w:r w:rsidRPr="00FE749F">
        <w:rPr>
          <w:rFonts w:ascii="Arial" w:hAnsi="Arial" w:cs="Arial"/>
          <w:color w:val="222222"/>
          <w:sz w:val="24"/>
          <w:szCs w:val="24"/>
        </w:rPr>
        <w:t xml:space="preserve">, comparativ cu </w:t>
      </w:r>
      <w:r w:rsidRPr="00FE749F">
        <w:rPr>
          <w:rStyle w:val="hps"/>
          <w:rFonts w:ascii="Arial" w:hAnsi="Arial" w:cs="Arial"/>
          <w:color w:val="222222"/>
          <w:sz w:val="24"/>
          <w:szCs w:val="24"/>
        </w:rPr>
        <w:t>26,6%</w:t>
      </w:r>
      <w:r w:rsidRPr="00FE749F">
        <w:rPr>
          <w:rFonts w:ascii="Arial" w:hAnsi="Arial" w:cs="Arial"/>
          <w:color w:val="222222"/>
          <w:sz w:val="24"/>
          <w:szCs w:val="24"/>
        </w:rPr>
        <w:t xml:space="preserve"> </w:t>
      </w:r>
      <w:r w:rsidRPr="00FE749F">
        <w:rPr>
          <w:rStyle w:val="hps"/>
          <w:rFonts w:ascii="Arial" w:hAnsi="Arial" w:cs="Arial"/>
          <w:color w:val="222222"/>
          <w:sz w:val="24"/>
          <w:szCs w:val="24"/>
        </w:rPr>
        <w:t>în 2013 și</w:t>
      </w:r>
      <w:r w:rsidRPr="00FE749F">
        <w:rPr>
          <w:rFonts w:ascii="Arial" w:hAnsi="Arial" w:cs="Arial"/>
          <w:color w:val="222222"/>
          <w:sz w:val="24"/>
          <w:szCs w:val="24"/>
        </w:rPr>
        <w:t xml:space="preserve"> </w:t>
      </w:r>
      <w:r w:rsidRPr="00FE749F">
        <w:rPr>
          <w:rStyle w:val="hps"/>
          <w:rFonts w:ascii="Arial" w:hAnsi="Arial" w:cs="Arial"/>
          <w:color w:val="222222"/>
          <w:sz w:val="24"/>
          <w:szCs w:val="24"/>
        </w:rPr>
        <w:t>17,3%</w:t>
      </w:r>
      <w:r w:rsidRPr="00FE749F">
        <w:rPr>
          <w:rFonts w:ascii="Arial" w:hAnsi="Arial" w:cs="Arial"/>
          <w:color w:val="222222"/>
          <w:sz w:val="24"/>
          <w:szCs w:val="24"/>
        </w:rPr>
        <w:t xml:space="preserve"> </w:t>
      </w:r>
      <w:r w:rsidRPr="00FE749F">
        <w:rPr>
          <w:rStyle w:val="hps"/>
          <w:rFonts w:ascii="Arial" w:hAnsi="Arial" w:cs="Arial"/>
          <w:color w:val="222222"/>
          <w:sz w:val="24"/>
          <w:szCs w:val="24"/>
        </w:rPr>
        <w:t>în 2005.</w:t>
      </w:r>
      <w:r w:rsidRPr="00FE749F">
        <w:rPr>
          <w:rFonts w:ascii="Arial" w:hAnsi="Arial" w:cs="Arial"/>
          <w:color w:val="222222"/>
          <w:sz w:val="24"/>
          <w:szCs w:val="24"/>
        </w:rPr>
        <w:t xml:space="preserve"> </w:t>
      </w:r>
      <w:r w:rsidRPr="00FE749F">
        <w:rPr>
          <w:rStyle w:val="hps"/>
          <w:rFonts w:ascii="Arial" w:hAnsi="Arial" w:cs="Arial"/>
          <w:color w:val="222222"/>
          <w:sz w:val="24"/>
          <w:szCs w:val="24"/>
        </w:rPr>
        <w:t>Persoanele cu</w:t>
      </w:r>
      <w:r w:rsidRPr="00FE749F">
        <w:rPr>
          <w:rFonts w:ascii="Arial" w:hAnsi="Arial" w:cs="Arial"/>
          <w:color w:val="222222"/>
          <w:sz w:val="24"/>
          <w:szCs w:val="24"/>
        </w:rPr>
        <w:t xml:space="preserve"> </w:t>
      </w:r>
      <w:r w:rsidRPr="00FE749F">
        <w:rPr>
          <w:rStyle w:val="hps"/>
          <w:rFonts w:ascii="Arial" w:hAnsi="Arial" w:cs="Arial"/>
          <w:color w:val="222222"/>
          <w:sz w:val="24"/>
          <w:szCs w:val="24"/>
        </w:rPr>
        <w:t>nivel mediu de calificare</w:t>
      </w:r>
      <w:r w:rsidRPr="00FE749F">
        <w:rPr>
          <w:rFonts w:ascii="Arial" w:hAnsi="Arial" w:cs="Arial"/>
          <w:color w:val="222222"/>
          <w:sz w:val="24"/>
          <w:szCs w:val="24"/>
        </w:rPr>
        <w:t xml:space="preserve"> </w:t>
      </w:r>
      <w:r w:rsidRPr="00FE749F">
        <w:rPr>
          <w:rStyle w:val="hps"/>
          <w:rFonts w:ascii="Arial" w:hAnsi="Arial" w:cs="Arial"/>
          <w:color w:val="222222"/>
          <w:sz w:val="24"/>
          <w:szCs w:val="24"/>
        </w:rPr>
        <w:t>în</w:t>
      </w:r>
      <w:r w:rsidRPr="00FE749F">
        <w:rPr>
          <w:rFonts w:ascii="Arial" w:hAnsi="Arial" w:cs="Arial"/>
          <w:color w:val="222222"/>
          <w:sz w:val="24"/>
          <w:szCs w:val="24"/>
        </w:rPr>
        <w:t xml:space="preserve"> </w:t>
      </w:r>
      <w:r w:rsidRPr="00FE749F">
        <w:rPr>
          <w:rStyle w:val="hps"/>
          <w:rFonts w:ascii="Arial" w:hAnsi="Arial" w:cs="Arial"/>
          <w:color w:val="222222"/>
          <w:sz w:val="24"/>
          <w:szCs w:val="24"/>
        </w:rPr>
        <w:t>2025</w:t>
      </w:r>
      <w:r w:rsidRPr="00FE749F">
        <w:rPr>
          <w:rFonts w:ascii="Arial" w:hAnsi="Arial" w:cs="Arial"/>
          <w:color w:val="222222"/>
          <w:sz w:val="24"/>
          <w:szCs w:val="24"/>
        </w:rPr>
        <w:t xml:space="preserve"> </w:t>
      </w:r>
      <w:r w:rsidRPr="00FE749F">
        <w:rPr>
          <w:rStyle w:val="hps"/>
          <w:rFonts w:ascii="Arial" w:hAnsi="Arial" w:cs="Arial"/>
          <w:color w:val="222222"/>
          <w:sz w:val="24"/>
          <w:szCs w:val="24"/>
        </w:rPr>
        <w:t>vor reprezenta</w:t>
      </w:r>
      <w:r w:rsidRPr="00FE749F">
        <w:rPr>
          <w:rFonts w:ascii="Arial" w:hAnsi="Arial" w:cs="Arial"/>
          <w:color w:val="222222"/>
          <w:sz w:val="24"/>
          <w:szCs w:val="24"/>
        </w:rPr>
        <w:t xml:space="preserve"> </w:t>
      </w:r>
      <w:r w:rsidRPr="00FE749F">
        <w:rPr>
          <w:rStyle w:val="hps"/>
          <w:rFonts w:ascii="Arial" w:hAnsi="Arial" w:cs="Arial"/>
          <w:color w:val="222222"/>
          <w:sz w:val="24"/>
          <w:szCs w:val="24"/>
        </w:rPr>
        <w:t>37,8</w:t>
      </w:r>
      <w:r w:rsidRPr="00FE749F">
        <w:rPr>
          <w:rFonts w:ascii="Arial" w:hAnsi="Arial" w:cs="Arial"/>
          <w:color w:val="222222"/>
          <w:sz w:val="24"/>
          <w:szCs w:val="24"/>
        </w:rPr>
        <w:t xml:space="preserve">% </w:t>
      </w:r>
      <w:r w:rsidRPr="00FE749F">
        <w:rPr>
          <w:rStyle w:val="hps"/>
          <w:rFonts w:ascii="Arial" w:hAnsi="Arial" w:cs="Arial"/>
          <w:color w:val="222222"/>
          <w:sz w:val="24"/>
          <w:szCs w:val="24"/>
        </w:rPr>
        <w:t>din forța de muncă</w:t>
      </w:r>
      <w:r w:rsidRPr="00FE749F">
        <w:rPr>
          <w:rFonts w:ascii="Arial" w:hAnsi="Arial" w:cs="Arial"/>
          <w:color w:val="222222"/>
          <w:sz w:val="24"/>
          <w:szCs w:val="24"/>
        </w:rPr>
        <w:t xml:space="preserve">, comparativ cu </w:t>
      </w:r>
      <w:r w:rsidRPr="00FE749F">
        <w:rPr>
          <w:rStyle w:val="hps"/>
          <w:rFonts w:ascii="Arial" w:hAnsi="Arial" w:cs="Arial"/>
          <w:color w:val="222222"/>
          <w:sz w:val="24"/>
          <w:szCs w:val="24"/>
        </w:rPr>
        <w:t>51,5</w:t>
      </w:r>
      <w:r w:rsidRPr="00FE749F">
        <w:rPr>
          <w:rFonts w:ascii="Arial" w:hAnsi="Arial" w:cs="Arial"/>
          <w:color w:val="222222"/>
          <w:sz w:val="24"/>
          <w:szCs w:val="24"/>
        </w:rPr>
        <w:t xml:space="preserve"> </w:t>
      </w:r>
      <w:r w:rsidRPr="00FE749F">
        <w:rPr>
          <w:rStyle w:val="hps"/>
          <w:rFonts w:ascii="Arial" w:hAnsi="Arial" w:cs="Arial"/>
          <w:color w:val="222222"/>
          <w:sz w:val="24"/>
          <w:szCs w:val="24"/>
        </w:rPr>
        <w:t>% în 2013.</w:t>
      </w:r>
      <w:r w:rsidRPr="00FE749F">
        <w:rPr>
          <w:rFonts w:ascii="Arial" w:hAnsi="Arial" w:cs="Arial"/>
          <w:color w:val="222222"/>
          <w:sz w:val="24"/>
          <w:szCs w:val="24"/>
        </w:rPr>
        <w:t xml:space="preserve"> </w:t>
      </w:r>
      <w:r w:rsidRPr="00FE749F">
        <w:rPr>
          <w:rStyle w:val="hps"/>
          <w:rFonts w:ascii="Arial" w:hAnsi="Arial" w:cs="Arial"/>
          <w:color w:val="222222"/>
          <w:sz w:val="24"/>
          <w:szCs w:val="24"/>
        </w:rPr>
        <w:t>Ponderea</w:t>
      </w:r>
      <w:r w:rsidRPr="00FE749F">
        <w:rPr>
          <w:rFonts w:ascii="Arial" w:hAnsi="Arial" w:cs="Arial"/>
          <w:color w:val="222222"/>
          <w:sz w:val="24"/>
          <w:szCs w:val="24"/>
        </w:rPr>
        <w:t xml:space="preserve"> celor </w:t>
      </w:r>
      <w:r w:rsidRPr="00FE749F">
        <w:rPr>
          <w:rStyle w:val="hps"/>
          <w:rFonts w:ascii="Arial" w:hAnsi="Arial" w:cs="Arial"/>
          <w:color w:val="222222"/>
          <w:sz w:val="24"/>
          <w:szCs w:val="24"/>
        </w:rPr>
        <w:t>cu</w:t>
      </w:r>
      <w:r w:rsidRPr="00FE749F">
        <w:rPr>
          <w:rFonts w:ascii="Arial" w:hAnsi="Arial" w:cs="Arial"/>
          <w:color w:val="222222"/>
          <w:sz w:val="24"/>
          <w:szCs w:val="24"/>
        </w:rPr>
        <w:t xml:space="preserve"> </w:t>
      </w:r>
      <w:r w:rsidRPr="00FE749F">
        <w:rPr>
          <w:rStyle w:val="hps"/>
          <w:rFonts w:ascii="Arial" w:hAnsi="Arial" w:cs="Arial"/>
          <w:color w:val="222222"/>
          <w:sz w:val="24"/>
          <w:szCs w:val="24"/>
        </w:rPr>
        <w:t>nivel</w:t>
      </w:r>
      <w:r w:rsidRPr="00FE749F">
        <w:rPr>
          <w:rFonts w:ascii="Arial" w:hAnsi="Arial" w:cs="Arial"/>
          <w:color w:val="222222"/>
          <w:sz w:val="24"/>
          <w:szCs w:val="24"/>
        </w:rPr>
        <w:t xml:space="preserve"> </w:t>
      </w:r>
      <w:r w:rsidRPr="00FE749F">
        <w:rPr>
          <w:rStyle w:val="hps"/>
          <w:rFonts w:ascii="Arial" w:hAnsi="Arial" w:cs="Arial"/>
          <w:color w:val="222222"/>
          <w:sz w:val="24"/>
          <w:szCs w:val="24"/>
        </w:rPr>
        <w:t>scăzut sau</w:t>
      </w:r>
      <w:r w:rsidRPr="00FE749F">
        <w:rPr>
          <w:rFonts w:ascii="Arial" w:hAnsi="Arial" w:cs="Arial"/>
          <w:color w:val="222222"/>
          <w:sz w:val="24"/>
          <w:szCs w:val="24"/>
        </w:rPr>
        <w:t xml:space="preserve"> </w:t>
      </w:r>
      <w:r w:rsidRPr="00FE749F">
        <w:rPr>
          <w:rStyle w:val="hps"/>
          <w:rFonts w:ascii="Arial" w:hAnsi="Arial" w:cs="Arial"/>
          <w:color w:val="222222"/>
          <w:sz w:val="24"/>
          <w:szCs w:val="24"/>
        </w:rPr>
        <w:t>fără calificări</w:t>
      </w:r>
      <w:r w:rsidRPr="00FE749F">
        <w:rPr>
          <w:rFonts w:ascii="Arial" w:hAnsi="Arial" w:cs="Arial"/>
          <w:color w:val="222222"/>
          <w:sz w:val="24"/>
          <w:szCs w:val="24"/>
        </w:rPr>
        <w:t xml:space="preserve"> </w:t>
      </w:r>
      <w:r w:rsidRPr="00FE749F">
        <w:rPr>
          <w:rStyle w:val="hps"/>
          <w:rFonts w:ascii="Arial" w:hAnsi="Arial" w:cs="Arial"/>
          <w:color w:val="222222"/>
          <w:sz w:val="24"/>
          <w:szCs w:val="24"/>
        </w:rPr>
        <w:t>este previzionat să</w:t>
      </w:r>
      <w:r w:rsidRPr="00FE749F">
        <w:rPr>
          <w:rFonts w:ascii="Arial" w:hAnsi="Arial" w:cs="Arial"/>
          <w:color w:val="222222"/>
          <w:sz w:val="24"/>
          <w:szCs w:val="24"/>
        </w:rPr>
        <w:t xml:space="preserve"> </w:t>
      </w:r>
      <w:r w:rsidRPr="00FE749F">
        <w:rPr>
          <w:rStyle w:val="hps"/>
          <w:rFonts w:ascii="Arial" w:hAnsi="Arial" w:cs="Arial"/>
          <w:color w:val="222222"/>
          <w:sz w:val="24"/>
          <w:szCs w:val="24"/>
        </w:rPr>
        <w:t>rămână la</w:t>
      </w:r>
      <w:r w:rsidRPr="00FE749F">
        <w:rPr>
          <w:rFonts w:ascii="Arial" w:hAnsi="Arial" w:cs="Arial"/>
          <w:color w:val="222222"/>
          <w:sz w:val="24"/>
          <w:szCs w:val="24"/>
        </w:rPr>
        <w:t xml:space="preserve"> </w:t>
      </w:r>
      <w:r w:rsidRPr="00FE749F">
        <w:rPr>
          <w:rStyle w:val="hps"/>
          <w:rFonts w:ascii="Arial" w:hAnsi="Arial" w:cs="Arial"/>
          <w:color w:val="222222"/>
          <w:sz w:val="24"/>
          <w:szCs w:val="24"/>
        </w:rPr>
        <w:t>aproximativ 22%</w:t>
      </w:r>
      <w:r w:rsidRPr="00FE749F">
        <w:rPr>
          <w:rFonts w:ascii="Arial" w:hAnsi="Arial" w:cs="Arial"/>
          <w:color w:val="222222"/>
          <w:sz w:val="24"/>
          <w:szCs w:val="24"/>
        </w:rPr>
        <w:t xml:space="preserve"> </w:t>
      </w:r>
      <w:r w:rsidRPr="00FE749F">
        <w:rPr>
          <w:rStyle w:val="hps"/>
          <w:rFonts w:ascii="Arial" w:hAnsi="Arial" w:cs="Arial"/>
          <w:color w:val="222222"/>
          <w:sz w:val="24"/>
          <w:szCs w:val="24"/>
        </w:rPr>
        <w:t>în anul 2025</w:t>
      </w:r>
      <w:r w:rsidRPr="00FE749F">
        <w:rPr>
          <w:rFonts w:ascii="Arial" w:hAnsi="Arial" w:cs="Arial"/>
          <w:color w:val="222222"/>
          <w:sz w:val="24"/>
          <w:szCs w:val="24"/>
        </w:rPr>
        <w:t xml:space="preserve">. </w:t>
      </w:r>
      <w:r w:rsidRPr="00FE749F">
        <w:rPr>
          <w:rStyle w:val="hps"/>
          <w:rFonts w:ascii="Arial" w:hAnsi="Arial" w:cs="Arial"/>
          <w:color w:val="222222"/>
          <w:sz w:val="24"/>
          <w:szCs w:val="24"/>
        </w:rPr>
        <w:t>Conform previziunilor</w:t>
      </w:r>
      <w:r w:rsidRPr="00FE749F">
        <w:rPr>
          <w:rFonts w:ascii="Arial" w:hAnsi="Arial" w:cs="Arial"/>
          <w:color w:val="222222"/>
          <w:sz w:val="24"/>
          <w:szCs w:val="24"/>
        </w:rPr>
        <w:t xml:space="preserve"> </w:t>
      </w:r>
      <w:r w:rsidRPr="00FE749F">
        <w:rPr>
          <w:rStyle w:val="hps"/>
          <w:rFonts w:ascii="Arial" w:hAnsi="Arial" w:cs="Arial"/>
          <w:color w:val="222222"/>
          <w:sz w:val="24"/>
          <w:szCs w:val="24"/>
        </w:rPr>
        <w:t>CEDEFOP</w:t>
      </w:r>
      <w:r w:rsidRPr="00FE749F">
        <w:rPr>
          <w:rFonts w:ascii="Arial" w:hAnsi="Arial" w:cs="Arial"/>
          <w:color w:val="222222"/>
          <w:sz w:val="24"/>
          <w:szCs w:val="24"/>
        </w:rPr>
        <w:t xml:space="preserve">, </w:t>
      </w:r>
      <w:r w:rsidRPr="00FE749F">
        <w:rPr>
          <w:rStyle w:val="hps"/>
          <w:rFonts w:ascii="Arial" w:hAnsi="Arial" w:cs="Arial"/>
          <w:color w:val="222222"/>
          <w:sz w:val="24"/>
          <w:szCs w:val="24"/>
        </w:rPr>
        <w:t>până în 2020</w:t>
      </w:r>
      <w:r w:rsidRPr="00FE749F">
        <w:rPr>
          <w:rFonts w:ascii="Arial" w:hAnsi="Arial" w:cs="Arial"/>
          <w:color w:val="222222"/>
          <w:sz w:val="24"/>
          <w:szCs w:val="24"/>
        </w:rPr>
        <w:t xml:space="preserve">, </w:t>
      </w:r>
      <w:r w:rsidRPr="00FE749F">
        <w:rPr>
          <w:rStyle w:val="hps"/>
          <w:rFonts w:ascii="Arial" w:hAnsi="Arial" w:cs="Arial"/>
          <w:color w:val="222222"/>
          <w:sz w:val="24"/>
          <w:szCs w:val="24"/>
        </w:rPr>
        <w:t>în România</w:t>
      </w:r>
      <w:r w:rsidRPr="00FE749F">
        <w:rPr>
          <w:rFonts w:ascii="Arial" w:hAnsi="Arial" w:cs="Arial"/>
          <w:color w:val="222222"/>
          <w:sz w:val="24"/>
          <w:szCs w:val="24"/>
        </w:rPr>
        <w:t xml:space="preserve">, </w:t>
      </w:r>
      <w:r w:rsidRPr="00FE749F">
        <w:rPr>
          <w:rStyle w:val="hps"/>
          <w:rFonts w:ascii="Arial" w:hAnsi="Arial" w:cs="Arial"/>
          <w:color w:val="222222"/>
          <w:sz w:val="24"/>
          <w:szCs w:val="24"/>
        </w:rPr>
        <w:t>în jur</w:t>
      </w:r>
      <w:r w:rsidRPr="00FE749F">
        <w:rPr>
          <w:rFonts w:ascii="Arial" w:hAnsi="Arial" w:cs="Arial"/>
          <w:color w:val="222222"/>
          <w:sz w:val="24"/>
          <w:szCs w:val="24"/>
        </w:rPr>
        <w:t xml:space="preserve"> </w:t>
      </w:r>
      <w:r w:rsidRPr="00FE749F">
        <w:rPr>
          <w:rStyle w:val="hps"/>
          <w:rFonts w:ascii="Arial" w:hAnsi="Arial" w:cs="Arial"/>
          <w:color w:val="222222"/>
          <w:sz w:val="24"/>
          <w:szCs w:val="24"/>
        </w:rPr>
        <w:t>de 50</w:t>
      </w:r>
      <w:r w:rsidRPr="00FE749F">
        <w:rPr>
          <w:rFonts w:ascii="Arial" w:hAnsi="Arial" w:cs="Arial"/>
          <w:color w:val="222222"/>
          <w:sz w:val="24"/>
          <w:szCs w:val="24"/>
        </w:rPr>
        <w:t xml:space="preserve">% </w:t>
      </w:r>
      <w:r w:rsidRPr="00FE749F">
        <w:rPr>
          <w:rStyle w:val="hps"/>
          <w:rFonts w:ascii="Arial" w:hAnsi="Arial" w:cs="Arial"/>
          <w:color w:val="222222"/>
          <w:sz w:val="24"/>
          <w:szCs w:val="24"/>
        </w:rPr>
        <w:t>din forţa de muncă cu vârsta cuprinsă între 30 şi</w:t>
      </w:r>
      <w:r w:rsidRPr="00FE749F">
        <w:rPr>
          <w:rFonts w:ascii="Arial" w:hAnsi="Arial" w:cs="Arial"/>
          <w:color w:val="222222"/>
          <w:sz w:val="24"/>
          <w:szCs w:val="24"/>
        </w:rPr>
        <w:t xml:space="preserve"> </w:t>
      </w:r>
      <w:r w:rsidRPr="00FE749F">
        <w:rPr>
          <w:rStyle w:val="hps"/>
          <w:rFonts w:ascii="Arial" w:hAnsi="Arial" w:cs="Arial"/>
          <w:color w:val="222222"/>
          <w:sz w:val="24"/>
          <w:szCs w:val="24"/>
        </w:rPr>
        <w:t>34 de</w:t>
      </w:r>
      <w:r w:rsidRPr="00FE749F">
        <w:rPr>
          <w:rFonts w:ascii="Arial" w:hAnsi="Arial" w:cs="Arial"/>
          <w:color w:val="222222"/>
          <w:sz w:val="24"/>
          <w:szCs w:val="24"/>
        </w:rPr>
        <w:t xml:space="preserve"> </w:t>
      </w:r>
      <w:r w:rsidRPr="00FE749F">
        <w:rPr>
          <w:rStyle w:val="hps"/>
          <w:rFonts w:ascii="Arial" w:hAnsi="Arial" w:cs="Arial"/>
          <w:color w:val="222222"/>
          <w:sz w:val="24"/>
          <w:szCs w:val="24"/>
        </w:rPr>
        <w:t>ani va</w:t>
      </w:r>
      <w:r w:rsidRPr="00FE749F">
        <w:rPr>
          <w:rFonts w:ascii="Arial" w:hAnsi="Arial" w:cs="Arial"/>
          <w:color w:val="222222"/>
          <w:sz w:val="24"/>
          <w:szCs w:val="24"/>
        </w:rPr>
        <w:t xml:space="preserve"> </w:t>
      </w:r>
      <w:r w:rsidRPr="00FE749F">
        <w:rPr>
          <w:rStyle w:val="hps"/>
          <w:rFonts w:ascii="Arial" w:hAnsi="Arial" w:cs="Arial"/>
          <w:color w:val="222222"/>
          <w:sz w:val="24"/>
          <w:szCs w:val="24"/>
        </w:rPr>
        <w:t>avea</w:t>
      </w:r>
      <w:r w:rsidRPr="00FE749F">
        <w:rPr>
          <w:rFonts w:ascii="Arial" w:hAnsi="Arial" w:cs="Arial"/>
          <w:color w:val="222222"/>
          <w:sz w:val="24"/>
          <w:szCs w:val="24"/>
        </w:rPr>
        <w:t xml:space="preserve"> </w:t>
      </w:r>
      <w:r w:rsidRPr="00FE749F">
        <w:rPr>
          <w:rStyle w:val="hps"/>
          <w:rFonts w:ascii="Arial" w:hAnsi="Arial" w:cs="Arial"/>
          <w:color w:val="222222"/>
          <w:sz w:val="24"/>
          <w:szCs w:val="24"/>
        </w:rPr>
        <w:t>calificări înalte</w:t>
      </w:r>
      <w:r w:rsidRPr="00FE749F">
        <w:rPr>
          <w:rFonts w:ascii="Arial" w:hAnsi="Arial" w:cs="Arial"/>
          <w:color w:val="222222"/>
          <w:sz w:val="24"/>
          <w:szCs w:val="24"/>
        </w:rPr>
        <w:t xml:space="preserve">, valoare superioară </w:t>
      </w:r>
      <w:r w:rsidRPr="00FE749F">
        <w:rPr>
          <w:rFonts w:ascii="Arial" w:hAnsi="Arial" w:cs="Arial"/>
          <w:color w:val="222222"/>
          <w:sz w:val="24"/>
          <w:szCs w:val="24"/>
        </w:rPr>
        <w:lastRenderedPageBreak/>
        <w:t xml:space="preserve">ţintei UE 28 </w:t>
      </w:r>
      <w:r w:rsidRPr="00FE749F">
        <w:rPr>
          <w:rStyle w:val="hps"/>
          <w:rFonts w:ascii="Arial" w:hAnsi="Arial" w:cs="Arial"/>
          <w:color w:val="222222"/>
          <w:sz w:val="24"/>
          <w:szCs w:val="24"/>
        </w:rPr>
        <w:t>de</w:t>
      </w:r>
      <w:r w:rsidRPr="00FE749F">
        <w:rPr>
          <w:rFonts w:ascii="Arial" w:hAnsi="Arial" w:cs="Arial"/>
          <w:color w:val="222222"/>
          <w:sz w:val="24"/>
          <w:szCs w:val="24"/>
        </w:rPr>
        <w:t xml:space="preserve"> </w:t>
      </w:r>
      <w:r w:rsidRPr="00FE749F">
        <w:rPr>
          <w:rStyle w:val="hps"/>
          <w:rFonts w:ascii="Arial" w:hAnsi="Arial" w:cs="Arial"/>
          <w:color w:val="222222"/>
          <w:sz w:val="24"/>
          <w:szCs w:val="24"/>
        </w:rPr>
        <w:t>40</w:t>
      </w:r>
      <w:r w:rsidRPr="00FE749F">
        <w:rPr>
          <w:rFonts w:ascii="Arial" w:hAnsi="Arial" w:cs="Arial"/>
          <w:color w:val="222222"/>
          <w:sz w:val="24"/>
          <w:szCs w:val="24"/>
        </w:rPr>
        <w:t xml:space="preserve">%. </w:t>
      </w:r>
      <w:r w:rsidRPr="00FE749F">
        <w:rPr>
          <w:rStyle w:val="hps"/>
          <w:rFonts w:ascii="Arial" w:hAnsi="Arial" w:cs="Arial"/>
          <w:color w:val="222222"/>
          <w:sz w:val="24"/>
          <w:szCs w:val="24"/>
        </w:rPr>
        <w:t>Pe baza tendințelor actuale</w:t>
      </w:r>
      <w:r w:rsidRPr="00FE749F">
        <w:rPr>
          <w:rFonts w:ascii="Arial" w:hAnsi="Arial" w:cs="Arial"/>
          <w:color w:val="222222"/>
          <w:sz w:val="24"/>
          <w:szCs w:val="24"/>
        </w:rPr>
        <w:t xml:space="preserve"> </w:t>
      </w:r>
      <w:r w:rsidRPr="00FE749F">
        <w:rPr>
          <w:rStyle w:val="hps"/>
          <w:rFonts w:ascii="Arial" w:hAnsi="Arial" w:cs="Arial"/>
          <w:color w:val="222222"/>
          <w:sz w:val="24"/>
          <w:szCs w:val="24"/>
        </w:rPr>
        <w:t>în jur</w:t>
      </w:r>
      <w:r w:rsidRPr="00FE749F">
        <w:rPr>
          <w:rFonts w:ascii="Arial" w:hAnsi="Arial" w:cs="Arial"/>
          <w:color w:val="222222"/>
          <w:sz w:val="24"/>
          <w:szCs w:val="24"/>
        </w:rPr>
        <w:t xml:space="preserve"> </w:t>
      </w:r>
      <w:r w:rsidRPr="00FE749F">
        <w:rPr>
          <w:rStyle w:val="hps"/>
          <w:rFonts w:ascii="Arial" w:hAnsi="Arial" w:cs="Arial"/>
          <w:color w:val="222222"/>
          <w:sz w:val="24"/>
          <w:szCs w:val="24"/>
        </w:rPr>
        <w:t>de 60</w:t>
      </w:r>
      <w:r w:rsidRPr="00FE749F">
        <w:rPr>
          <w:rFonts w:ascii="Arial" w:hAnsi="Arial" w:cs="Arial"/>
          <w:color w:val="222222"/>
          <w:sz w:val="24"/>
          <w:szCs w:val="24"/>
        </w:rPr>
        <w:t xml:space="preserve">% din forţa de muncă cu vârsta cuprinsă între </w:t>
      </w:r>
      <w:r w:rsidRPr="00FE749F">
        <w:rPr>
          <w:rStyle w:val="hps"/>
          <w:rFonts w:ascii="Arial" w:hAnsi="Arial" w:cs="Arial"/>
          <w:color w:val="222222"/>
          <w:sz w:val="24"/>
          <w:szCs w:val="24"/>
        </w:rPr>
        <w:t>30 şi</w:t>
      </w:r>
      <w:r w:rsidRPr="00FE749F">
        <w:rPr>
          <w:rFonts w:ascii="Arial" w:hAnsi="Arial" w:cs="Arial"/>
          <w:color w:val="222222"/>
          <w:sz w:val="24"/>
          <w:szCs w:val="24"/>
        </w:rPr>
        <w:t xml:space="preserve"> </w:t>
      </w:r>
      <w:r w:rsidRPr="00FE749F">
        <w:rPr>
          <w:rStyle w:val="hps"/>
          <w:rFonts w:ascii="Arial" w:hAnsi="Arial" w:cs="Arial"/>
          <w:color w:val="222222"/>
          <w:sz w:val="24"/>
          <w:szCs w:val="24"/>
        </w:rPr>
        <w:t>34 de</w:t>
      </w:r>
      <w:r w:rsidRPr="00FE749F">
        <w:rPr>
          <w:rFonts w:ascii="Arial" w:hAnsi="Arial" w:cs="Arial"/>
          <w:color w:val="222222"/>
          <w:sz w:val="24"/>
          <w:szCs w:val="24"/>
        </w:rPr>
        <w:t xml:space="preserve"> </w:t>
      </w:r>
      <w:r w:rsidRPr="00FE749F">
        <w:rPr>
          <w:rStyle w:val="hps"/>
          <w:rFonts w:ascii="Arial" w:hAnsi="Arial" w:cs="Arial"/>
          <w:color w:val="222222"/>
          <w:sz w:val="24"/>
          <w:szCs w:val="24"/>
        </w:rPr>
        <w:t>ani</w:t>
      </w:r>
      <w:r w:rsidRPr="00FE749F">
        <w:rPr>
          <w:rFonts w:ascii="Arial" w:hAnsi="Arial" w:cs="Arial"/>
          <w:color w:val="222222"/>
          <w:sz w:val="24"/>
          <w:szCs w:val="24"/>
        </w:rPr>
        <w:t xml:space="preserve"> </w:t>
      </w:r>
      <w:r w:rsidRPr="00FE749F">
        <w:rPr>
          <w:rStyle w:val="hps"/>
          <w:rFonts w:ascii="Arial" w:hAnsi="Arial" w:cs="Arial"/>
          <w:color w:val="222222"/>
          <w:sz w:val="24"/>
          <w:szCs w:val="24"/>
        </w:rPr>
        <w:t>în România va</w:t>
      </w:r>
      <w:r w:rsidRPr="00FE749F">
        <w:rPr>
          <w:rFonts w:ascii="Arial" w:hAnsi="Arial" w:cs="Arial"/>
          <w:color w:val="222222"/>
          <w:sz w:val="24"/>
          <w:szCs w:val="24"/>
        </w:rPr>
        <w:t xml:space="preserve"> </w:t>
      </w:r>
      <w:r w:rsidRPr="00FE749F">
        <w:rPr>
          <w:rStyle w:val="hps"/>
          <w:rFonts w:ascii="Arial" w:hAnsi="Arial" w:cs="Arial"/>
          <w:color w:val="222222"/>
          <w:sz w:val="24"/>
          <w:szCs w:val="24"/>
        </w:rPr>
        <w:t>avea</w:t>
      </w:r>
      <w:r w:rsidRPr="00FE749F">
        <w:rPr>
          <w:rFonts w:ascii="Arial" w:hAnsi="Arial" w:cs="Arial"/>
          <w:color w:val="222222"/>
          <w:sz w:val="24"/>
          <w:szCs w:val="24"/>
        </w:rPr>
        <w:t xml:space="preserve"> </w:t>
      </w:r>
      <w:r w:rsidRPr="00FE749F">
        <w:rPr>
          <w:rStyle w:val="hps"/>
          <w:rFonts w:ascii="Arial" w:hAnsi="Arial" w:cs="Arial"/>
          <w:color w:val="222222"/>
          <w:sz w:val="24"/>
          <w:szCs w:val="24"/>
        </w:rPr>
        <w:t>calificări de nivel înalt,</w:t>
      </w:r>
      <w:r w:rsidRPr="00FE749F">
        <w:rPr>
          <w:rFonts w:ascii="Arial" w:hAnsi="Arial" w:cs="Arial"/>
          <w:color w:val="222222"/>
          <w:sz w:val="24"/>
          <w:szCs w:val="24"/>
        </w:rPr>
        <w:t xml:space="preserve"> </w:t>
      </w:r>
      <w:r w:rsidRPr="00FE749F">
        <w:rPr>
          <w:rStyle w:val="hps"/>
          <w:rFonts w:ascii="Arial" w:hAnsi="Arial" w:cs="Arial"/>
          <w:color w:val="222222"/>
          <w:sz w:val="24"/>
          <w:szCs w:val="24"/>
        </w:rPr>
        <w:t>până în 2025</w:t>
      </w:r>
      <w:r w:rsidRPr="00FE749F">
        <w:rPr>
          <w:rFonts w:ascii="Arial" w:hAnsi="Arial" w:cs="Arial"/>
          <w:color w:val="222222"/>
          <w:sz w:val="24"/>
          <w:szCs w:val="24"/>
        </w:rPr>
        <w:t>.</w:t>
      </w:r>
    </w:p>
    <w:p w:rsidR="001937AF" w:rsidRPr="00D7513E" w:rsidRDefault="001937AF" w:rsidP="000C6A67">
      <w:pPr>
        <w:spacing w:after="0" w:line="240" w:lineRule="auto"/>
        <w:jc w:val="both"/>
        <w:rPr>
          <w:rFonts w:ascii="Arial" w:hAnsi="Arial" w:cs="Arial"/>
          <w:bCs/>
          <w:color w:val="C00000"/>
          <w:sz w:val="24"/>
          <w:szCs w:val="24"/>
          <w:lang w:eastAsia="ro-RO"/>
        </w:rPr>
      </w:pPr>
    </w:p>
    <w:p w:rsidR="00224325" w:rsidRPr="00F86F3D" w:rsidRDefault="00AF2F7A" w:rsidP="000C6A67">
      <w:pPr>
        <w:pStyle w:val="Heading3"/>
        <w:spacing w:before="0" w:line="240" w:lineRule="auto"/>
        <w:jc w:val="both"/>
        <w:rPr>
          <w:rFonts w:ascii="Arial" w:hAnsi="Arial" w:cs="Arial"/>
          <w:b w:val="0"/>
          <w:bCs w:val="0"/>
          <w:color w:val="auto"/>
          <w:sz w:val="24"/>
          <w:szCs w:val="24"/>
          <w:lang w:eastAsia="ro-RO"/>
        </w:rPr>
      </w:pPr>
      <w:bookmarkStart w:id="82" w:name="_Toc488066053"/>
      <w:r w:rsidRPr="00A52030">
        <w:rPr>
          <w:rFonts w:ascii="Arial" w:hAnsi="Arial" w:cs="Arial"/>
          <w:b w:val="0"/>
          <w:bCs w:val="0"/>
          <w:color w:val="auto"/>
          <w:sz w:val="24"/>
          <w:szCs w:val="24"/>
          <w:lang w:eastAsia="ro-RO"/>
        </w:rPr>
        <w:t>5</w:t>
      </w:r>
      <w:r w:rsidR="00D45E55" w:rsidRPr="00A52030">
        <w:rPr>
          <w:rFonts w:ascii="Arial" w:hAnsi="Arial" w:cs="Arial"/>
          <w:b w:val="0"/>
          <w:bCs w:val="0"/>
          <w:color w:val="auto"/>
          <w:sz w:val="24"/>
          <w:szCs w:val="24"/>
          <w:lang w:eastAsia="ro-RO"/>
        </w:rPr>
        <w:t>.7.2. Prognoza cererii şi ofertei de locuri de</w:t>
      </w:r>
      <w:r w:rsidRPr="00A52030">
        <w:rPr>
          <w:rFonts w:ascii="Arial" w:hAnsi="Arial" w:cs="Arial"/>
          <w:b w:val="0"/>
          <w:bCs w:val="0"/>
          <w:color w:val="auto"/>
          <w:sz w:val="24"/>
          <w:szCs w:val="24"/>
          <w:lang w:eastAsia="ro-RO"/>
        </w:rPr>
        <w:t xml:space="preserve"> muncă pe termen mediu şi lung  din Studii previzionale naţionale</w:t>
      </w:r>
      <w:bookmarkEnd w:id="82"/>
    </w:p>
    <w:p w:rsidR="00010DF6" w:rsidRDefault="00010DF6" w:rsidP="00010DF6">
      <w:pPr>
        <w:spacing w:after="0"/>
        <w:jc w:val="both"/>
        <w:rPr>
          <w:rFonts w:ascii="Times New Roman" w:hAnsi="Times New Roman"/>
          <w:b/>
          <w:iCs/>
          <w:sz w:val="24"/>
          <w:szCs w:val="24"/>
        </w:rPr>
      </w:pPr>
    </w:p>
    <w:p w:rsidR="00010DF6" w:rsidRPr="004F27C8" w:rsidRDefault="00010DF6" w:rsidP="00010DF6">
      <w:pPr>
        <w:spacing w:after="0"/>
        <w:jc w:val="both"/>
        <w:rPr>
          <w:rFonts w:ascii="Arial" w:hAnsi="Arial" w:cs="Arial"/>
          <w:iCs/>
          <w:sz w:val="24"/>
          <w:szCs w:val="24"/>
        </w:rPr>
      </w:pPr>
      <w:r w:rsidRPr="004F27C8">
        <w:rPr>
          <w:rFonts w:ascii="Arial" w:hAnsi="Arial" w:cs="Arial"/>
          <w:iCs/>
          <w:sz w:val="24"/>
          <w:szCs w:val="24"/>
        </w:rPr>
        <w:t>1.</w:t>
      </w:r>
      <w:r w:rsidRPr="006E7F55">
        <w:rPr>
          <w:rFonts w:ascii="Arial" w:hAnsi="Arial" w:cs="Arial"/>
          <w:b/>
          <w:i/>
          <w:sz w:val="24"/>
          <w:szCs w:val="24"/>
        </w:rPr>
        <w:t xml:space="preserve"> </w:t>
      </w:r>
      <w:r w:rsidR="004F27C8" w:rsidRPr="004F27C8">
        <w:rPr>
          <w:rFonts w:ascii="Arial" w:hAnsi="Arial" w:cs="Arial"/>
          <w:iCs/>
          <w:sz w:val="24"/>
          <w:szCs w:val="24"/>
        </w:rPr>
        <w:t>Metodologie de proiecție</w:t>
      </w:r>
    </w:p>
    <w:p w:rsidR="00010DF6" w:rsidRPr="006E7F55" w:rsidRDefault="00010DF6" w:rsidP="00010DF6">
      <w:pPr>
        <w:spacing w:after="0"/>
        <w:jc w:val="both"/>
        <w:rPr>
          <w:rFonts w:ascii="Arial" w:hAnsi="Arial" w:cs="Arial"/>
          <w:b/>
          <w:i/>
          <w:sz w:val="24"/>
          <w:szCs w:val="24"/>
        </w:rPr>
      </w:pPr>
    </w:p>
    <w:p w:rsidR="00010DF6" w:rsidRPr="006E7F55" w:rsidRDefault="00010DF6" w:rsidP="00010DF6">
      <w:pPr>
        <w:spacing w:after="0"/>
        <w:jc w:val="both"/>
        <w:rPr>
          <w:rFonts w:ascii="Arial" w:hAnsi="Arial" w:cs="Arial"/>
          <w:sz w:val="24"/>
          <w:szCs w:val="24"/>
        </w:rPr>
      </w:pPr>
      <w:r w:rsidRPr="006E7F55">
        <w:rPr>
          <w:rFonts w:ascii="Arial" w:hAnsi="Arial" w:cs="Arial"/>
          <w:b/>
          <w:i/>
          <w:sz w:val="24"/>
          <w:szCs w:val="24"/>
        </w:rPr>
        <w:t>Proiecţia cererii de forţă de muncă și a cererii de formare profesională pe termen mediu şi lung</w:t>
      </w:r>
      <w:r w:rsidRPr="006E7F55">
        <w:rPr>
          <w:rFonts w:ascii="Arial" w:hAnsi="Arial" w:cs="Arial"/>
          <w:sz w:val="24"/>
          <w:szCs w:val="24"/>
        </w:rPr>
        <w:t xml:space="preserve"> a fost realizată, conform metodologiei avizate de Grupul Consultativ constituit în cadrul proiectului. </w:t>
      </w:r>
    </w:p>
    <w:p w:rsidR="00010DF6" w:rsidRPr="006E7F55" w:rsidRDefault="00010DF6" w:rsidP="00010DF6">
      <w:pPr>
        <w:spacing w:after="0"/>
        <w:jc w:val="both"/>
        <w:rPr>
          <w:rFonts w:ascii="Arial" w:hAnsi="Arial" w:cs="Arial"/>
          <w:sz w:val="24"/>
          <w:szCs w:val="24"/>
        </w:rPr>
      </w:pPr>
      <w:r w:rsidRPr="006E7F55">
        <w:rPr>
          <w:rFonts w:ascii="Arial" w:hAnsi="Arial" w:cs="Arial"/>
          <w:sz w:val="24"/>
          <w:szCs w:val="24"/>
        </w:rPr>
        <w:t xml:space="preserve"> Metodologia s-a bazat pe o combinaţie de metode şi tehnici de proiecţie bazate pe modele econometrice de tip panel și metode analitice, deoarece s-a dorit un grad foarte mare de detaliere a rezultatelor estimărilor, în contextul în care nu au existat date statistice relevante la nivelul de dezagregare necesar proiecției.  </w:t>
      </w:r>
    </w:p>
    <w:p w:rsidR="00010DF6" w:rsidRPr="006E7F55" w:rsidRDefault="00010DF6" w:rsidP="00010DF6">
      <w:pPr>
        <w:spacing w:after="0"/>
        <w:jc w:val="both"/>
        <w:rPr>
          <w:rFonts w:ascii="Arial" w:hAnsi="Arial" w:cs="Arial"/>
          <w:sz w:val="24"/>
          <w:szCs w:val="24"/>
        </w:rPr>
      </w:pPr>
      <w:r w:rsidRPr="006E7F55">
        <w:rPr>
          <w:rFonts w:ascii="Arial" w:hAnsi="Arial" w:cs="Arial"/>
          <w:sz w:val="24"/>
          <w:szCs w:val="24"/>
        </w:rPr>
        <w:t xml:space="preserve">Menționăm că metodologia de previzionare este una similară cu cea utilizată de Cambridge Econometrics în modelul de prognoză utilizat de CEDEFOP, dar prezintă unele abordări inovative generate de gradul mult mai mare de detaliere a informațiilor dorite. </w:t>
      </w:r>
    </w:p>
    <w:p w:rsidR="00010DF6" w:rsidRPr="006E7F55" w:rsidRDefault="00010DF6" w:rsidP="00010DF6">
      <w:pPr>
        <w:spacing w:after="0"/>
        <w:jc w:val="both"/>
        <w:rPr>
          <w:rFonts w:ascii="Arial" w:hAnsi="Arial" w:cs="Arial"/>
          <w:sz w:val="24"/>
          <w:szCs w:val="24"/>
        </w:rPr>
      </w:pPr>
      <w:r w:rsidRPr="006E7F55">
        <w:rPr>
          <w:rFonts w:ascii="Arial" w:hAnsi="Arial" w:cs="Arial"/>
          <w:sz w:val="24"/>
          <w:szCs w:val="24"/>
        </w:rPr>
        <w:t xml:space="preserve">În cadrul metodologiei, s-a realizat o proiecție a </w:t>
      </w:r>
      <w:r w:rsidRPr="006E7F55">
        <w:rPr>
          <w:rFonts w:ascii="Arial" w:hAnsi="Arial" w:cs="Arial"/>
          <w:b/>
          <w:sz w:val="24"/>
          <w:szCs w:val="24"/>
        </w:rPr>
        <w:t>cererii potenţiale</w:t>
      </w:r>
      <w:r w:rsidRPr="006E7F55">
        <w:rPr>
          <w:rFonts w:ascii="Arial" w:hAnsi="Arial" w:cs="Arial"/>
          <w:sz w:val="24"/>
          <w:szCs w:val="24"/>
        </w:rPr>
        <w:t xml:space="preserve"> de forţă de muncă (definită ca populația ocupată estimată, rezultată din modelarea econometrică pe date tip panel a dinamicii economice  - descrisă prin indicatori ai investițiilor brute interne și extrene și ai valorii adăugate brute, precum și a ocupării forței de muncă) de-a lungul orizontului de prognoză. Acest nivel al cererii potențiale va fi satisfăcut când numărul persoanelor efectiv ocupate este egal cu nivelul estimat ca necesar de populație ocupată; în celelalte cazuri vom avea un deficit sau un excedent față de necesarul de populație ocupată. Evoluția cererii potențiale prognozate depinde nu numai de evoluțiile economiei, ci și de o multitudine de alți factori (ex. factori demografici, migrație,  potrivirea calitativă între cererea și oferta de forță de muncă etc.). Previziunile privind cererea potențială oferă repere de analiză pentru evoluția structurii cererii pe sectoare de activitate, ocupații, niveluri de calificare, domenii de pregătire profesională. De asemenea, prin dinamica cererii potențiale (ca modificări prognozate în numărul și structura populației ocupate), se oferă indicii privind crearea sau pierderea de locuri de muncă în economie.</w:t>
      </w:r>
    </w:p>
    <w:p w:rsidR="00010DF6" w:rsidRPr="006E7F55" w:rsidRDefault="00010DF6" w:rsidP="00010DF6">
      <w:pPr>
        <w:spacing w:after="0"/>
        <w:jc w:val="both"/>
        <w:rPr>
          <w:rFonts w:ascii="Arial" w:hAnsi="Arial" w:cs="Arial"/>
          <w:sz w:val="24"/>
          <w:szCs w:val="24"/>
        </w:rPr>
      </w:pPr>
      <w:r w:rsidRPr="006E7F55">
        <w:rPr>
          <w:rFonts w:ascii="Arial" w:hAnsi="Arial" w:cs="Arial"/>
          <w:sz w:val="24"/>
          <w:szCs w:val="24"/>
        </w:rPr>
        <w:t xml:space="preserve">A fost estimată și </w:t>
      </w:r>
      <w:r w:rsidRPr="006E7F55">
        <w:rPr>
          <w:rFonts w:ascii="Arial" w:hAnsi="Arial" w:cs="Arial"/>
          <w:b/>
          <w:sz w:val="24"/>
          <w:szCs w:val="24"/>
        </w:rPr>
        <w:t>cererea înlocuită</w:t>
      </w:r>
      <w:r w:rsidRPr="006E7F55">
        <w:rPr>
          <w:rFonts w:ascii="Arial" w:hAnsi="Arial" w:cs="Arial"/>
          <w:sz w:val="24"/>
          <w:szCs w:val="24"/>
        </w:rPr>
        <w:t xml:space="preserve"> pentru orizontul de prognoză (definită ca număr de locuri de muncă rezultate din retragerea participanţilor la activitatea economică ca urmare a pensionărilor și a altor pierderi naturale). Este de menționat că valorile acestui indicator au fost calculate pe baza datelor disponibile care descriu evoluții anterioare ale unor structuri economice cu privire la populația ocupată și ieșirile din activitatea economică prin pensionare. În plus, lipsa informațiilor detaliate cu privire la structura pe vârste a populației ocupate a făcut ca estimarea să fie făcută pe grupe de vârstă și în ipoteze care induc un anume grad de eroare al estimării. Prin urmare, aceste estimări trebuie privite cu rezerve. </w:t>
      </w: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 xml:space="preserve">Pentru ocupațiile din subgrupa </w:t>
      </w:r>
      <w:r w:rsidRPr="006E7F55">
        <w:rPr>
          <w:rFonts w:ascii="Arial" w:hAnsi="Arial" w:cs="Arial"/>
          <w:i/>
          <w:sz w:val="24"/>
          <w:szCs w:val="24"/>
        </w:rPr>
        <w:t>agricultori și lucrători calificați în agricultură</w:t>
      </w:r>
      <w:r w:rsidRPr="006E7F55">
        <w:rPr>
          <w:rFonts w:ascii="Arial" w:hAnsi="Arial" w:cs="Arial"/>
          <w:sz w:val="24"/>
          <w:szCs w:val="24"/>
        </w:rPr>
        <w:t xml:space="preserve">, în estimarea valorilor cererii înlocuite s-a luat în considerare numai populația salariată </w:t>
      </w:r>
      <w:r w:rsidRPr="006E7F55">
        <w:rPr>
          <w:rFonts w:ascii="Arial" w:hAnsi="Arial" w:cs="Arial"/>
          <w:sz w:val="24"/>
          <w:szCs w:val="24"/>
        </w:rPr>
        <w:lastRenderedPageBreak/>
        <w:t>nu și alte categorii ale populației ocupate în această activitate (ca de exemplu lucrători familiali neremunerați). Prin această corecție s-a dorit să se evite inducerea unor concluzii eronate bazate pe o falsă cerere de înlocuire a unui număr disproporționat de mare de persoane în vârstă, ocupate în agricultura de subzistență</w:t>
      </w:r>
      <w:r w:rsidRPr="006E7F55">
        <w:rPr>
          <w:rStyle w:val="FootnoteReference"/>
          <w:rFonts w:ascii="Arial" w:hAnsi="Arial" w:cs="Arial"/>
          <w:sz w:val="24"/>
          <w:szCs w:val="24"/>
        </w:rPr>
        <w:footnoteReference w:id="44"/>
      </w:r>
      <w:r w:rsidRPr="006E7F55">
        <w:rPr>
          <w:rFonts w:ascii="Arial" w:hAnsi="Arial" w:cs="Arial"/>
          <w:sz w:val="24"/>
          <w:szCs w:val="24"/>
        </w:rPr>
        <w:t>. Pe de altă parte, nu trebuie neglijat potențialul acestui sector, care reclamă ca o parte din forța de muncă îmbătrânită care se va retrage din agricultura de subzistență să fie înlocuită de tineri fermieri pregătiți pentru o agricultură competitivă.</w:t>
      </w: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 xml:space="preserve">Din însumarea algebrică dintre modificarea cererii potențiale de forță de muncă față de începutul intervalului analizat  și cererea înlocuită s-a estimat indicatorul </w:t>
      </w:r>
      <w:r w:rsidRPr="006E7F55">
        <w:rPr>
          <w:rFonts w:ascii="Arial" w:hAnsi="Arial" w:cs="Arial"/>
          <w:b/>
          <w:sz w:val="24"/>
          <w:szCs w:val="24"/>
        </w:rPr>
        <w:t>locuri de muncă disponibile</w:t>
      </w:r>
      <w:r w:rsidRPr="006E7F55">
        <w:rPr>
          <w:rFonts w:ascii="Arial" w:hAnsi="Arial" w:cs="Arial"/>
          <w:sz w:val="24"/>
          <w:szCs w:val="24"/>
        </w:rPr>
        <w:t xml:space="preserve">. Acest indicator poate lua valori pozitive dacă în cadrul intervalului analizat populația ocupată este în creștere sau dacă se prognozează o scădere a populției ocupate dar scăderea este mai mică în valoare absolută decât nivelul cererii înlocuite. </w:t>
      </w: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Menționăm încă de la început că în ciuda utilizării unor instrumente științifice de prognozare de către un grup de cercetători experimentați în tehnici de prognoză a ocupării, rezultatele sunt afectate într-o măsură importantă de lipsa informațiilor statistice detaliate la nivel local și în structura solicitată de proiect, atât din punct de vedere al conținutului  (ex. intersecția ocupării pe diviziuni economice, subgrupe majore de ocupații și domenii de pregătire profesională), cât și al continuității în timp. În plus, a trebuit să se țină seama de schimbările metodologice induse de schimbările de clasificări (ca de ex. din CAEN Rev. 1 în CAEN Rev 2 și din COR 2003 în COR 2011) și de lungimea redusă a seriilor de timp utilizate în modelarea econometrică.</w:t>
      </w: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Facem referire și la faptul că actuala criză economică mondială a generat fenomene economice a căror implicații nu au putut fi luate în considerare ca urmare a lipsei de informații la momentul efectuării primelor calcule de prognoză. Alte fenomene au generat efecte care se manifestă cu un decalaj de timp, multe dintre acestea nu s-au produs încă, fapt care schimbă major abordarea problemelor și soluțiile. În acest context extrem de greu de definit ca dinamică este riscantă orice încercare de prognozare a unor evoluții chiar și pe termen scurt.</w:t>
      </w: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Cu toate acestea, demersul nostru are rolul de a ghida decizia într-un domeniu extrem de important și de a pune la dispoziția decidenților instrumente de analiză și prognoză verificate metodologic.</w:t>
      </w: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Principalii pași metodologici descriși sumar au fost următorii (a se vedea anexa nr.1 pentru o descriere detaliată):</w:t>
      </w:r>
    </w:p>
    <w:p w:rsidR="00010DF6" w:rsidRPr="006E7F55" w:rsidRDefault="00010DF6" w:rsidP="00010DF6">
      <w:pPr>
        <w:ind w:left="851"/>
        <w:contextualSpacing/>
        <w:jc w:val="both"/>
        <w:rPr>
          <w:rFonts w:ascii="Arial" w:hAnsi="Arial" w:cs="Arial"/>
          <w:sz w:val="24"/>
          <w:szCs w:val="24"/>
        </w:rPr>
      </w:pPr>
      <w:r w:rsidRPr="006E7F55">
        <w:rPr>
          <w:rFonts w:ascii="Arial" w:hAnsi="Arial" w:cs="Arial"/>
          <w:sz w:val="24"/>
          <w:szCs w:val="24"/>
        </w:rPr>
        <w:t>1. Construirea bazei de proiecţie. Colectarea datelor necesare estimării econometrice. Prelucrarea preliminară a datelor necesare estimării econometrice</w:t>
      </w:r>
    </w:p>
    <w:p w:rsidR="00010DF6" w:rsidRPr="006E7F55" w:rsidRDefault="00010DF6" w:rsidP="00010DF6">
      <w:pPr>
        <w:ind w:left="851"/>
        <w:contextualSpacing/>
        <w:jc w:val="both"/>
        <w:rPr>
          <w:rFonts w:ascii="Arial" w:hAnsi="Arial" w:cs="Arial"/>
          <w:sz w:val="24"/>
          <w:szCs w:val="24"/>
          <w:lang w:eastAsia="ro-RO"/>
        </w:rPr>
      </w:pPr>
      <w:r w:rsidRPr="006E7F55">
        <w:rPr>
          <w:rFonts w:ascii="Arial" w:hAnsi="Arial" w:cs="Arial"/>
          <w:sz w:val="24"/>
          <w:szCs w:val="24"/>
          <w:lang w:eastAsia="ro-RO"/>
        </w:rPr>
        <w:lastRenderedPageBreak/>
        <w:t>2. Proiectarea modelului econometric macroeconomic pentru estimarea cererii potenţiale de forţă de muncă la nivel naţional</w:t>
      </w:r>
    </w:p>
    <w:p w:rsidR="00010DF6" w:rsidRPr="006E7F55" w:rsidRDefault="00010DF6" w:rsidP="00010DF6">
      <w:pPr>
        <w:ind w:left="851"/>
        <w:contextualSpacing/>
        <w:jc w:val="both"/>
        <w:rPr>
          <w:rFonts w:ascii="Arial" w:hAnsi="Arial" w:cs="Arial"/>
          <w:sz w:val="24"/>
          <w:szCs w:val="24"/>
        </w:rPr>
      </w:pPr>
      <w:r w:rsidRPr="006E7F55">
        <w:rPr>
          <w:rFonts w:ascii="Arial" w:hAnsi="Arial" w:cs="Arial"/>
          <w:sz w:val="24"/>
          <w:szCs w:val="24"/>
        </w:rPr>
        <w:t xml:space="preserve">3. Testarea modelului econometric macroeconomic pe date panel pentru estimarea cererii potenţiale de forţă de muncă la nivel naţional </w:t>
      </w:r>
    </w:p>
    <w:p w:rsidR="00010DF6" w:rsidRPr="006E7F55" w:rsidRDefault="00010DF6" w:rsidP="00010DF6">
      <w:pPr>
        <w:ind w:left="851"/>
        <w:contextualSpacing/>
        <w:jc w:val="both"/>
        <w:rPr>
          <w:rFonts w:ascii="Arial" w:hAnsi="Arial" w:cs="Arial"/>
          <w:sz w:val="24"/>
          <w:szCs w:val="24"/>
        </w:rPr>
      </w:pPr>
      <w:r w:rsidRPr="006E7F55">
        <w:rPr>
          <w:rFonts w:ascii="Arial" w:hAnsi="Arial" w:cs="Arial"/>
          <w:sz w:val="24"/>
          <w:szCs w:val="24"/>
        </w:rPr>
        <w:t>4. Formularea scenariilor de evoluţie a variabilelor explicative cu scopul prognozei cererii potenţiale de forţă de muncă la nivel naţional la orizontul anului 2020.</w:t>
      </w:r>
    </w:p>
    <w:p w:rsidR="00010DF6" w:rsidRPr="006E7F55" w:rsidRDefault="00010DF6" w:rsidP="00010DF6">
      <w:pPr>
        <w:contextualSpacing/>
        <w:rPr>
          <w:rFonts w:ascii="Arial" w:hAnsi="Arial" w:cs="Arial"/>
          <w:sz w:val="24"/>
          <w:szCs w:val="24"/>
        </w:rPr>
      </w:pP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 xml:space="preserve">În vederea formulării scenariilor de evoluție s-au avut în vedere trei tipuri de scenarii de evoluţie a variabilelor ce au fost incluse în model şi care au dovedit că exercită influenţe semnificative asupra populaţiei ocupate la nivel naţional. </w:t>
      </w:r>
    </w:p>
    <w:p w:rsidR="00010DF6" w:rsidRPr="006E7F55" w:rsidRDefault="00010DF6" w:rsidP="00445724">
      <w:pPr>
        <w:numPr>
          <w:ilvl w:val="0"/>
          <w:numId w:val="41"/>
        </w:numPr>
        <w:spacing w:after="0"/>
        <w:ind w:left="0" w:firstLine="0"/>
        <w:contextualSpacing/>
        <w:jc w:val="both"/>
        <w:rPr>
          <w:rFonts w:ascii="Arial" w:hAnsi="Arial" w:cs="Arial"/>
          <w:sz w:val="24"/>
          <w:szCs w:val="24"/>
        </w:rPr>
      </w:pPr>
      <w:r w:rsidRPr="004F27C8">
        <w:rPr>
          <w:rFonts w:ascii="Arial" w:hAnsi="Arial" w:cs="Arial"/>
          <w:b/>
          <w:sz w:val="24"/>
          <w:szCs w:val="24"/>
        </w:rPr>
        <w:t>Scenariul MODERAT</w:t>
      </w:r>
      <w:r w:rsidRPr="006E7F55">
        <w:rPr>
          <w:rFonts w:ascii="Arial" w:hAnsi="Arial" w:cs="Arial"/>
          <w:sz w:val="24"/>
          <w:szCs w:val="24"/>
        </w:rPr>
        <w:t xml:space="preserve"> a fost construit pe baza următoarelor ipoteze:</w:t>
      </w: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 xml:space="preserve">        - evoluţia valorii adăugate brute (</w:t>
      </w:r>
      <w:r w:rsidRPr="006E7F55">
        <w:rPr>
          <w:rFonts w:ascii="Arial" w:hAnsi="Arial" w:cs="Arial"/>
          <w:i/>
          <w:sz w:val="24"/>
          <w:szCs w:val="24"/>
        </w:rPr>
        <w:t xml:space="preserve">VAB) </w:t>
      </w:r>
      <w:r w:rsidRPr="006E7F55">
        <w:rPr>
          <w:rFonts w:ascii="Arial" w:hAnsi="Arial" w:cs="Arial"/>
          <w:sz w:val="24"/>
          <w:szCs w:val="24"/>
        </w:rPr>
        <w:t>conform prognozelor Comisiei Naţionale de Prognoză (Prognoza de primăvară 2011) pentru perioada 2011-2013, conform tabelului de mai jos:</w:t>
      </w:r>
    </w:p>
    <w:p w:rsidR="00010DF6" w:rsidRPr="006E7F55" w:rsidRDefault="00010DF6" w:rsidP="00010DF6">
      <w:pPr>
        <w:spacing w:after="0"/>
        <w:contextualSpacing/>
        <w:jc w:val="both"/>
        <w:rPr>
          <w:rFonts w:ascii="Arial" w:hAnsi="Arial" w:cs="Arial"/>
          <w:sz w:val="24"/>
          <w:szCs w:val="24"/>
        </w:rPr>
      </w:pPr>
    </w:p>
    <w:tbl>
      <w:tblPr>
        <w:tblW w:w="61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7"/>
        <w:gridCol w:w="976"/>
        <w:gridCol w:w="976"/>
        <w:gridCol w:w="976"/>
        <w:gridCol w:w="976"/>
        <w:gridCol w:w="976"/>
      </w:tblGrid>
      <w:tr w:rsidR="00010DF6" w:rsidRPr="006E7F55" w:rsidTr="00010DF6">
        <w:trPr>
          <w:trHeight w:val="510"/>
          <w:jc w:val="center"/>
        </w:trPr>
        <w:tc>
          <w:tcPr>
            <w:tcW w:w="1230" w:type="dxa"/>
            <w:shd w:val="clear" w:color="auto" w:fill="auto"/>
            <w:noWrap/>
            <w:vAlign w:val="bottom"/>
          </w:tcPr>
          <w:p w:rsidR="00010DF6" w:rsidRPr="006E7F55" w:rsidRDefault="00010DF6" w:rsidP="00BD0C6B">
            <w:pPr>
              <w:spacing w:after="0"/>
              <w:rPr>
                <w:rFonts w:ascii="Arial" w:eastAsia="Times New Roman" w:hAnsi="Arial" w:cs="Arial"/>
                <w:color w:val="000000"/>
                <w:sz w:val="24"/>
                <w:szCs w:val="24"/>
                <w:lang w:eastAsia="ro-RO"/>
              </w:rPr>
            </w:pPr>
          </w:p>
        </w:tc>
        <w:tc>
          <w:tcPr>
            <w:tcW w:w="976" w:type="dxa"/>
            <w:shd w:val="clear" w:color="auto" w:fill="EEECE1"/>
            <w:noWrap/>
            <w:vAlign w:val="center"/>
          </w:tcPr>
          <w:p w:rsidR="00010DF6" w:rsidRPr="006E7F55" w:rsidRDefault="00010DF6" w:rsidP="00BD0C6B">
            <w:pPr>
              <w:spacing w:after="0"/>
              <w:jc w:val="center"/>
              <w:rPr>
                <w:rFonts w:ascii="Arial" w:eastAsia="Times New Roman" w:hAnsi="Arial" w:cs="Arial"/>
                <w:b/>
                <w:bCs/>
                <w:color w:val="000000"/>
                <w:sz w:val="24"/>
                <w:szCs w:val="24"/>
                <w:lang w:eastAsia="ro-RO"/>
              </w:rPr>
            </w:pPr>
            <w:r w:rsidRPr="006E7F55">
              <w:rPr>
                <w:rFonts w:ascii="Arial" w:eastAsia="Times New Roman" w:hAnsi="Arial" w:cs="Arial"/>
                <w:b/>
                <w:bCs/>
                <w:color w:val="000000"/>
                <w:sz w:val="24"/>
                <w:szCs w:val="24"/>
                <w:lang w:eastAsia="ro-RO"/>
              </w:rPr>
              <w:t>2009</w:t>
            </w:r>
          </w:p>
        </w:tc>
        <w:tc>
          <w:tcPr>
            <w:tcW w:w="976" w:type="dxa"/>
            <w:shd w:val="clear" w:color="auto" w:fill="EEECE1"/>
            <w:noWrap/>
            <w:vAlign w:val="center"/>
          </w:tcPr>
          <w:p w:rsidR="00010DF6" w:rsidRPr="006E7F55" w:rsidRDefault="00010DF6" w:rsidP="00BD0C6B">
            <w:pPr>
              <w:spacing w:after="0"/>
              <w:jc w:val="center"/>
              <w:rPr>
                <w:rFonts w:ascii="Arial" w:eastAsia="Times New Roman" w:hAnsi="Arial" w:cs="Arial"/>
                <w:b/>
                <w:bCs/>
                <w:color w:val="000000"/>
                <w:sz w:val="24"/>
                <w:szCs w:val="24"/>
                <w:lang w:eastAsia="ro-RO"/>
              </w:rPr>
            </w:pPr>
            <w:r w:rsidRPr="006E7F55">
              <w:rPr>
                <w:rFonts w:ascii="Arial" w:eastAsia="Times New Roman" w:hAnsi="Arial" w:cs="Arial"/>
                <w:b/>
                <w:bCs/>
                <w:color w:val="000000"/>
                <w:sz w:val="24"/>
                <w:szCs w:val="24"/>
                <w:lang w:eastAsia="ro-RO"/>
              </w:rPr>
              <w:t>2010</w:t>
            </w:r>
          </w:p>
        </w:tc>
        <w:tc>
          <w:tcPr>
            <w:tcW w:w="976" w:type="dxa"/>
            <w:shd w:val="clear" w:color="auto" w:fill="EEECE1"/>
            <w:noWrap/>
            <w:vAlign w:val="center"/>
          </w:tcPr>
          <w:p w:rsidR="00010DF6" w:rsidRPr="006E7F55" w:rsidRDefault="00010DF6" w:rsidP="00BD0C6B">
            <w:pPr>
              <w:spacing w:after="0"/>
              <w:jc w:val="center"/>
              <w:rPr>
                <w:rFonts w:ascii="Arial" w:eastAsia="Times New Roman" w:hAnsi="Arial" w:cs="Arial"/>
                <w:b/>
                <w:bCs/>
                <w:color w:val="000000"/>
                <w:sz w:val="24"/>
                <w:szCs w:val="24"/>
                <w:lang w:eastAsia="ro-RO"/>
              </w:rPr>
            </w:pPr>
            <w:r w:rsidRPr="006E7F55">
              <w:rPr>
                <w:rFonts w:ascii="Arial" w:eastAsia="Times New Roman" w:hAnsi="Arial" w:cs="Arial"/>
                <w:b/>
                <w:bCs/>
                <w:color w:val="000000"/>
                <w:sz w:val="24"/>
                <w:szCs w:val="24"/>
                <w:lang w:eastAsia="ro-RO"/>
              </w:rPr>
              <w:t>2011</w:t>
            </w:r>
          </w:p>
        </w:tc>
        <w:tc>
          <w:tcPr>
            <w:tcW w:w="976" w:type="dxa"/>
            <w:shd w:val="clear" w:color="auto" w:fill="EEECE1"/>
            <w:noWrap/>
            <w:vAlign w:val="center"/>
          </w:tcPr>
          <w:p w:rsidR="00010DF6" w:rsidRPr="006E7F55" w:rsidRDefault="00010DF6" w:rsidP="00BD0C6B">
            <w:pPr>
              <w:spacing w:after="0"/>
              <w:jc w:val="center"/>
              <w:rPr>
                <w:rFonts w:ascii="Arial" w:eastAsia="Times New Roman" w:hAnsi="Arial" w:cs="Arial"/>
                <w:b/>
                <w:bCs/>
                <w:color w:val="000000"/>
                <w:sz w:val="24"/>
                <w:szCs w:val="24"/>
                <w:lang w:eastAsia="ro-RO"/>
              </w:rPr>
            </w:pPr>
            <w:r w:rsidRPr="006E7F55">
              <w:rPr>
                <w:rFonts w:ascii="Arial" w:eastAsia="Times New Roman" w:hAnsi="Arial" w:cs="Arial"/>
                <w:b/>
                <w:bCs/>
                <w:color w:val="000000"/>
                <w:sz w:val="24"/>
                <w:szCs w:val="24"/>
                <w:lang w:eastAsia="ro-RO"/>
              </w:rPr>
              <w:t>2012</w:t>
            </w:r>
          </w:p>
        </w:tc>
        <w:tc>
          <w:tcPr>
            <w:tcW w:w="976" w:type="dxa"/>
            <w:shd w:val="clear" w:color="auto" w:fill="EEECE1"/>
            <w:noWrap/>
            <w:vAlign w:val="center"/>
          </w:tcPr>
          <w:p w:rsidR="00010DF6" w:rsidRPr="006E7F55" w:rsidRDefault="00010DF6" w:rsidP="00BD0C6B">
            <w:pPr>
              <w:spacing w:after="0"/>
              <w:jc w:val="center"/>
              <w:rPr>
                <w:rFonts w:ascii="Arial" w:eastAsia="Times New Roman" w:hAnsi="Arial" w:cs="Arial"/>
                <w:b/>
                <w:bCs/>
                <w:color w:val="000000"/>
                <w:sz w:val="24"/>
                <w:szCs w:val="24"/>
                <w:lang w:eastAsia="ro-RO"/>
              </w:rPr>
            </w:pPr>
            <w:r w:rsidRPr="006E7F55">
              <w:rPr>
                <w:rFonts w:ascii="Arial" w:eastAsia="Times New Roman" w:hAnsi="Arial" w:cs="Arial"/>
                <w:b/>
                <w:bCs/>
                <w:color w:val="000000"/>
                <w:sz w:val="24"/>
                <w:szCs w:val="24"/>
                <w:lang w:eastAsia="ro-RO"/>
              </w:rPr>
              <w:t>2013</w:t>
            </w:r>
          </w:p>
        </w:tc>
      </w:tr>
      <w:tr w:rsidR="00010DF6" w:rsidRPr="006E7F55" w:rsidTr="00010DF6">
        <w:trPr>
          <w:trHeight w:val="300"/>
          <w:jc w:val="center"/>
        </w:trPr>
        <w:tc>
          <w:tcPr>
            <w:tcW w:w="1230" w:type="dxa"/>
            <w:shd w:val="clear" w:color="auto" w:fill="auto"/>
            <w:noWrap/>
            <w:vAlign w:val="bottom"/>
          </w:tcPr>
          <w:p w:rsidR="00010DF6" w:rsidRPr="006E7F55" w:rsidRDefault="00010DF6" w:rsidP="00BD0C6B">
            <w:pPr>
              <w:spacing w:after="0"/>
              <w:rPr>
                <w:rFonts w:ascii="Arial" w:eastAsia="Times New Roman" w:hAnsi="Arial" w:cs="Arial"/>
                <w:color w:val="000000"/>
                <w:sz w:val="24"/>
                <w:szCs w:val="24"/>
                <w:lang w:eastAsia="ro-RO"/>
              </w:rPr>
            </w:pPr>
            <w:r w:rsidRPr="006E7F55">
              <w:rPr>
                <w:rFonts w:ascii="Arial" w:eastAsia="Times New Roman" w:hAnsi="Arial" w:cs="Arial"/>
                <w:color w:val="000000"/>
                <w:sz w:val="24"/>
                <w:szCs w:val="24"/>
                <w:lang w:eastAsia="ro-RO"/>
              </w:rPr>
              <w:t>industrie</w:t>
            </w:r>
          </w:p>
        </w:tc>
        <w:tc>
          <w:tcPr>
            <w:tcW w:w="976" w:type="dxa"/>
            <w:shd w:val="clear" w:color="auto" w:fill="auto"/>
            <w:noWrap/>
            <w:vAlign w:val="bottom"/>
          </w:tcPr>
          <w:p w:rsidR="00010DF6" w:rsidRPr="006E7F55" w:rsidRDefault="00010DF6" w:rsidP="00BD0C6B">
            <w:pPr>
              <w:spacing w:after="0"/>
              <w:jc w:val="right"/>
              <w:rPr>
                <w:rFonts w:ascii="Arial" w:eastAsia="Times New Roman" w:hAnsi="Arial" w:cs="Arial"/>
                <w:color w:val="000000"/>
                <w:sz w:val="24"/>
                <w:szCs w:val="24"/>
                <w:lang w:eastAsia="ro-RO"/>
              </w:rPr>
            </w:pPr>
            <w:r w:rsidRPr="006E7F55">
              <w:rPr>
                <w:rFonts w:ascii="Arial" w:eastAsia="Times New Roman" w:hAnsi="Arial" w:cs="Arial"/>
                <w:color w:val="000000"/>
                <w:sz w:val="24"/>
                <w:szCs w:val="24"/>
                <w:lang w:eastAsia="ro-RO"/>
              </w:rPr>
              <w:t>0.986</w:t>
            </w:r>
          </w:p>
        </w:tc>
        <w:tc>
          <w:tcPr>
            <w:tcW w:w="976" w:type="dxa"/>
            <w:shd w:val="clear" w:color="auto" w:fill="auto"/>
            <w:noWrap/>
            <w:vAlign w:val="bottom"/>
          </w:tcPr>
          <w:p w:rsidR="00010DF6" w:rsidRPr="006E7F55" w:rsidRDefault="00010DF6" w:rsidP="00BD0C6B">
            <w:pPr>
              <w:spacing w:after="0"/>
              <w:jc w:val="right"/>
              <w:rPr>
                <w:rFonts w:ascii="Arial" w:eastAsia="Times New Roman" w:hAnsi="Arial" w:cs="Arial"/>
                <w:color w:val="000000"/>
                <w:sz w:val="24"/>
                <w:szCs w:val="24"/>
                <w:lang w:eastAsia="ro-RO"/>
              </w:rPr>
            </w:pPr>
            <w:r w:rsidRPr="006E7F55">
              <w:rPr>
                <w:rFonts w:ascii="Arial" w:eastAsia="Times New Roman" w:hAnsi="Arial" w:cs="Arial"/>
                <w:color w:val="000000"/>
                <w:sz w:val="24"/>
                <w:szCs w:val="24"/>
                <w:lang w:eastAsia="ro-RO"/>
              </w:rPr>
              <w:t>1.051</w:t>
            </w:r>
          </w:p>
        </w:tc>
        <w:tc>
          <w:tcPr>
            <w:tcW w:w="976" w:type="dxa"/>
            <w:shd w:val="clear" w:color="auto" w:fill="auto"/>
            <w:noWrap/>
            <w:vAlign w:val="bottom"/>
          </w:tcPr>
          <w:p w:rsidR="00010DF6" w:rsidRPr="006E7F55" w:rsidRDefault="00010DF6" w:rsidP="00BD0C6B">
            <w:pPr>
              <w:spacing w:after="0"/>
              <w:jc w:val="right"/>
              <w:rPr>
                <w:rFonts w:ascii="Arial" w:eastAsia="Times New Roman" w:hAnsi="Arial" w:cs="Arial"/>
                <w:color w:val="000000"/>
                <w:sz w:val="24"/>
                <w:szCs w:val="24"/>
                <w:lang w:eastAsia="ro-RO"/>
              </w:rPr>
            </w:pPr>
            <w:r w:rsidRPr="006E7F55">
              <w:rPr>
                <w:rFonts w:ascii="Arial" w:eastAsia="Times New Roman" w:hAnsi="Arial" w:cs="Arial"/>
                <w:color w:val="000000"/>
                <w:sz w:val="24"/>
                <w:szCs w:val="24"/>
                <w:lang w:eastAsia="ro-RO"/>
              </w:rPr>
              <w:t>1.027</w:t>
            </w:r>
          </w:p>
        </w:tc>
        <w:tc>
          <w:tcPr>
            <w:tcW w:w="976" w:type="dxa"/>
            <w:shd w:val="clear" w:color="auto" w:fill="auto"/>
            <w:noWrap/>
            <w:vAlign w:val="bottom"/>
          </w:tcPr>
          <w:p w:rsidR="00010DF6" w:rsidRPr="006E7F55" w:rsidRDefault="00010DF6" w:rsidP="00BD0C6B">
            <w:pPr>
              <w:spacing w:after="0"/>
              <w:jc w:val="right"/>
              <w:rPr>
                <w:rFonts w:ascii="Arial" w:eastAsia="Times New Roman" w:hAnsi="Arial" w:cs="Arial"/>
                <w:color w:val="000000"/>
                <w:sz w:val="24"/>
                <w:szCs w:val="24"/>
                <w:lang w:eastAsia="ro-RO"/>
              </w:rPr>
            </w:pPr>
            <w:r w:rsidRPr="006E7F55">
              <w:rPr>
                <w:rFonts w:ascii="Arial" w:eastAsia="Times New Roman" w:hAnsi="Arial" w:cs="Arial"/>
                <w:color w:val="000000"/>
                <w:sz w:val="24"/>
                <w:szCs w:val="24"/>
                <w:lang w:eastAsia="ro-RO"/>
              </w:rPr>
              <w:t>1.038</w:t>
            </w:r>
          </w:p>
        </w:tc>
        <w:tc>
          <w:tcPr>
            <w:tcW w:w="976" w:type="dxa"/>
            <w:shd w:val="clear" w:color="auto" w:fill="auto"/>
            <w:noWrap/>
            <w:vAlign w:val="bottom"/>
          </w:tcPr>
          <w:p w:rsidR="00010DF6" w:rsidRPr="006E7F55" w:rsidRDefault="00010DF6" w:rsidP="00BD0C6B">
            <w:pPr>
              <w:spacing w:after="0"/>
              <w:jc w:val="right"/>
              <w:rPr>
                <w:rFonts w:ascii="Arial" w:eastAsia="Times New Roman" w:hAnsi="Arial" w:cs="Arial"/>
                <w:color w:val="000000"/>
                <w:sz w:val="24"/>
                <w:szCs w:val="24"/>
                <w:lang w:eastAsia="ro-RO"/>
              </w:rPr>
            </w:pPr>
            <w:r w:rsidRPr="006E7F55">
              <w:rPr>
                <w:rFonts w:ascii="Arial" w:eastAsia="Times New Roman" w:hAnsi="Arial" w:cs="Arial"/>
                <w:color w:val="000000"/>
                <w:sz w:val="24"/>
                <w:szCs w:val="24"/>
                <w:lang w:eastAsia="ro-RO"/>
              </w:rPr>
              <w:t>1.043</w:t>
            </w:r>
          </w:p>
        </w:tc>
      </w:tr>
      <w:tr w:rsidR="00010DF6" w:rsidRPr="006E7F55" w:rsidTr="00010DF6">
        <w:trPr>
          <w:trHeight w:val="300"/>
          <w:jc w:val="center"/>
        </w:trPr>
        <w:tc>
          <w:tcPr>
            <w:tcW w:w="1230" w:type="dxa"/>
            <w:shd w:val="clear" w:color="auto" w:fill="auto"/>
            <w:noWrap/>
            <w:vAlign w:val="bottom"/>
          </w:tcPr>
          <w:p w:rsidR="00010DF6" w:rsidRPr="006E7F55" w:rsidRDefault="00010DF6" w:rsidP="00BD0C6B">
            <w:pPr>
              <w:spacing w:after="0"/>
              <w:rPr>
                <w:rFonts w:ascii="Arial" w:eastAsia="Times New Roman" w:hAnsi="Arial" w:cs="Arial"/>
                <w:color w:val="000000"/>
                <w:sz w:val="24"/>
                <w:szCs w:val="24"/>
                <w:lang w:eastAsia="ro-RO"/>
              </w:rPr>
            </w:pPr>
            <w:r w:rsidRPr="006E7F55">
              <w:rPr>
                <w:rFonts w:ascii="Arial" w:eastAsia="Times New Roman" w:hAnsi="Arial" w:cs="Arial"/>
                <w:color w:val="000000"/>
                <w:sz w:val="24"/>
                <w:szCs w:val="24"/>
                <w:lang w:eastAsia="ro-RO"/>
              </w:rPr>
              <w:t>construcţii</w:t>
            </w:r>
          </w:p>
        </w:tc>
        <w:tc>
          <w:tcPr>
            <w:tcW w:w="976" w:type="dxa"/>
            <w:shd w:val="clear" w:color="auto" w:fill="auto"/>
            <w:noWrap/>
            <w:vAlign w:val="bottom"/>
          </w:tcPr>
          <w:p w:rsidR="00010DF6" w:rsidRPr="006E7F55" w:rsidRDefault="00010DF6" w:rsidP="00BD0C6B">
            <w:pPr>
              <w:spacing w:after="0"/>
              <w:jc w:val="right"/>
              <w:rPr>
                <w:rFonts w:ascii="Arial" w:eastAsia="Times New Roman" w:hAnsi="Arial" w:cs="Arial"/>
                <w:color w:val="000000"/>
                <w:sz w:val="24"/>
                <w:szCs w:val="24"/>
                <w:lang w:eastAsia="ro-RO"/>
              </w:rPr>
            </w:pPr>
            <w:r w:rsidRPr="006E7F55">
              <w:rPr>
                <w:rFonts w:ascii="Arial" w:eastAsia="Times New Roman" w:hAnsi="Arial" w:cs="Arial"/>
                <w:color w:val="000000"/>
                <w:sz w:val="24"/>
                <w:szCs w:val="24"/>
                <w:lang w:eastAsia="ro-RO"/>
              </w:rPr>
              <w:t>0.867</w:t>
            </w:r>
          </w:p>
        </w:tc>
        <w:tc>
          <w:tcPr>
            <w:tcW w:w="976" w:type="dxa"/>
            <w:shd w:val="clear" w:color="auto" w:fill="auto"/>
            <w:noWrap/>
            <w:vAlign w:val="bottom"/>
          </w:tcPr>
          <w:p w:rsidR="00010DF6" w:rsidRPr="006E7F55" w:rsidRDefault="00010DF6" w:rsidP="00BD0C6B">
            <w:pPr>
              <w:spacing w:after="0"/>
              <w:jc w:val="right"/>
              <w:rPr>
                <w:rFonts w:ascii="Arial" w:eastAsia="Times New Roman" w:hAnsi="Arial" w:cs="Arial"/>
                <w:color w:val="000000"/>
                <w:sz w:val="24"/>
                <w:szCs w:val="24"/>
                <w:lang w:eastAsia="ro-RO"/>
              </w:rPr>
            </w:pPr>
            <w:r w:rsidRPr="006E7F55">
              <w:rPr>
                <w:rFonts w:ascii="Arial" w:eastAsia="Times New Roman" w:hAnsi="Arial" w:cs="Arial"/>
                <w:color w:val="000000"/>
                <w:sz w:val="24"/>
                <w:szCs w:val="24"/>
                <w:lang w:eastAsia="ro-RO"/>
              </w:rPr>
              <w:t>0.893</w:t>
            </w:r>
          </w:p>
        </w:tc>
        <w:tc>
          <w:tcPr>
            <w:tcW w:w="976" w:type="dxa"/>
            <w:shd w:val="clear" w:color="auto" w:fill="auto"/>
            <w:noWrap/>
            <w:vAlign w:val="bottom"/>
          </w:tcPr>
          <w:p w:rsidR="00010DF6" w:rsidRPr="006E7F55" w:rsidRDefault="00010DF6" w:rsidP="00BD0C6B">
            <w:pPr>
              <w:spacing w:after="0"/>
              <w:jc w:val="right"/>
              <w:rPr>
                <w:rFonts w:ascii="Arial" w:eastAsia="Times New Roman" w:hAnsi="Arial" w:cs="Arial"/>
                <w:color w:val="000000"/>
                <w:sz w:val="24"/>
                <w:szCs w:val="24"/>
                <w:lang w:eastAsia="ro-RO"/>
              </w:rPr>
            </w:pPr>
            <w:r w:rsidRPr="006E7F55">
              <w:rPr>
                <w:rFonts w:ascii="Arial" w:eastAsia="Times New Roman" w:hAnsi="Arial" w:cs="Arial"/>
                <w:color w:val="000000"/>
                <w:sz w:val="24"/>
                <w:szCs w:val="24"/>
                <w:lang w:eastAsia="ro-RO"/>
              </w:rPr>
              <w:t>1.016</w:t>
            </w:r>
          </w:p>
        </w:tc>
        <w:tc>
          <w:tcPr>
            <w:tcW w:w="976" w:type="dxa"/>
            <w:shd w:val="clear" w:color="auto" w:fill="auto"/>
            <w:noWrap/>
            <w:vAlign w:val="bottom"/>
          </w:tcPr>
          <w:p w:rsidR="00010DF6" w:rsidRPr="006E7F55" w:rsidRDefault="00010DF6" w:rsidP="00BD0C6B">
            <w:pPr>
              <w:spacing w:after="0"/>
              <w:jc w:val="right"/>
              <w:rPr>
                <w:rFonts w:ascii="Arial" w:eastAsia="Times New Roman" w:hAnsi="Arial" w:cs="Arial"/>
                <w:color w:val="000000"/>
                <w:sz w:val="24"/>
                <w:szCs w:val="24"/>
                <w:lang w:eastAsia="ro-RO"/>
              </w:rPr>
            </w:pPr>
            <w:r w:rsidRPr="006E7F55">
              <w:rPr>
                <w:rFonts w:ascii="Arial" w:eastAsia="Times New Roman" w:hAnsi="Arial" w:cs="Arial"/>
                <w:color w:val="000000"/>
                <w:sz w:val="24"/>
                <w:szCs w:val="24"/>
                <w:lang w:eastAsia="ro-RO"/>
              </w:rPr>
              <w:t>1.045</w:t>
            </w:r>
          </w:p>
        </w:tc>
        <w:tc>
          <w:tcPr>
            <w:tcW w:w="976" w:type="dxa"/>
            <w:shd w:val="clear" w:color="auto" w:fill="auto"/>
            <w:noWrap/>
            <w:vAlign w:val="bottom"/>
          </w:tcPr>
          <w:p w:rsidR="00010DF6" w:rsidRPr="006E7F55" w:rsidRDefault="00010DF6" w:rsidP="00BD0C6B">
            <w:pPr>
              <w:spacing w:after="0"/>
              <w:jc w:val="right"/>
              <w:rPr>
                <w:rFonts w:ascii="Arial" w:eastAsia="Times New Roman" w:hAnsi="Arial" w:cs="Arial"/>
                <w:color w:val="000000"/>
                <w:sz w:val="24"/>
                <w:szCs w:val="24"/>
                <w:lang w:eastAsia="ro-RO"/>
              </w:rPr>
            </w:pPr>
            <w:r w:rsidRPr="006E7F55">
              <w:rPr>
                <w:rFonts w:ascii="Arial" w:eastAsia="Times New Roman" w:hAnsi="Arial" w:cs="Arial"/>
                <w:color w:val="000000"/>
                <w:sz w:val="24"/>
                <w:szCs w:val="24"/>
                <w:lang w:eastAsia="ro-RO"/>
              </w:rPr>
              <w:t>1.071</w:t>
            </w:r>
          </w:p>
        </w:tc>
      </w:tr>
      <w:tr w:rsidR="00010DF6" w:rsidRPr="006E7F55" w:rsidTr="00010DF6">
        <w:trPr>
          <w:trHeight w:val="465"/>
          <w:jc w:val="center"/>
        </w:trPr>
        <w:tc>
          <w:tcPr>
            <w:tcW w:w="1230" w:type="dxa"/>
            <w:shd w:val="clear" w:color="auto" w:fill="auto"/>
            <w:noWrap/>
            <w:vAlign w:val="bottom"/>
          </w:tcPr>
          <w:p w:rsidR="00010DF6" w:rsidRPr="006E7F55" w:rsidRDefault="00010DF6" w:rsidP="00BD0C6B">
            <w:pPr>
              <w:spacing w:after="0"/>
              <w:rPr>
                <w:rFonts w:ascii="Arial" w:eastAsia="Times New Roman" w:hAnsi="Arial" w:cs="Arial"/>
                <w:color w:val="000000"/>
                <w:sz w:val="24"/>
                <w:szCs w:val="24"/>
                <w:lang w:eastAsia="ro-RO"/>
              </w:rPr>
            </w:pPr>
            <w:r w:rsidRPr="006E7F55">
              <w:rPr>
                <w:rFonts w:ascii="Arial" w:eastAsia="Times New Roman" w:hAnsi="Arial" w:cs="Arial"/>
                <w:color w:val="000000"/>
                <w:sz w:val="24"/>
                <w:szCs w:val="24"/>
                <w:lang w:eastAsia="ro-RO"/>
              </w:rPr>
              <w:t>servicii</w:t>
            </w:r>
          </w:p>
        </w:tc>
        <w:tc>
          <w:tcPr>
            <w:tcW w:w="976" w:type="dxa"/>
            <w:shd w:val="clear" w:color="auto" w:fill="auto"/>
            <w:noWrap/>
            <w:vAlign w:val="bottom"/>
          </w:tcPr>
          <w:p w:rsidR="00010DF6" w:rsidRPr="006E7F55" w:rsidRDefault="00010DF6" w:rsidP="00BD0C6B">
            <w:pPr>
              <w:spacing w:after="0"/>
              <w:jc w:val="right"/>
              <w:rPr>
                <w:rFonts w:ascii="Arial" w:eastAsia="Times New Roman" w:hAnsi="Arial" w:cs="Arial"/>
                <w:color w:val="000000"/>
                <w:sz w:val="24"/>
                <w:szCs w:val="24"/>
                <w:lang w:eastAsia="ro-RO"/>
              </w:rPr>
            </w:pPr>
            <w:r w:rsidRPr="006E7F55">
              <w:rPr>
                <w:rFonts w:ascii="Arial" w:eastAsia="Times New Roman" w:hAnsi="Arial" w:cs="Arial"/>
                <w:color w:val="000000"/>
                <w:sz w:val="24"/>
                <w:szCs w:val="24"/>
                <w:lang w:eastAsia="ro-RO"/>
              </w:rPr>
              <w:t>0.938</w:t>
            </w:r>
          </w:p>
        </w:tc>
        <w:tc>
          <w:tcPr>
            <w:tcW w:w="976" w:type="dxa"/>
            <w:shd w:val="clear" w:color="auto" w:fill="auto"/>
            <w:noWrap/>
            <w:vAlign w:val="bottom"/>
          </w:tcPr>
          <w:p w:rsidR="00010DF6" w:rsidRPr="006E7F55" w:rsidRDefault="00010DF6" w:rsidP="00BD0C6B">
            <w:pPr>
              <w:spacing w:after="0"/>
              <w:jc w:val="right"/>
              <w:rPr>
                <w:rFonts w:ascii="Arial" w:eastAsia="Times New Roman" w:hAnsi="Arial" w:cs="Arial"/>
                <w:color w:val="000000"/>
                <w:sz w:val="24"/>
                <w:szCs w:val="24"/>
                <w:lang w:eastAsia="ro-RO"/>
              </w:rPr>
            </w:pPr>
            <w:r w:rsidRPr="006E7F55">
              <w:rPr>
                <w:rFonts w:ascii="Arial" w:eastAsia="Times New Roman" w:hAnsi="Arial" w:cs="Arial"/>
                <w:color w:val="000000"/>
                <w:sz w:val="24"/>
                <w:szCs w:val="24"/>
                <w:lang w:eastAsia="ro-RO"/>
              </w:rPr>
              <w:t>0.977</w:t>
            </w:r>
          </w:p>
        </w:tc>
        <w:tc>
          <w:tcPr>
            <w:tcW w:w="976" w:type="dxa"/>
            <w:shd w:val="clear" w:color="auto" w:fill="auto"/>
            <w:noWrap/>
            <w:vAlign w:val="bottom"/>
          </w:tcPr>
          <w:p w:rsidR="00010DF6" w:rsidRPr="006E7F55" w:rsidRDefault="00010DF6" w:rsidP="00BD0C6B">
            <w:pPr>
              <w:spacing w:after="0"/>
              <w:jc w:val="right"/>
              <w:rPr>
                <w:rFonts w:ascii="Arial" w:eastAsia="Times New Roman" w:hAnsi="Arial" w:cs="Arial"/>
                <w:color w:val="000000"/>
                <w:sz w:val="24"/>
                <w:szCs w:val="24"/>
                <w:lang w:eastAsia="ro-RO"/>
              </w:rPr>
            </w:pPr>
            <w:r w:rsidRPr="006E7F55">
              <w:rPr>
                <w:rFonts w:ascii="Arial" w:eastAsia="Times New Roman" w:hAnsi="Arial" w:cs="Arial"/>
                <w:color w:val="000000"/>
                <w:sz w:val="24"/>
                <w:szCs w:val="24"/>
                <w:lang w:eastAsia="ro-RO"/>
              </w:rPr>
              <w:t>0.991</w:t>
            </w:r>
          </w:p>
        </w:tc>
        <w:tc>
          <w:tcPr>
            <w:tcW w:w="976" w:type="dxa"/>
            <w:shd w:val="clear" w:color="auto" w:fill="auto"/>
            <w:noWrap/>
            <w:vAlign w:val="bottom"/>
          </w:tcPr>
          <w:p w:rsidR="00010DF6" w:rsidRPr="006E7F55" w:rsidRDefault="00010DF6" w:rsidP="00BD0C6B">
            <w:pPr>
              <w:spacing w:after="0"/>
              <w:jc w:val="right"/>
              <w:rPr>
                <w:rFonts w:ascii="Arial" w:eastAsia="Times New Roman" w:hAnsi="Arial" w:cs="Arial"/>
                <w:color w:val="000000"/>
                <w:sz w:val="24"/>
                <w:szCs w:val="24"/>
                <w:lang w:eastAsia="ro-RO"/>
              </w:rPr>
            </w:pPr>
            <w:r w:rsidRPr="006E7F55">
              <w:rPr>
                <w:rFonts w:ascii="Arial" w:eastAsia="Times New Roman" w:hAnsi="Arial" w:cs="Arial"/>
                <w:color w:val="000000"/>
                <w:sz w:val="24"/>
                <w:szCs w:val="24"/>
                <w:lang w:eastAsia="ro-RO"/>
              </w:rPr>
              <w:t>1.042</w:t>
            </w:r>
          </w:p>
        </w:tc>
        <w:tc>
          <w:tcPr>
            <w:tcW w:w="976" w:type="dxa"/>
            <w:shd w:val="clear" w:color="auto" w:fill="auto"/>
            <w:noWrap/>
            <w:vAlign w:val="bottom"/>
          </w:tcPr>
          <w:p w:rsidR="00010DF6" w:rsidRPr="006E7F55" w:rsidRDefault="00010DF6" w:rsidP="00BD0C6B">
            <w:pPr>
              <w:spacing w:after="0"/>
              <w:jc w:val="right"/>
              <w:rPr>
                <w:rFonts w:ascii="Arial" w:eastAsia="Times New Roman" w:hAnsi="Arial" w:cs="Arial"/>
                <w:color w:val="000000"/>
                <w:sz w:val="24"/>
                <w:szCs w:val="24"/>
                <w:lang w:eastAsia="ro-RO"/>
              </w:rPr>
            </w:pPr>
            <w:r w:rsidRPr="006E7F55">
              <w:rPr>
                <w:rFonts w:ascii="Arial" w:eastAsia="Times New Roman" w:hAnsi="Arial" w:cs="Arial"/>
                <w:color w:val="000000"/>
                <w:sz w:val="24"/>
                <w:szCs w:val="24"/>
                <w:lang w:eastAsia="ro-RO"/>
              </w:rPr>
              <w:t>1.044</w:t>
            </w:r>
          </w:p>
        </w:tc>
      </w:tr>
    </w:tbl>
    <w:p w:rsidR="00010DF6" w:rsidRPr="006E7F55" w:rsidRDefault="00010DF6" w:rsidP="00010DF6">
      <w:pPr>
        <w:spacing w:after="0"/>
        <w:contextualSpacing/>
        <w:jc w:val="center"/>
        <w:rPr>
          <w:rFonts w:ascii="Arial" w:hAnsi="Arial" w:cs="Arial"/>
          <w:sz w:val="24"/>
          <w:szCs w:val="24"/>
        </w:rPr>
      </w:pPr>
      <w:r w:rsidRPr="006E7F55">
        <w:rPr>
          <w:rFonts w:ascii="Arial" w:hAnsi="Arial" w:cs="Arial"/>
          <w:sz w:val="24"/>
          <w:szCs w:val="24"/>
        </w:rPr>
        <w:t>Sursa: Comisia Naţională de Prognoză</w:t>
      </w:r>
    </w:p>
    <w:p w:rsidR="00010DF6" w:rsidRPr="006E7F55" w:rsidRDefault="00010DF6" w:rsidP="00010DF6">
      <w:pPr>
        <w:spacing w:after="0"/>
        <w:contextualSpacing/>
        <w:rPr>
          <w:rFonts w:ascii="Arial" w:hAnsi="Arial" w:cs="Arial"/>
          <w:sz w:val="24"/>
          <w:szCs w:val="24"/>
        </w:rPr>
      </w:pP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 xml:space="preserve">- pentru perioada 2014 – 2020 s-a presupus următoarea evoluţie a </w:t>
      </w:r>
      <w:r w:rsidRPr="006E7F55">
        <w:rPr>
          <w:rFonts w:ascii="Arial" w:hAnsi="Arial" w:cs="Arial"/>
          <w:b/>
          <w:i/>
          <w:sz w:val="24"/>
          <w:szCs w:val="24"/>
        </w:rPr>
        <w:t>valorii adăugate brute</w:t>
      </w:r>
      <w:r w:rsidRPr="006E7F55">
        <w:rPr>
          <w:rFonts w:ascii="Arial" w:hAnsi="Arial" w:cs="Arial"/>
          <w:sz w:val="24"/>
          <w:szCs w:val="24"/>
        </w:rPr>
        <w:t xml:space="preserve">: un ritm anual de creştere în industrie de 1.0325, un ritm de 1.0305 în construcţii şi respectiv un ritm anual de creştere în servicii de 1.0165 (valori calculate ca o medie aritmetică a ritmurilor anuale de creştere aşteptate pentru perioada 2011 – 2012). S-a considerat că în cadrul fiecărei ramuri, diviziunile componente urmează evoluţia ramurii. S-a optat pentru alegerea pentru perioada 2014-2020 a unor ritmuri de creştere a VAB inferioare anului 2013 deoarece s-a dorit luarea în considerare a prezumtivei crize economice pe care specialiştii o previzionează după anul 2013. </w:t>
      </w: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 xml:space="preserve">- pentru evoluţia </w:t>
      </w:r>
      <w:r w:rsidRPr="006E7F55">
        <w:rPr>
          <w:rFonts w:ascii="Arial" w:hAnsi="Arial" w:cs="Arial"/>
          <w:b/>
          <w:i/>
          <w:sz w:val="24"/>
          <w:szCs w:val="24"/>
        </w:rPr>
        <w:t>Costului forţei de muncă</w:t>
      </w:r>
      <w:r w:rsidRPr="006E7F55">
        <w:rPr>
          <w:rFonts w:ascii="Arial" w:hAnsi="Arial" w:cs="Arial"/>
          <w:b/>
          <w:sz w:val="24"/>
          <w:szCs w:val="24"/>
        </w:rPr>
        <w:t xml:space="preserve"> </w:t>
      </w:r>
      <w:r w:rsidRPr="006E7F55">
        <w:rPr>
          <w:rFonts w:ascii="Arial" w:hAnsi="Arial" w:cs="Arial"/>
          <w:sz w:val="24"/>
          <w:szCs w:val="24"/>
        </w:rPr>
        <w:t xml:space="preserve">pentru anii 2009 şi 2010 am ţinut cont de valorile reale publicate de Institutul Naţional de Statistică, în timp ce pentru anii 2011-2020 am considerat un ritm anual de creştere constant şi egal cu 1.015. </w:t>
      </w: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 xml:space="preserve">- pentru evoluţia </w:t>
      </w:r>
      <w:r w:rsidRPr="006E7F55">
        <w:rPr>
          <w:rFonts w:ascii="Arial" w:hAnsi="Arial" w:cs="Arial"/>
          <w:b/>
          <w:i/>
          <w:sz w:val="24"/>
          <w:szCs w:val="24"/>
        </w:rPr>
        <w:t>Investiţiilor brute</w:t>
      </w:r>
      <w:r w:rsidRPr="006E7F55">
        <w:rPr>
          <w:rFonts w:ascii="Arial" w:hAnsi="Arial" w:cs="Arial"/>
          <w:b/>
          <w:sz w:val="24"/>
          <w:szCs w:val="24"/>
        </w:rPr>
        <w:t xml:space="preserve"> </w:t>
      </w:r>
      <w:r w:rsidRPr="006E7F55">
        <w:rPr>
          <w:rFonts w:ascii="Arial" w:hAnsi="Arial" w:cs="Arial"/>
          <w:sz w:val="24"/>
          <w:szCs w:val="24"/>
        </w:rPr>
        <w:t>am pornit de la ritmul de scădere anual pentru 2009 (0.76) pe total industrie calculat din datele de la INS - tempo online. În lipsa altor informaţii am considerat că această scădere a fost înregistrată identic la nivelul fiecărei diviziuni CAEN. Pentru perioada 2010 – 2020 am estimat trendul liniar al variabilei pe baza datelor observate pe întreaga perioadă de analiză.</w:t>
      </w: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Pentru agricultură, ca urmare a unei structuri diferite a informațiilor, s-a realizat un scenariu moderat ținând cont doar de parametrul valoare adăugată brută.</w:t>
      </w:r>
    </w:p>
    <w:p w:rsidR="00010DF6" w:rsidRDefault="00010DF6" w:rsidP="00010DF6">
      <w:pPr>
        <w:spacing w:after="0"/>
        <w:contextualSpacing/>
        <w:jc w:val="both"/>
        <w:rPr>
          <w:rFonts w:ascii="Arial" w:hAnsi="Arial" w:cs="Arial"/>
          <w:sz w:val="24"/>
          <w:szCs w:val="24"/>
        </w:rPr>
      </w:pPr>
    </w:p>
    <w:p w:rsidR="004F27C8" w:rsidRDefault="004F27C8" w:rsidP="00010DF6">
      <w:pPr>
        <w:spacing w:after="0"/>
        <w:contextualSpacing/>
        <w:jc w:val="both"/>
        <w:rPr>
          <w:rFonts w:ascii="Arial" w:hAnsi="Arial" w:cs="Arial"/>
          <w:sz w:val="24"/>
          <w:szCs w:val="24"/>
        </w:rPr>
      </w:pPr>
    </w:p>
    <w:p w:rsidR="004F27C8" w:rsidRPr="006E7F55" w:rsidRDefault="004F27C8" w:rsidP="00010DF6">
      <w:pPr>
        <w:spacing w:after="0"/>
        <w:contextualSpacing/>
        <w:jc w:val="both"/>
        <w:rPr>
          <w:rFonts w:ascii="Arial" w:hAnsi="Arial" w:cs="Arial"/>
          <w:sz w:val="24"/>
          <w:szCs w:val="24"/>
        </w:rPr>
      </w:pPr>
    </w:p>
    <w:p w:rsidR="00010DF6" w:rsidRPr="006E7F55" w:rsidRDefault="00010DF6" w:rsidP="00445724">
      <w:pPr>
        <w:numPr>
          <w:ilvl w:val="0"/>
          <w:numId w:val="40"/>
        </w:numPr>
        <w:spacing w:after="0"/>
        <w:ind w:left="0" w:firstLine="0"/>
        <w:contextualSpacing/>
        <w:jc w:val="both"/>
        <w:rPr>
          <w:rFonts w:ascii="Arial" w:hAnsi="Arial" w:cs="Arial"/>
          <w:sz w:val="24"/>
          <w:szCs w:val="24"/>
        </w:rPr>
      </w:pPr>
      <w:r w:rsidRPr="006E7F55">
        <w:rPr>
          <w:rFonts w:ascii="Arial" w:hAnsi="Arial" w:cs="Arial"/>
          <w:b/>
          <w:sz w:val="24"/>
          <w:szCs w:val="24"/>
        </w:rPr>
        <w:lastRenderedPageBreak/>
        <w:t>Scenariul OPTIMIST</w:t>
      </w:r>
      <w:r w:rsidRPr="006E7F55">
        <w:rPr>
          <w:rFonts w:ascii="Arial" w:hAnsi="Arial" w:cs="Arial"/>
          <w:sz w:val="24"/>
          <w:szCs w:val="24"/>
        </w:rPr>
        <w:t xml:space="preserve"> a presupus următoarele variaţii faţă de scenariul MODERAT:</w:t>
      </w: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 xml:space="preserve"> - </w:t>
      </w:r>
      <w:r w:rsidRPr="006E7F55">
        <w:rPr>
          <w:rFonts w:ascii="Arial" w:hAnsi="Arial" w:cs="Arial"/>
          <w:b/>
          <w:i/>
          <w:sz w:val="24"/>
          <w:szCs w:val="24"/>
        </w:rPr>
        <w:t>VAB</w:t>
      </w:r>
      <w:r w:rsidRPr="006E7F55">
        <w:rPr>
          <w:rFonts w:ascii="Arial" w:hAnsi="Arial" w:cs="Arial"/>
          <w:sz w:val="24"/>
          <w:szCs w:val="24"/>
        </w:rPr>
        <w:t xml:space="preserve"> în perioada 2010 înregistrează un ritm de creştere de 1.1 faţă de 2009 în industrie, un ritm de scădere de 0.9 faţă de 2009 în construcţii, în timp ce în servicii se menţine constantă pe perioada 2010-2011. Pentru perioada 2012-2013 se menţin evoluţiile prognozate de Comisia Naţională de Prognoză, în timp ce pentru perioada 2014- 2020  am considerat un ritm anual de creştere în industrie de 1.036, un ritm de 1.044 în construcţii şi respectiv un ritm anual de creştere în servicii de 1.032 (valori calculate ca o medie aritmetică a ritmurilor anuale de creştere aşteptate pentru perioada 2011 – 2013).</w:t>
      </w: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 xml:space="preserve">- </w:t>
      </w:r>
      <w:r w:rsidRPr="006E7F55">
        <w:rPr>
          <w:rFonts w:ascii="Arial" w:hAnsi="Arial" w:cs="Arial"/>
          <w:b/>
          <w:i/>
          <w:sz w:val="24"/>
          <w:szCs w:val="24"/>
        </w:rPr>
        <w:t>Investiţiile brute</w:t>
      </w:r>
      <w:r w:rsidRPr="006E7F55">
        <w:rPr>
          <w:rFonts w:ascii="Arial" w:hAnsi="Arial" w:cs="Arial"/>
          <w:sz w:val="24"/>
          <w:szCs w:val="24"/>
        </w:rPr>
        <w:t xml:space="preserve"> în 2010 înregistrează un ritm de creştere de 1.15 faţă de 2009. Pentru perioada 2011- 2020 am estimat apoi trendul liniar al variabilei.</w:t>
      </w: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Pentru agricultură, ipotezele de lucru au fost de reducere a ponderii ocupării în această ramură până la un nivel de cca. 15% și creșterea profesionalizării acesteia, respectiv o reducere a ocupării de subzistență din această activitate economică.</w:t>
      </w:r>
    </w:p>
    <w:p w:rsidR="00010DF6" w:rsidRPr="006E7F55" w:rsidRDefault="00010DF6" w:rsidP="00010DF6">
      <w:pPr>
        <w:spacing w:after="0"/>
        <w:contextualSpacing/>
        <w:jc w:val="both"/>
        <w:rPr>
          <w:rFonts w:ascii="Arial" w:hAnsi="Arial" w:cs="Arial"/>
          <w:sz w:val="24"/>
          <w:szCs w:val="24"/>
        </w:rPr>
      </w:pPr>
    </w:p>
    <w:p w:rsidR="00010DF6" w:rsidRPr="006E7F55" w:rsidRDefault="00010DF6" w:rsidP="00445724">
      <w:pPr>
        <w:numPr>
          <w:ilvl w:val="0"/>
          <w:numId w:val="40"/>
        </w:numPr>
        <w:spacing w:after="0"/>
        <w:ind w:left="0" w:firstLine="0"/>
        <w:contextualSpacing/>
        <w:jc w:val="both"/>
        <w:rPr>
          <w:rFonts w:ascii="Arial" w:hAnsi="Arial" w:cs="Arial"/>
          <w:sz w:val="24"/>
          <w:szCs w:val="24"/>
        </w:rPr>
      </w:pPr>
      <w:r w:rsidRPr="006E7F55">
        <w:rPr>
          <w:rFonts w:ascii="Arial" w:hAnsi="Arial" w:cs="Arial"/>
          <w:b/>
          <w:sz w:val="24"/>
          <w:szCs w:val="24"/>
        </w:rPr>
        <w:t>Scenariul PESIMIST</w:t>
      </w:r>
      <w:r w:rsidRPr="006E7F55">
        <w:rPr>
          <w:rFonts w:ascii="Arial" w:hAnsi="Arial" w:cs="Arial"/>
          <w:sz w:val="24"/>
          <w:szCs w:val="24"/>
        </w:rPr>
        <w:t xml:space="preserve"> a presupus următoarele variaţii faţă de scenariul MODERAT:</w:t>
      </w: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 xml:space="preserve"> - </w:t>
      </w:r>
      <w:r w:rsidRPr="006E7F55">
        <w:rPr>
          <w:rFonts w:ascii="Arial" w:hAnsi="Arial" w:cs="Arial"/>
          <w:b/>
          <w:i/>
          <w:sz w:val="24"/>
          <w:szCs w:val="24"/>
        </w:rPr>
        <w:t>VAB</w:t>
      </w:r>
      <w:r w:rsidRPr="006E7F55">
        <w:rPr>
          <w:rFonts w:ascii="Arial" w:hAnsi="Arial" w:cs="Arial"/>
          <w:sz w:val="24"/>
          <w:szCs w:val="24"/>
        </w:rPr>
        <w:t xml:space="preserve"> în perioada 2014 - 2020 se menţine la nivelul</w:t>
      </w:r>
      <w:r w:rsidRPr="006E7F55">
        <w:rPr>
          <w:rFonts w:ascii="Arial" w:hAnsi="Arial" w:cs="Arial"/>
          <w:color w:val="FF0000"/>
          <w:sz w:val="24"/>
          <w:szCs w:val="24"/>
        </w:rPr>
        <w:t xml:space="preserve"> </w:t>
      </w:r>
      <w:r w:rsidRPr="006E7F55">
        <w:rPr>
          <w:rFonts w:ascii="Arial" w:hAnsi="Arial" w:cs="Arial"/>
          <w:sz w:val="24"/>
          <w:szCs w:val="24"/>
        </w:rPr>
        <w:t>prognozat pentru anul 2011. De asemenea, s-a ţinut cont şi de rezultatele anchetei în firme, conform cărora peste jumătate dintre cei intervievaţi sunt de părere că România nu îşi va reveni din criza economică până în anul 2013.</w:t>
      </w: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 xml:space="preserve">- </w:t>
      </w:r>
      <w:r w:rsidRPr="006E7F55">
        <w:rPr>
          <w:rFonts w:ascii="Arial" w:hAnsi="Arial" w:cs="Arial"/>
          <w:b/>
          <w:i/>
          <w:sz w:val="24"/>
          <w:szCs w:val="24"/>
        </w:rPr>
        <w:t>Costul forţei de muncă</w:t>
      </w:r>
      <w:r w:rsidRPr="006E7F55">
        <w:rPr>
          <w:rFonts w:ascii="Arial" w:hAnsi="Arial" w:cs="Arial"/>
          <w:sz w:val="24"/>
          <w:szCs w:val="24"/>
        </w:rPr>
        <w:t xml:space="preserve"> în 2010 îşi menţine ritmul de creştere pe care l-a avut în 2009 comparativ cu 2008, în timp ce pentru anii 2011-2020 am considerat un ritm anual de creştere de 1.015 constant.</w:t>
      </w: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Pentru agricultură s-a luat în considerare ipoteza menținerii trendului observabil în perioada 2000-2008.</w:t>
      </w: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A fost  prognozată separat şi evoluţia celor 18 diviziuni CAEN (Rev.1) ce au fost excluse din modelul econometric din cauza lipsei de date. Pentru acestea am emis ipoteza conform căreia evoluţia populaţiei ocupate din cadrul lor îşi menţine trendul observabil pentru perioada 2000- 2008.</w:t>
      </w: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 xml:space="preserve">În final, s-a corectat modelul cu eroarea obţinută din predicţia populaţiei ocupate totale la nivel naţional pentru anii 2009 şi 2010 (engl. </w:t>
      </w:r>
      <w:r w:rsidRPr="006E7F55">
        <w:rPr>
          <w:rFonts w:ascii="Arial" w:hAnsi="Arial" w:cs="Arial"/>
          <w:i/>
          <w:sz w:val="24"/>
          <w:szCs w:val="24"/>
        </w:rPr>
        <w:t>nowcast</w:t>
      </w:r>
      <w:r w:rsidRPr="006E7F55">
        <w:rPr>
          <w:rFonts w:ascii="Arial" w:hAnsi="Arial" w:cs="Arial"/>
          <w:sz w:val="24"/>
          <w:szCs w:val="24"/>
        </w:rPr>
        <w:t xml:space="preserve">) cu valorile reale (erorile au fost de aprox. 1-2%). Neavând informaţii despre variabilele modelului în structura necesară pentru anii 2009 şi 2010, datele de prognoză trebuie privite cu </w:t>
      </w:r>
      <w:r w:rsidRPr="006E7F55">
        <w:rPr>
          <w:rFonts w:ascii="Arial" w:hAnsi="Arial" w:cs="Arial"/>
          <w:b/>
          <w:sz w:val="24"/>
          <w:szCs w:val="24"/>
        </w:rPr>
        <w:t>rezervă, în special pentru intrevalul 2014-2020.</w:t>
      </w:r>
      <w:r w:rsidRPr="006E7F55">
        <w:rPr>
          <w:rFonts w:ascii="Arial" w:hAnsi="Arial" w:cs="Arial"/>
          <w:sz w:val="24"/>
          <w:szCs w:val="24"/>
        </w:rPr>
        <w:t xml:space="preserve"> </w:t>
      </w: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 xml:space="preserve">Estimarea </w:t>
      </w:r>
      <w:r w:rsidRPr="006E7F55">
        <w:rPr>
          <w:rFonts w:ascii="Arial" w:hAnsi="Arial" w:cs="Arial"/>
          <w:b/>
          <w:sz w:val="24"/>
          <w:szCs w:val="24"/>
        </w:rPr>
        <w:t>cererii de pregătire profesională</w:t>
      </w:r>
      <w:r w:rsidRPr="006E7F55">
        <w:rPr>
          <w:rFonts w:ascii="Arial" w:hAnsi="Arial" w:cs="Arial"/>
          <w:sz w:val="24"/>
          <w:szCs w:val="24"/>
        </w:rPr>
        <w:t xml:space="preserve"> s-a realizat pornind de la proiecția cererii potențiale în scenariul moderat prin tehnici de modelare econometrică, în anumite ipoteze statistice, care s-a distribuit pe domenii de pregătire profesională. Lipsa de informații statistice cu privire la distribuția ocupării pe activități economice, subgrupe ocupaționale și domenii de pregătire profesională s-a constituit într-o barieră importantă în obținerea de informații de calitate. De aceea utilizarea lor fără precauții poate introduce erori substanțiale.  Prin urmare, cererea de pregătire profesională trebuie privită doar ca un element de ghidare, atât timp cât informațiile statistice nu oferă un grad de detaliere care să permită o estimare mai corectă. Cu toate acestea, matricea de transfer din activitățile economice și ocupații în domenii de </w:t>
      </w:r>
      <w:r w:rsidRPr="006E7F55">
        <w:rPr>
          <w:rFonts w:ascii="Arial" w:hAnsi="Arial" w:cs="Arial"/>
          <w:sz w:val="24"/>
          <w:szCs w:val="24"/>
        </w:rPr>
        <w:lastRenderedPageBreak/>
        <w:t>formare profesională este un instrument care se poate utiliza cu ușurință și se pot actualiza estimările pe măsură ce informațiile statistice se îmbogățesc (anexa 2).</w:t>
      </w:r>
    </w:p>
    <w:p w:rsidR="00010DF6" w:rsidRPr="006E7F55" w:rsidRDefault="00010DF6" w:rsidP="00010DF6">
      <w:pPr>
        <w:tabs>
          <w:tab w:val="left" w:pos="3720"/>
        </w:tabs>
        <w:spacing w:after="0"/>
        <w:jc w:val="both"/>
        <w:rPr>
          <w:rFonts w:ascii="Arial" w:hAnsi="Arial" w:cs="Arial"/>
          <w:sz w:val="24"/>
          <w:szCs w:val="24"/>
        </w:rPr>
      </w:pPr>
      <w:r w:rsidRPr="006E7F55">
        <w:rPr>
          <w:rFonts w:ascii="Arial" w:hAnsi="Arial" w:cs="Arial"/>
          <w:sz w:val="24"/>
          <w:szCs w:val="24"/>
        </w:rPr>
        <w:t xml:space="preserve">Pentru a putea da o dimensiune a </w:t>
      </w:r>
      <w:r w:rsidRPr="006E7F55">
        <w:rPr>
          <w:rFonts w:ascii="Arial" w:hAnsi="Arial" w:cs="Arial"/>
          <w:b/>
          <w:sz w:val="24"/>
          <w:szCs w:val="24"/>
        </w:rPr>
        <w:t xml:space="preserve"> cererii de formare profesională</w:t>
      </w:r>
      <w:r w:rsidRPr="006E7F55">
        <w:rPr>
          <w:rFonts w:ascii="Arial" w:hAnsi="Arial" w:cs="Arial"/>
          <w:sz w:val="24"/>
          <w:szCs w:val="24"/>
        </w:rPr>
        <w:t xml:space="preserve"> am realizat o tranziție de la cererea de forţă de muncă la cererea de formare profesională pe baza datelor din ancheta de teren, prin estimarea probabilitatilor de distribuţie a salariaţilor pe grupe de ocupaţii functie de  domeniile lor de pregătire în cadrul învăţământului profesional şi tehnic. Deoarece datele avute la dispoziţie au permis realizarea proiecţiilor doar în intersecţia subgrupe majore de ocupaţii şi secţiuni CAEN Rev2,  pentru a detalia industria prelucrătoare pe diviziuni s-a utilizat structura pe ocupaţii şi activităţi economice din Recensământul din anul 2002. Presupunând că structura populaţiei ocupate pe diviziuni în cadrul industriei prelucrătoare nu s-a modificat de la data ultimului recensământ, s-a aplicat această structură la rezultatele proiecţiei cererii de forţă de muncă pe subgrupe majore de ocupaţii şi secţiuni CAEN.</w:t>
      </w:r>
    </w:p>
    <w:p w:rsidR="00010DF6" w:rsidRDefault="00010DF6" w:rsidP="004F27C8">
      <w:pPr>
        <w:tabs>
          <w:tab w:val="left" w:pos="3720"/>
        </w:tabs>
        <w:spacing w:after="0"/>
        <w:jc w:val="both"/>
        <w:rPr>
          <w:rFonts w:ascii="Arial" w:hAnsi="Arial" w:cs="Arial"/>
          <w:sz w:val="24"/>
          <w:szCs w:val="24"/>
        </w:rPr>
      </w:pPr>
      <w:r w:rsidRPr="006E7F55">
        <w:rPr>
          <w:rFonts w:ascii="Arial" w:hAnsi="Arial" w:cs="Arial"/>
          <w:sz w:val="24"/>
          <w:szCs w:val="24"/>
        </w:rPr>
        <w:t>În continuare, evoluţia cererii de formare profesională pe domenii de pregătire ale învăţământului profesional şi tehnic este estimată prin raportarea la distribuţia cererii de forţă de muncă în următoarea structură matriceală ca intersecție dintre structura pe grupe de ocupații și structura pe activități CAEN a cererii progonzate de forță de muncă în scenariul moderat.</w:t>
      </w:r>
    </w:p>
    <w:p w:rsidR="004F27C8" w:rsidRPr="004F27C8" w:rsidRDefault="004F27C8" w:rsidP="004F27C8">
      <w:pPr>
        <w:tabs>
          <w:tab w:val="left" w:pos="3720"/>
        </w:tabs>
        <w:spacing w:after="0"/>
        <w:jc w:val="both"/>
        <w:rPr>
          <w:rFonts w:ascii="Arial" w:hAnsi="Arial" w:cs="Arial"/>
          <w:sz w:val="24"/>
          <w:szCs w:val="24"/>
        </w:rPr>
      </w:pPr>
    </w:p>
    <w:p w:rsidR="00010DF6" w:rsidRPr="004F27C8" w:rsidRDefault="00010DF6" w:rsidP="00010DF6">
      <w:pPr>
        <w:spacing w:after="0"/>
        <w:contextualSpacing/>
        <w:jc w:val="both"/>
        <w:rPr>
          <w:rFonts w:ascii="Arial" w:hAnsi="Arial" w:cs="Arial"/>
          <w:sz w:val="24"/>
          <w:szCs w:val="24"/>
        </w:rPr>
      </w:pPr>
      <w:r w:rsidRPr="004F27C8">
        <w:rPr>
          <w:rFonts w:ascii="Arial" w:hAnsi="Arial" w:cs="Arial"/>
          <w:sz w:val="24"/>
          <w:szCs w:val="24"/>
        </w:rPr>
        <w:t>Limite și dificultăți</w:t>
      </w:r>
    </w:p>
    <w:p w:rsidR="004F27C8" w:rsidRDefault="00010DF6" w:rsidP="004F27C8">
      <w:pPr>
        <w:spacing w:after="0"/>
        <w:contextualSpacing/>
        <w:jc w:val="both"/>
        <w:rPr>
          <w:rFonts w:ascii="Arial" w:hAnsi="Arial" w:cs="Arial"/>
          <w:sz w:val="24"/>
          <w:szCs w:val="24"/>
        </w:rPr>
      </w:pPr>
      <w:r w:rsidRPr="006E7F55">
        <w:rPr>
          <w:rFonts w:ascii="Arial" w:hAnsi="Arial" w:cs="Arial"/>
          <w:b/>
          <w:sz w:val="24"/>
          <w:szCs w:val="24"/>
        </w:rPr>
        <w:t xml:space="preserve">Principalele dificultăţi întâmpinate în realizarea proiecţiilor </w:t>
      </w:r>
      <w:r w:rsidRPr="006E7F55">
        <w:rPr>
          <w:rFonts w:ascii="Arial" w:hAnsi="Arial" w:cs="Arial"/>
          <w:sz w:val="24"/>
          <w:szCs w:val="24"/>
        </w:rPr>
        <w:t>se leagă de</w:t>
      </w:r>
      <w:r w:rsidRPr="006E7F55">
        <w:rPr>
          <w:rFonts w:ascii="Arial" w:hAnsi="Arial" w:cs="Arial"/>
          <w:b/>
          <w:sz w:val="24"/>
          <w:szCs w:val="24"/>
        </w:rPr>
        <w:t xml:space="preserve"> </w:t>
      </w:r>
      <w:r w:rsidRPr="006E7F55">
        <w:rPr>
          <w:rFonts w:ascii="Arial" w:hAnsi="Arial" w:cs="Arial"/>
          <w:sz w:val="24"/>
          <w:szCs w:val="24"/>
        </w:rPr>
        <w:t>datele avute la dispoziţie pentru realizarea prognozelor şi care nu au corespuns în totalitate necesităţilor noastre, şi anume:</w:t>
      </w:r>
    </w:p>
    <w:p w:rsidR="004F27C8" w:rsidRDefault="00010DF6" w:rsidP="00445724">
      <w:pPr>
        <w:pStyle w:val="ListParagraph"/>
        <w:numPr>
          <w:ilvl w:val="0"/>
          <w:numId w:val="42"/>
        </w:numPr>
        <w:contextualSpacing/>
        <w:jc w:val="both"/>
        <w:rPr>
          <w:rFonts w:ascii="Arial" w:hAnsi="Arial" w:cs="Arial"/>
          <w:sz w:val="24"/>
          <w:szCs w:val="24"/>
        </w:rPr>
      </w:pPr>
      <w:r w:rsidRPr="004F27C8">
        <w:rPr>
          <w:rFonts w:ascii="Arial" w:hAnsi="Arial" w:cs="Arial"/>
          <w:sz w:val="24"/>
          <w:szCs w:val="24"/>
        </w:rPr>
        <w:t>pentru perioada 1998-2008 datele cu privire la populaţia ocupată pe activităţi economice la nivel naţional, respectiv regional sunt în structură CAEN Rev1, pentru 2009-2010 fiind în structură CAEN Rev2. Nu s-a putut obţine conversia datelor între cele două clasificări, motiv pentru care în proiecţii s-au utilizat doar datele până în 2008, pentru perioada 2009-2010 informațiile fiind unele de prognoză.</w:t>
      </w:r>
    </w:p>
    <w:p w:rsidR="004F27C8" w:rsidRDefault="00010DF6" w:rsidP="00445724">
      <w:pPr>
        <w:pStyle w:val="ListParagraph"/>
        <w:numPr>
          <w:ilvl w:val="0"/>
          <w:numId w:val="42"/>
        </w:numPr>
        <w:contextualSpacing/>
        <w:jc w:val="both"/>
        <w:rPr>
          <w:rFonts w:ascii="Arial" w:hAnsi="Arial" w:cs="Arial"/>
          <w:sz w:val="24"/>
          <w:szCs w:val="24"/>
        </w:rPr>
      </w:pPr>
      <w:r w:rsidRPr="004F27C8">
        <w:rPr>
          <w:rFonts w:ascii="Arial" w:hAnsi="Arial" w:cs="Arial"/>
          <w:sz w:val="24"/>
          <w:szCs w:val="24"/>
        </w:rPr>
        <w:t>datele cu privire la populaţia ocupată pe subgrupe majore de ocupaţii la nivel de judeţ (2 digiţi) s-au obţinut doar pentru anii 2009 şi 2010. Pentru restul perioadei am avut la dispoziţie numai date la nivel regional. Prin urmare, s-a emis ipoteza că alocarea ocupațională a populației pe județe a respectat schema de alocare din 2009 și 2010.</w:t>
      </w:r>
    </w:p>
    <w:p w:rsidR="004F27C8" w:rsidRDefault="00010DF6" w:rsidP="00445724">
      <w:pPr>
        <w:pStyle w:val="ListParagraph"/>
        <w:numPr>
          <w:ilvl w:val="0"/>
          <w:numId w:val="42"/>
        </w:numPr>
        <w:contextualSpacing/>
        <w:jc w:val="both"/>
        <w:rPr>
          <w:rFonts w:ascii="Arial" w:hAnsi="Arial" w:cs="Arial"/>
          <w:sz w:val="24"/>
          <w:szCs w:val="24"/>
        </w:rPr>
      </w:pPr>
      <w:r w:rsidRPr="004F27C8">
        <w:rPr>
          <w:rFonts w:ascii="Arial" w:hAnsi="Arial" w:cs="Arial"/>
          <w:sz w:val="24"/>
          <w:szCs w:val="24"/>
        </w:rPr>
        <w:t xml:space="preserve">nu s-au obţinut datele cu privire la PIB (VAB), respectiv Investiţii, defalcate pe activităţi economice (diviziuni CAEN) pentru anii 2009, 2010, primii ani de criză, în care aceste variabile au evoluat contrar tendinţei manifestate în perioada anterioară luată în considerare. Prin urmare, proiecţiile nu au ca date de intrare date cu privire la dinamica PIB (VAB), respectiv investiţii pentru anii de criză. Pentru această perioadă s-au făcut estimații utilizând informațiile economice generale rezultate din diverse analize economice. </w:t>
      </w:r>
    </w:p>
    <w:p w:rsidR="004F27C8" w:rsidRDefault="00010DF6" w:rsidP="00445724">
      <w:pPr>
        <w:pStyle w:val="ListParagraph"/>
        <w:numPr>
          <w:ilvl w:val="0"/>
          <w:numId w:val="42"/>
        </w:numPr>
        <w:contextualSpacing/>
        <w:jc w:val="both"/>
        <w:rPr>
          <w:rFonts w:ascii="Arial" w:hAnsi="Arial" w:cs="Arial"/>
          <w:sz w:val="24"/>
          <w:szCs w:val="24"/>
        </w:rPr>
      </w:pPr>
      <w:r w:rsidRPr="004F27C8">
        <w:rPr>
          <w:rFonts w:ascii="Arial" w:hAnsi="Arial" w:cs="Arial"/>
          <w:sz w:val="24"/>
          <w:szCs w:val="24"/>
        </w:rPr>
        <w:t>datele care s-au obţinut pentru costul forţei de muncă pentru anii 2009 şi 2010 pe activităţi economice sunt în clasificarea CAEN Rev2, în vreme ce pentru perioada 1998-2008 datele sunt în clasificarea CAEN Rev1.</w:t>
      </w:r>
    </w:p>
    <w:p w:rsidR="00010DF6" w:rsidRPr="004F27C8" w:rsidRDefault="00010DF6" w:rsidP="00445724">
      <w:pPr>
        <w:pStyle w:val="ListParagraph"/>
        <w:numPr>
          <w:ilvl w:val="0"/>
          <w:numId w:val="42"/>
        </w:numPr>
        <w:contextualSpacing/>
        <w:jc w:val="both"/>
        <w:rPr>
          <w:rFonts w:ascii="Arial" w:hAnsi="Arial" w:cs="Arial"/>
          <w:sz w:val="24"/>
          <w:szCs w:val="24"/>
        </w:rPr>
      </w:pPr>
      <w:r w:rsidRPr="004F27C8">
        <w:rPr>
          <w:rFonts w:ascii="Arial" w:hAnsi="Arial" w:cs="Arial"/>
          <w:sz w:val="24"/>
          <w:szCs w:val="24"/>
        </w:rPr>
        <w:t>datele cu privire la distribuţia populaţiei ocupate la nivel regional şi judeţean în intersecţie dintre grupe de ocupaţii şi activităţi economice au fost disponibile doar în structura subgrupe majore de ocupaţii şi secţiuni CAEN Rev2 şi doar pentru anii 2009 şi 2010.</w:t>
      </w: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lastRenderedPageBreak/>
        <w:t xml:space="preserve">În plus, pentru estimarea cererii de formare profesională pe domeniile de calificare ale învăţământului profesional şi tehnic ar fi fost necesară existenţa unor informaţii cu privire la inserţia profesională a absolvenţilor acestora pe grupe de ocupaţii şi activităţi economice la nivelul fiecărui judeţ şi la nivel naţional. Acestea ar fi putut ajuta în construirea unui pattern de alocare din domeniul de pregătire profesională în ocupație. În lipsa acestor informații s-au utilizat o matrice de alocare logică și s-a emis ipoteza că populația ocupată respectă această alocare. Informațiile au fost verificate și completate pe baza datelor obținute prin ancheta în firme, dar volumul redus al acesteia nu asigură o reprezentativitate acceptabilă a indicatorilor utilizați în comparație. </w:t>
      </w: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Ca urmare a acestor neajunsuri, s-au făcut numeroase presupuneri legate de evoluţia variabilelor luate în considerare pentru prognoze, ceea ce desigur afectează dramatic calitatea şi gradul de încredere al proiecţiilor.</w:t>
      </w:r>
    </w:p>
    <w:p w:rsidR="00010DF6" w:rsidRPr="006E7F55" w:rsidRDefault="00010DF6" w:rsidP="00010DF6">
      <w:pPr>
        <w:spacing w:after="0"/>
        <w:contextualSpacing/>
        <w:jc w:val="both"/>
        <w:rPr>
          <w:rFonts w:ascii="Arial" w:hAnsi="Arial" w:cs="Arial"/>
          <w:sz w:val="24"/>
          <w:szCs w:val="24"/>
        </w:rPr>
      </w:pPr>
      <w:r w:rsidRPr="006E7F55">
        <w:rPr>
          <w:rFonts w:ascii="Arial" w:hAnsi="Arial" w:cs="Arial"/>
          <w:sz w:val="24"/>
          <w:szCs w:val="24"/>
        </w:rPr>
        <w:t xml:space="preserve">De asemenea, reiterăm faptul că datele legate de populaţia ocupată utilizate pentru realizarea prognozelor provin din Ancheta forţei de muncă în gospodării (AMIGO), iar Institutului Naţional de Statistică recomandă prudenţă în interpretarea şi utilizarea acestor date în cazul în care valorile sunt mai mici de 114999 cazuri, acestea trebuind utilizate cu rezervă, având un grad redus de fiabilitate, iar valorile sub 6500 de cazuri sunt nefiabile datorită numărului redus de cazuri observate. Prin urmare, aceste limite afectează şi rezultatele proiecţiilor realizate, mai ales că rezultatele au un grad mare de detaliere. </w:t>
      </w:r>
    </w:p>
    <w:p w:rsidR="00010DF6" w:rsidRPr="006E7F55" w:rsidRDefault="00010DF6" w:rsidP="00010DF6">
      <w:pPr>
        <w:spacing w:after="0"/>
        <w:contextualSpacing/>
        <w:jc w:val="both"/>
        <w:rPr>
          <w:rFonts w:ascii="Arial" w:hAnsi="Arial" w:cs="Arial"/>
          <w:b/>
          <w:sz w:val="24"/>
          <w:szCs w:val="24"/>
        </w:rPr>
      </w:pPr>
    </w:p>
    <w:p w:rsidR="00010DF6" w:rsidRPr="00FB2423" w:rsidRDefault="00FB2423" w:rsidP="00010DF6">
      <w:pPr>
        <w:spacing w:after="0"/>
        <w:contextualSpacing/>
        <w:jc w:val="both"/>
        <w:rPr>
          <w:rFonts w:ascii="Arial" w:hAnsi="Arial" w:cs="Arial"/>
          <w:sz w:val="24"/>
          <w:szCs w:val="24"/>
        </w:rPr>
      </w:pPr>
      <w:r w:rsidRPr="00FB2423">
        <w:rPr>
          <w:rFonts w:ascii="Arial" w:hAnsi="Arial" w:cs="Arial"/>
          <w:sz w:val="24"/>
          <w:szCs w:val="24"/>
        </w:rPr>
        <w:t>2. Rezultatele proiecțiilor</w:t>
      </w:r>
    </w:p>
    <w:p w:rsidR="00010DF6" w:rsidRPr="00FB2423" w:rsidRDefault="00010DF6" w:rsidP="00010DF6">
      <w:pPr>
        <w:spacing w:after="0"/>
        <w:contextualSpacing/>
        <w:rPr>
          <w:rFonts w:ascii="Arial" w:hAnsi="Arial" w:cs="Arial"/>
          <w:sz w:val="24"/>
          <w:szCs w:val="24"/>
        </w:rPr>
      </w:pPr>
      <w:r w:rsidRPr="00FB2423">
        <w:rPr>
          <w:rFonts w:ascii="Arial" w:hAnsi="Arial" w:cs="Arial"/>
          <w:sz w:val="24"/>
          <w:szCs w:val="24"/>
        </w:rPr>
        <w:t>2.1.Glosar de termeni</w:t>
      </w:r>
    </w:p>
    <w:p w:rsidR="00010DF6" w:rsidRPr="006E7F55" w:rsidRDefault="00010DF6" w:rsidP="00010DF6">
      <w:pPr>
        <w:spacing w:after="0"/>
        <w:jc w:val="both"/>
        <w:rPr>
          <w:rFonts w:ascii="Arial" w:hAnsi="Arial" w:cs="Arial"/>
          <w:sz w:val="24"/>
          <w:szCs w:val="24"/>
        </w:rPr>
      </w:pPr>
      <w:r w:rsidRPr="006E7F55">
        <w:rPr>
          <w:rFonts w:ascii="Arial" w:hAnsi="Arial" w:cs="Arial"/>
          <w:sz w:val="24"/>
          <w:szCs w:val="24"/>
        </w:rPr>
        <w:t>În prezentarea rezultatelor proiecțiilor, s-au utilizat o serie de termeni care vor fi explicați în cele ce urmează.</w:t>
      </w:r>
    </w:p>
    <w:p w:rsidR="00010DF6" w:rsidRPr="006E7F55" w:rsidRDefault="00010DF6" w:rsidP="00010DF6">
      <w:pPr>
        <w:spacing w:after="0"/>
        <w:jc w:val="both"/>
        <w:rPr>
          <w:rFonts w:ascii="Arial" w:hAnsi="Arial" w:cs="Arial"/>
          <w:sz w:val="24"/>
          <w:szCs w:val="24"/>
        </w:rPr>
      </w:pPr>
      <w:r w:rsidRPr="006E7F55">
        <w:rPr>
          <w:rFonts w:ascii="Arial" w:hAnsi="Arial" w:cs="Arial"/>
          <w:sz w:val="24"/>
          <w:szCs w:val="24"/>
        </w:rPr>
        <w:t xml:space="preserve">Astfel, </w:t>
      </w:r>
      <w:r w:rsidRPr="006E7F55">
        <w:rPr>
          <w:rFonts w:ascii="Arial" w:hAnsi="Arial" w:cs="Arial"/>
          <w:b/>
          <w:sz w:val="24"/>
          <w:szCs w:val="24"/>
        </w:rPr>
        <w:t>cererea potențială de forță de muncă</w:t>
      </w:r>
      <w:r w:rsidRPr="006E7F55">
        <w:rPr>
          <w:rFonts w:ascii="Arial" w:hAnsi="Arial" w:cs="Arial"/>
          <w:sz w:val="24"/>
          <w:szCs w:val="24"/>
        </w:rPr>
        <w:t xml:space="preserve"> reprezintă volumul de forță de muncă (număr persoane) estimat ca necesar pentru derularea activităților economice, în termeni de populație ocupată. Acest nivel va fi satisfăcut atunci când numărul persoanelor efectiv ocupate este egal cu nivelul estimat ca necesar de populație ocupată; în celelalte cazuri vom avea un deficit sau un excedent față de necesarul de populație ocupată. Cererea potențială estimează necesarul de populație ocupată, însă evoluția populației efectiv ocupate depinde nu numai de evoluțiile economiei ci și de o multitudine de alți factori (ex. factori demografici, migrație,  potrivirea calitativă între cererea și oferta de forță de muncă etc.). În consecință, cererea potențială de forță de muncă nu trebuie confundată cu populația ocupată (deși are valori aparent identice sau apropiate față de aceasta) și nu trebuie considerată ca cerere efectivă în termeni de locuri de muncă vacante. În schimb, previziunile privind cererea potențială oferă repere de analiză pentru evoluția structurii cererii pe sectoare de activitate, ocupații, niveluri de calificare, domenii de pregătire profesională. </w:t>
      </w:r>
    </w:p>
    <w:p w:rsidR="00010DF6" w:rsidRPr="006E7F55" w:rsidRDefault="00010DF6" w:rsidP="00010DF6">
      <w:pPr>
        <w:spacing w:after="0"/>
        <w:jc w:val="both"/>
        <w:rPr>
          <w:rFonts w:ascii="Arial" w:hAnsi="Arial" w:cs="Arial"/>
          <w:sz w:val="24"/>
          <w:szCs w:val="24"/>
        </w:rPr>
      </w:pPr>
      <w:r w:rsidRPr="006E7F55">
        <w:rPr>
          <w:rFonts w:ascii="Arial" w:hAnsi="Arial" w:cs="Arial"/>
          <w:b/>
          <w:sz w:val="24"/>
          <w:szCs w:val="24"/>
        </w:rPr>
        <w:t xml:space="preserve">Cererea înlocuită </w:t>
      </w:r>
      <w:r w:rsidRPr="006E7F55">
        <w:rPr>
          <w:rFonts w:ascii="Arial" w:hAnsi="Arial" w:cs="Arial"/>
          <w:sz w:val="24"/>
          <w:szCs w:val="24"/>
        </w:rPr>
        <w:t xml:space="preserve">reprezintă numărul de locuri de muncă rezultate din retragerea participanţilor la activitatea economică ca urmare a pensionărilor și a altor pierderi naturale pentru orizontul de prognoză. </w:t>
      </w:r>
    </w:p>
    <w:p w:rsidR="00010DF6" w:rsidRPr="006E7F55" w:rsidRDefault="00010DF6" w:rsidP="00010DF6">
      <w:pPr>
        <w:spacing w:after="0"/>
        <w:jc w:val="both"/>
        <w:rPr>
          <w:rFonts w:ascii="Arial" w:hAnsi="Arial" w:cs="Arial"/>
          <w:sz w:val="24"/>
          <w:szCs w:val="24"/>
        </w:rPr>
      </w:pPr>
      <w:r w:rsidRPr="006E7F55">
        <w:rPr>
          <w:rFonts w:ascii="Arial" w:hAnsi="Arial" w:cs="Arial"/>
          <w:b/>
          <w:sz w:val="24"/>
          <w:szCs w:val="24"/>
        </w:rPr>
        <w:t xml:space="preserve">Locurile de muncă disponibile </w:t>
      </w:r>
      <w:r w:rsidRPr="006E7F55">
        <w:rPr>
          <w:rFonts w:ascii="Arial" w:hAnsi="Arial" w:cs="Arial"/>
          <w:sz w:val="24"/>
          <w:szCs w:val="24"/>
        </w:rPr>
        <w:t xml:space="preserve"> reprezintă suma dintre modificarea cererii potențiale față de începutul intervalului analizat și cererea înlocuită. Modificarea cererii </w:t>
      </w:r>
      <w:r w:rsidRPr="006E7F55">
        <w:rPr>
          <w:rFonts w:ascii="Arial" w:hAnsi="Arial" w:cs="Arial"/>
          <w:sz w:val="24"/>
          <w:szCs w:val="24"/>
        </w:rPr>
        <w:lastRenderedPageBreak/>
        <w:t>potențiale față de începutul intervalului analizat (anul) reprezintă, de fapt, creșterea sau scăderea cererii potențiale de la un an la altul.</w:t>
      </w:r>
    </w:p>
    <w:p w:rsidR="00010DF6" w:rsidRPr="006E7F55" w:rsidRDefault="00010DF6" w:rsidP="00010DF6">
      <w:pPr>
        <w:spacing w:after="0"/>
        <w:jc w:val="both"/>
        <w:rPr>
          <w:rFonts w:ascii="Arial" w:hAnsi="Arial" w:cs="Arial"/>
          <w:b/>
          <w:sz w:val="24"/>
          <w:szCs w:val="24"/>
        </w:rPr>
      </w:pPr>
      <w:r w:rsidRPr="006E7F55">
        <w:rPr>
          <w:rFonts w:ascii="Arial" w:hAnsi="Arial" w:cs="Arial"/>
          <w:b/>
          <w:sz w:val="24"/>
          <w:szCs w:val="24"/>
        </w:rPr>
        <w:t xml:space="preserve">Cererea potențială relevanță pentru IPT </w:t>
      </w:r>
      <w:r w:rsidRPr="006E7F55">
        <w:rPr>
          <w:rFonts w:ascii="Arial" w:hAnsi="Arial" w:cs="Arial"/>
          <w:sz w:val="24"/>
          <w:szCs w:val="24"/>
        </w:rPr>
        <w:t>reprezintă aceea parte  a cererii potențiale care se regăsește în ocupații relevante pentru IPT</w:t>
      </w:r>
      <w:r w:rsidRPr="006E7F55">
        <w:rPr>
          <w:rFonts w:ascii="Arial" w:hAnsi="Arial" w:cs="Arial"/>
          <w:b/>
          <w:sz w:val="24"/>
          <w:szCs w:val="24"/>
        </w:rPr>
        <w:t xml:space="preserve"> (</w:t>
      </w:r>
      <w:r w:rsidRPr="006E7F55">
        <w:rPr>
          <w:rFonts w:ascii="Arial" w:hAnsi="Arial" w:cs="Arial"/>
          <w:sz w:val="24"/>
          <w:szCs w:val="24"/>
        </w:rPr>
        <w:t>la fel și</w:t>
      </w:r>
      <w:r w:rsidRPr="006E7F55">
        <w:rPr>
          <w:rFonts w:ascii="Arial" w:hAnsi="Arial" w:cs="Arial"/>
          <w:b/>
          <w:sz w:val="24"/>
          <w:szCs w:val="24"/>
        </w:rPr>
        <w:t xml:space="preserve"> cererea înlocuită relevantă pentru IPT </w:t>
      </w:r>
      <w:r w:rsidRPr="006E7F55">
        <w:rPr>
          <w:rFonts w:ascii="Arial" w:hAnsi="Arial" w:cs="Arial"/>
          <w:sz w:val="24"/>
          <w:szCs w:val="24"/>
        </w:rPr>
        <w:t xml:space="preserve">și </w:t>
      </w:r>
      <w:r w:rsidRPr="006E7F55">
        <w:rPr>
          <w:rFonts w:ascii="Arial" w:hAnsi="Arial" w:cs="Arial"/>
          <w:b/>
          <w:sz w:val="24"/>
          <w:szCs w:val="24"/>
        </w:rPr>
        <w:t>locurile de muncă disponibile relevante pentru IPT).</w:t>
      </w:r>
    </w:p>
    <w:p w:rsidR="00010DF6" w:rsidRPr="00F86F3D" w:rsidRDefault="00010DF6" w:rsidP="000C6A67">
      <w:pPr>
        <w:spacing w:after="0" w:line="240" w:lineRule="auto"/>
        <w:jc w:val="both"/>
        <w:rPr>
          <w:rFonts w:ascii="Arial" w:hAnsi="Arial" w:cs="Arial"/>
          <w:bCs/>
          <w:i/>
          <w:sz w:val="24"/>
          <w:szCs w:val="24"/>
          <w:lang w:eastAsia="ro-RO"/>
        </w:rPr>
      </w:pPr>
    </w:p>
    <w:p w:rsidR="00D45E55" w:rsidRPr="002B452F" w:rsidRDefault="00AF2F7A" w:rsidP="000C6A67">
      <w:pPr>
        <w:pStyle w:val="Heading3"/>
        <w:spacing w:before="0" w:line="240" w:lineRule="auto"/>
        <w:jc w:val="both"/>
        <w:rPr>
          <w:rFonts w:ascii="Arial" w:hAnsi="Arial" w:cs="Arial"/>
          <w:b w:val="0"/>
          <w:color w:val="auto"/>
          <w:sz w:val="24"/>
          <w:szCs w:val="24"/>
          <w:lang w:eastAsia="ro-RO"/>
        </w:rPr>
      </w:pPr>
      <w:bookmarkStart w:id="83" w:name="_Toc488066054"/>
      <w:r w:rsidRPr="002B452F">
        <w:rPr>
          <w:rFonts w:ascii="Arial" w:hAnsi="Arial" w:cs="Arial"/>
          <w:b w:val="0"/>
          <w:color w:val="auto"/>
          <w:sz w:val="24"/>
          <w:szCs w:val="24"/>
          <w:lang w:eastAsia="ro-RO"/>
        </w:rPr>
        <w:t>5</w:t>
      </w:r>
      <w:r w:rsidR="00D45E55" w:rsidRPr="002B452F">
        <w:rPr>
          <w:rFonts w:ascii="Arial" w:hAnsi="Arial" w:cs="Arial"/>
          <w:b w:val="0"/>
          <w:color w:val="auto"/>
          <w:sz w:val="24"/>
          <w:szCs w:val="24"/>
          <w:lang w:eastAsia="ro-RO"/>
        </w:rPr>
        <w:t>.7.3. Anchete în firme</w:t>
      </w:r>
      <w:bookmarkEnd w:id="83"/>
    </w:p>
    <w:p w:rsidR="00010DF6" w:rsidRDefault="00010DF6" w:rsidP="001523E0">
      <w:pPr>
        <w:pStyle w:val="Heading2"/>
        <w:shd w:val="clear" w:color="auto" w:fill="FFFFFF" w:themeFill="background1"/>
        <w:spacing w:before="0" w:line="240" w:lineRule="auto"/>
        <w:jc w:val="both"/>
        <w:rPr>
          <w:rFonts w:ascii="Arial" w:hAnsi="Arial" w:cs="Arial"/>
          <w:color w:val="auto"/>
          <w:sz w:val="24"/>
          <w:szCs w:val="24"/>
          <w:lang w:eastAsia="ro-RO"/>
        </w:rPr>
      </w:pPr>
      <w:bookmarkStart w:id="84" w:name="_Toc488066055"/>
    </w:p>
    <w:p w:rsidR="00010DF6" w:rsidRDefault="00010DF6" w:rsidP="001523E0">
      <w:pPr>
        <w:pStyle w:val="Heading2"/>
        <w:shd w:val="clear" w:color="auto" w:fill="FFFFFF" w:themeFill="background1"/>
        <w:spacing w:before="0" w:line="240" w:lineRule="auto"/>
        <w:jc w:val="both"/>
        <w:rPr>
          <w:rFonts w:ascii="Arial" w:hAnsi="Arial" w:cs="Arial"/>
          <w:color w:val="auto"/>
          <w:sz w:val="24"/>
          <w:szCs w:val="24"/>
          <w:lang w:eastAsia="ro-RO"/>
        </w:rPr>
      </w:pPr>
    </w:p>
    <w:p w:rsidR="001523E0" w:rsidRPr="00FE6E36" w:rsidRDefault="00AF2F7A" w:rsidP="001523E0">
      <w:pPr>
        <w:pStyle w:val="Heading2"/>
        <w:shd w:val="clear" w:color="auto" w:fill="FFFFFF" w:themeFill="background1"/>
        <w:spacing w:before="0" w:line="240" w:lineRule="auto"/>
        <w:jc w:val="both"/>
        <w:rPr>
          <w:rFonts w:ascii="Arial" w:hAnsi="Arial" w:cs="Arial"/>
          <w:color w:val="auto"/>
          <w:sz w:val="24"/>
          <w:szCs w:val="24"/>
          <w:lang w:eastAsia="ro-RO"/>
        </w:rPr>
      </w:pPr>
      <w:r w:rsidRPr="00FE6E36">
        <w:rPr>
          <w:rFonts w:ascii="Arial" w:hAnsi="Arial" w:cs="Arial"/>
          <w:color w:val="auto"/>
          <w:sz w:val="24"/>
          <w:szCs w:val="24"/>
          <w:lang w:eastAsia="ro-RO"/>
        </w:rPr>
        <w:t>5.</w:t>
      </w:r>
      <w:r w:rsidR="00D45E55" w:rsidRPr="00FE6E36">
        <w:rPr>
          <w:rFonts w:ascii="Arial" w:hAnsi="Arial" w:cs="Arial"/>
          <w:color w:val="auto"/>
          <w:sz w:val="24"/>
          <w:szCs w:val="24"/>
          <w:lang w:eastAsia="ro-RO"/>
        </w:rPr>
        <w:t>8. Principalele concluzii din analiza pieţei muncii. Implicaţii pentru ÎPT</w:t>
      </w:r>
      <w:bookmarkEnd w:id="84"/>
    </w:p>
    <w:p w:rsidR="0034372B" w:rsidRPr="0034372B" w:rsidRDefault="0034372B" w:rsidP="0034372B">
      <w:pPr>
        <w:rPr>
          <w:lang w:eastAsia="ro-RO"/>
        </w:rPr>
      </w:pPr>
    </w:p>
    <w:p w:rsidR="0001282A" w:rsidRPr="001523E0" w:rsidRDefault="0050550C" w:rsidP="00445724">
      <w:pPr>
        <w:pStyle w:val="ListParagraph"/>
        <w:numPr>
          <w:ilvl w:val="0"/>
          <w:numId w:val="30"/>
        </w:numPr>
        <w:jc w:val="both"/>
        <w:rPr>
          <w:rFonts w:ascii="Arial" w:hAnsi="Arial" w:cs="Arial"/>
          <w:sz w:val="24"/>
          <w:szCs w:val="24"/>
        </w:rPr>
      </w:pPr>
      <w:r w:rsidRPr="001523E0">
        <w:rPr>
          <w:rFonts w:ascii="Arial" w:hAnsi="Arial" w:cs="Arial"/>
          <w:sz w:val="24"/>
          <w:szCs w:val="24"/>
        </w:rPr>
        <w:t>Scăderea populației active cât și a populației ocupate;</w:t>
      </w:r>
    </w:p>
    <w:p w:rsidR="00943D97" w:rsidRDefault="0001282A" w:rsidP="00445724">
      <w:pPr>
        <w:pStyle w:val="BodyText"/>
        <w:numPr>
          <w:ilvl w:val="0"/>
          <w:numId w:val="29"/>
        </w:numPr>
        <w:spacing w:after="0" w:line="240" w:lineRule="auto"/>
        <w:jc w:val="both"/>
        <w:rPr>
          <w:rFonts w:ascii="Arial" w:hAnsi="Arial" w:cs="Arial"/>
          <w:sz w:val="24"/>
          <w:szCs w:val="24"/>
        </w:rPr>
      </w:pPr>
      <w:r w:rsidRPr="0001282A">
        <w:rPr>
          <w:rFonts w:ascii="Arial" w:hAnsi="Arial" w:cs="Arial"/>
          <w:sz w:val="24"/>
          <w:szCs w:val="24"/>
        </w:rPr>
        <w:t>Populația cu  nivel de pregătire scăzut (gimnazial sau fără şcoală absolvită), are  posibilităţi foarte reduse de a ocupa un loc de munca. Posibilitatea de a ocupa un loc de muncă este de aproape 5 ori mai mare pentru persoanele care deţin un nivel de instruire mediu faţă de persoanele care nu au nici o calificare. Acest lucru este vizibil din tendința înregistrată pe perioada 2008-2015, în care crește cu 5% ponderea celor cu studii superioare din totalul populației active, și în mod similar și a celor cu studii liceale (cu 12,6%), în defavoarea celor cu studii gimnaziale (-3,1%) sau profesionale (-11,6%). Chiar dacă ponderea populației active cu studii superioare prezintă o creștere evidentă în perioada analizată, valoarea de 17,5% rămâne mult în urma țintelor europene.</w:t>
      </w:r>
    </w:p>
    <w:p w:rsidR="0001282A" w:rsidRDefault="00943D97" w:rsidP="00445724">
      <w:pPr>
        <w:pStyle w:val="BodyText"/>
        <w:numPr>
          <w:ilvl w:val="0"/>
          <w:numId w:val="29"/>
        </w:numPr>
        <w:spacing w:after="0" w:line="240" w:lineRule="auto"/>
        <w:jc w:val="both"/>
        <w:rPr>
          <w:rFonts w:ascii="Arial" w:hAnsi="Arial" w:cs="Arial"/>
          <w:sz w:val="24"/>
          <w:szCs w:val="24"/>
        </w:rPr>
      </w:pPr>
      <w:r w:rsidRPr="00B309E0">
        <w:rPr>
          <w:rFonts w:ascii="Arial" w:hAnsi="Arial" w:cs="Arial"/>
          <w:sz w:val="24"/>
          <w:szCs w:val="24"/>
        </w:rPr>
        <w:t>Evoluţia structurii populaţiei ocupate după nivelul de instruire, în</w:t>
      </w:r>
      <w:r>
        <w:rPr>
          <w:rFonts w:ascii="Arial" w:hAnsi="Arial" w:cs="Arial"/>
          <w:sz w:val="24"/>
          <w:szCs w:val="24"/>
        </w:rPr>
        <w:t xml:space="preserve"> Reginea Vest, în perioada 2008 - </w:t>
      </w:r>
      <w:r w:rsidRPr="00B309E0">
        <w:rPr>
          <w:rFonts w:ascii="Arial" w:hAnsi="Arial" w:cs="Arial"/>
          <w:sz w:val="24"/>
          <w:szCs w:val="24"/>
        </w:rPr>
        <w:t>2015 evidenţiază creşterea ponderii populaţiei ocupate cu studii superioare şi a populaţiei ocupate cu nivel de pregătire mediu (liceal), în paralel cu o scădere semnif</w:t>
      </w:r>
      <w:r>
        <w:rPr>
          <w:rFonts w:ascii="Arial" w:hAnsi="Arial" w:cs="Arial"/>
          <w:sz w:val="24"/>
          <w:szCs w:val="24"/>
        </w:rPr>
        <w:t xml:space="preserve">icativă a ponderii persoanelor </w:t>
      </w:r>
      <w:r w:rsidRPr="00B309E0">
        <w:rPr>
          <w:rFonts w:ascii="Arial" w:hAnsi="Arial" w:cs="Arial"/>
          <w:sz w:val="24"/>
          <w:szCs w:val="24"/>
        </w:rPr>
        <w:t>cu nivel scăzut de pregătire (gimnazial și primar sau fără şcoală absolvită).</w:t>
      </w:r>
    </w:p>
    <w:p w:rsidR="0034372B" w:rsidRPr="0034372B" w:rsidRDefault="0034372B" w:rsidP="00445724">
      <w:pPr>
        <w:pStyle w:val="BodyText"/>
        <w:numPr>
          <w:ilvl w:val="0"/>
          <w:numId w:val="28"/>
        </w:numPr>
        <w:shd w:val="clear" w:color="auto" w:fill="FFFFFF" w:themeFill="background1"/>
        <w:spacing w:after="0" w:line="240" w:lineRule="auto"/>
        <w:jc w:val="both"/>
        <w:rPr>
          <w:rFonts w:ascii="Arial" w:hAnsi="Arial" w:cs="Arial"/>
          <w:sz w:val="24"/>
          <w:szCs w:val="24"/>
          <w:lang w:eastAsia="ro-RO"/>
        </w:rPr>
      </w:pPr>
      <w:r w:rsidRPr="0034372B">
        <w:rPr>
          <w:rFonts w:ascii="Arial" w:hAnsi="Arial" w:cs="Arial"/>
          <w:sz w:val="24"/>
          <w:szCs w:val="24"/>
          <w:lang w:val="fr-FR"/>
        </w:rPr>
        <w:t xml:space="preserve">Referitor la structura şomajului pe  nivele de educație, cea mai afectată categorie și totodată expusă riscului este cea a tinerilor cu nivel de educație primar, gimnazial și profesional. </w:t>
      </w:r>
    </w:p>
    <w:p w:rsidR="001937AF" w:rsidRPr="0034372B" w:rsidRDefault="0001282A" w:rsidP="00445724">
      <w:pPr>
        <w:pStyle w:val="BodyText"/>
        <w:numPr>
          <w:ilvl w:val="0"/>
          <w:numId w:val="28"/>
        </w:numPr>
        <w:shd w:val="clear" w:color="auto" w:fill="FFFFFF" w:themeFill="background1"/>
        <w:spacing w:after="0" w:line="240" w:lineRule="auto"/>
        <w:jc w:val="both"/>
        <w:rPr>
          <w:rFonts w:ascii="Arial" w:hAnsi="Arial" w:cs="Arial"/>
          <w:sz w:val="24"/>
          <w:szCs w:val="24"/>
          <w:lang w:eastAsia="ro-RO"/>
        </w:rPr>
      </w:pPr>
      <w:r w:rsidRPr="0034372B">
        <w:rPr>
          <w:rFonts w:ascii="Arial" w:hAnsi="Arial" w:cs="Arial"/>
          <w:sz w:val="24"/>
          <w:szCs w:val="24"/>
        </w:rPr>
        <w:t xml:space="preserve">Pentru întreaga perioadă se înregistrează o tendință de scădere a ratei șomajului, un semn al revigorării pieței muncii, ajungând la valori critice pentru acest indicator, fiind </w:t>
      </w:r>
      <w:r w:rsidR="00116544">
        <w:rPr>
          <w:rFonts w:ascii="Arial" w:hAnsi="Arial" w:cs="Arial"/>
          <w:sz w:val="24"/>
          <w:szCs w:val="24"/>
        </w:rPr>
        <w:t xml:space="preserve"> </w:t>
      </w:r>
      <w:r w:rsidRPr="0034372B">
        <w:rPr>
          <w:rFonts w:ascii="Arial" w:hAnsi="Arial" w:cs="Arial"/>
          <w:sz w:val="24"/>
          <w:szCs w:val="24"/>
        </w:rPr>
        <w:t>necesară deschiderea pieței și pentru muncitori din alte regiuni.</w:t>
      </w:r>
    </w:p>
    <w:p w:rsidR="00A52030" w:rsidRPr="00A122FC" w:rsidRDefault="00A122FC" w:rsidP="00445724">
      <w:pPr>
        <w:pStyle w:val="ListParagraph"/>
        <w:numPr>
          <w:ilvl w:val="0"/>
          <w:numId w:val="27"/>
        </w:numPr>
        <w:shd w:val="clear" w:color="auto" w:fill="FFFFFF" w:themeFill="background1"/>
        <w:jc w:val="both"/>
        <w:rPr>
          <w:rFonts w:ascii="Arial" w:hAnsi="Arial" w:cs="Arial"/>
          <w:sz w:val="24"/>
          <w:szCs w:val="24"/>
          <w:lang w:eastAsia="ro-RO"/>
        </w:rPr>
      </w:pPr>
      <w:r w:rsidRPr="00A122FC">
        <w:rPr>
          <w:rFonts w:ascii="Arial" w:hAnsi="Arial" w:cs="Arial"/>
          <w:bCs/>
          <w:sz w:val="24"/>
          <w:szCs w:val="24"/>
        </w:rPr>
        <w:t>In Regiunea Vest se estimează ca până în anul 2019 numărul mediu de salariați</w:t>
      </w:r>
      <w:r w:rsidR="00116544">
        <w:rPr>
          <w:rFonts w:ascii="Arial" w:hAnsi="Arial" w:cs="Arial"/>
          <w:bCs/>
          <w:sz w:val="24"/>
          <w:szCs w:val="24"/>
        </w:rPr>
        <w:t xml:space="preserve"> să crească cu 81,9 mii persoane</w:t>
      </w:r>
      <w:r w:rsidRPr="00A122FC">
        <w:rPr>
          <w:rFonts w:ascii="Arial" w:hAnsi="Arial" w:cs="Arial"/>
          <w:bCs/>
          <w:sz w:val="24"/>
          <w:szCs w:val="24"/>
        </w:rPr>
        <w:t>, ceea ce reprezintă o creștere cu 16%</w:t>
      </w:r>
      <w:r w:rsidR="001523E0">
        <w:rPr>
          <w:rFonts w:ascii="Arial" w:hAnsi="Arial" w:cs="Arial"/>
          <w:bCs/>
          <w:sz w:val="24"/>
          <w:szCs w:val="24"/>
        </w:rPr>
        <w:t>.</w:t>
      </w:r>
      <w:r w:rsidRPr="00A122FC">
        <w:rPr>
          <w:rFonts w:ascii="Arial" w:hAnsi="Arial" w:cs="Arial"/>
          <w:bCs/>
          <w:sz w:val="24"/>
          <w:szCs w:val="24"/>
        </w:rPr>
        <w:t xml:space="preserve"> </w:t>
      </w:r>
    </w:p>
    <w:p w:rsidR="00A52030" w:rsidRPr="0001282A" w:rsidRDefault="00A52030" w:rsidP="00445724">
      <w:pPr>
        <w:pStyle w:val="ListParagraph"/>
        <w:numPr>
          <w:ilvl w:val="0"/>
          <w:numId w:val="26"/>
        </w:numPr>
        <w:shd w:val="clear" w:color="auto" w:fill="FFFFFF" w:themeFill="background1"/>
        <w:jc w:val="both"/>
        <w:rPr>
          <w:rFonts w:ascii="Arial" w:hAnsi="Arial" w:cs="Arial"/>
          <w:sz w:val="24"/>
          <w:szCs w:val="24"/>
          <w:lang w:eastAsia="ro-RO"/>
        </w:rPr>
      </w:pPr>
      <w:r w:rsidRPr="00A52030">
        <w:rPr>
          <w:rFonts w:ascii="Arial" w:hAnsi="Arial" w:cs="Arial"/>
          <w:color w:val="000000"/>
          <w:sz w:val="24"/>
          <w:szCs w:val="24"/>
          <w:shd w:val="clear" w:color="auto" w:fill="FFFFFF"/>
        </w:rPr>
        <w:t>La nivelul Regiunii Vest este preconizat ca rata șomajului să se reducă la 2,6% în 2019 față de 3,4% înregistrat în 2014, astfel încât regiunea se va situa și la acest indicator imediat după București Ilfov.</w:t>
      </w:r>
    </w:p>
    <w:p w:rsidR="00A52030" w:rsidRPr="00926F15" w:rsidRDefault="00A52030" w:rsidP="00445724">
      <w:pPr>
        <w:pStyle w:val="Header"/>
        <w:numPr>
          <w:ilvl w:val="0"/>
          <w:numId w:val="25"/>
        </w:numPr>
        <w:tabs>
          <w:tab w:val="center" w:pos="851"/>
        </w:tabs>
        <w:jc w:val="both"/>
        <w:rPr>
          <w:rFonts w:ascii="Arial" w:hAnsi="Arial" w:cs="Arial"/>
          <w:sz w:val="24"/>
          <w:szCs w:val="24"/>
        </w:rPr>
      </w:pPr>
      <w:r w:rsidRPr="00926F15">
        <w:rPr>
          <w:rStyle w:val="hps"/>
          <w:rFonts w:ascii="Arial" w:hAnsi="Arial" w:cs="Arial"/>
          <w:sz w:val="24"/>
          <w:szCs w:val="24"/>
        </w:rPr>
        <w:t>Până în 2025</w:t>
      </w:r>
      <w:r w:rsidRPr="00926F15">
        <w:rPr>
          <w:rFonts w:ascii="Arial" w:hAnsi="Arial" w:cs="Arial"/>
          <w:sz w:val="24"/>
          <w:szCs w:val="24"/>
        </w:rPr>
        <w:t xml:space="preserve">, </w:t>
      </w:r>
      <w:r w:rsidRPr="00926F15">
        <w:rPr>
          <w:rStyle w:val="hps"/>
          <w:rFonts w:ascii="Arial" w:hAnsi="Arial" w:cs="Arial"/>
          <w:sz w:val="24"/>
          <w:szCs w:val="24"/>
        </w:rPr>
        <w:t>ponderea</w:t>
      </w:r>
      <w:r w:rsidRPr="00926F15">
        <w:rPr>
          <w:rFonts w:ascii="Arial" w:hAnsi="Arial" w:cs="Arial"/>
          <w:sz w:val="24"/>
          <w:szCs w:val="24"/>
        </w:rPr>
        <w:t xml:space="preserve"> </w:t>
      </w:r>
      <w:r w:rsidRPr="00926F15">
        <w:rPr>
          <w:rStyle w:val="hps"/>
          <w:rFonts w:ascii="Arial" w:hAnsi="Arial" w:cs="Arial"/>
          <w:sz w:val="24"/>
          <w:szCs w:val="24"/>
        </w:rPr>
        <w:t>forței</w:t>
      </w:r>
      <w:r w:rsidRPr="00926F15">
        <w:rPr>
          <w:rFonts w:ascii="Arial" w:hAnsi="Arial" w:cs="Arial"/>
          <w:sz w:val="24"/>
          <w:szCs w:val="24"/>
        </w:rPr>
        <w:t xml:space="preserve"> </w:t>
      </w:r>
      <w:r w:rsidRPr="00926F15">
        <w:rPr>
          <w:rStyle w:val="hps"/>
          <w:rFonts w:ascii="Arial" w:hAnsi="Arial" w:cs="Arial"/>
          <w:sz w:val="24"/>
          <w:szCs w:val="24"/>
        </w:rPr>
        <w:t>de muncă din România</w:t>
      </w:r>
      <w:r w:rsidRPr="00926F15">
        <w:rPr>
          <w:rFonts w:ascii="Arial" w:hAnsi="Arial" w:cs="Arial"/>
          <w:sz w:val="24"/>
          <w:szCs w:val="24"/>
        </w:rPr>
        <w:t xml:space="preserve"> </w:t>
      </w:r>
      <w:r w:rsidRPr="00926F15">
        <w:rPr>
          <w:rStyle w:val="hps"/>
          <w:rFonts w:ascii="Arial" w:hAnsi="Arial" w:cs="Arial"/>
          <w:sz w:val="24"/>
          <w:szCs w:val="24"/>
        </w:rPr>
        <w:t>cu</w:t>
      </w:r>
      <w:r w:rsidRPr="00926F15">
        <w:rPr>
          <w:rFonts w:ascii="Arial" w:hAnsi="Arial" w:cs="Arial"/>
          <w:sz w:val="24"/>
          <w:szCs w:val="24"/>
        </w:rPr>
        <w:t xml:space="preserve"> </w:t>
      </w:r>
      <w:r w:rsidRPr="00926F15">
        <w:rPr>
          <w:rStyle w:val="hps"/>
          <w:rFonts w:ascii="Arial" w:hAnsi="Arial" w:cs="Arial"/>
          <w:sz w:val="24"/>
          <w:szCs w:val="24"/>
        </w:rPr>
        <w:t>nivel înalt de calificare</w:t>
      </w:r>
      <w:r w:rsidRPr="00926F15">
        <w:rPr>
          <w:rFonts w:ascii="Arial" w:hAnsi="Arial" w:cs="Arial"/>
          <w:sz w:val="24"/>
          <w:szCs w:val="24"/>
        </w:rPr>
        <w:t xml:space="preserve"> </w:t>
      </w:r>
      <w:r w:rsidRPr="00926F15">
        <w:rPr>
          <w:rStyle w:val="hps"/>
          <w:rFonts w:ascii="Arial" w:hAnsi="Arial" w:cs="Arial"/>
          <w:sz w:val="24"/>
          <w:szCs w:val="24"/>
        </w:rPr>
        <w:t>ar trebui să crească</w:t>
      </w:r>
      <w:r w:rsidRPr="00926F15">
        <w:rPr>
          <w:rFonts w:ascii="Arial" w:hAnsi="Arial" w:cs="Arial"/>
          <w:sz w:val="24"/>
          <w:szCs w:val="24"/>
        </w:rPr>
        <w:t xml:space="preserve"> </w:t>
      </w:r>
      <w:r w:rsidRPr="00926F15">
        <w:rPr>
          <w:rStyle w:val="hps"/>
          <w:rFonts w:ascii="Arial" w:hAnsi="Arial" w:cs="Arial"/>
          <w:sz w:val="24"/>
          <w:szCs w:val="24"/>
        </w:rPr>
        <w:t>până la</w:t>
      </w:r>
      <w:r w:rsidRPr="00926F15">
        <w:rPr>
          <w:rFonts w:ascii="Arial" w:hAnsi="Arial" w:cs="Arial"/>
          <w:sz w:val="24"/>
          <w:szCs w:val="24"/>
        </w:rPr>
        <w:t xml:space="preserve"> </w:t>
      </w:r>
      <w:r w:rsidRPr="00926F15">
        <w:rPr>
          <w:rStyle w:val="hps"/>
          <w:rFonts w:ascii="Arial" w:hAnsi="Arial" w:cs="Arial"/>
          <w:sz w:val="24"/>
          <w:szCs w:val="24"/>
        </w:rPr>
        <w:t>39,4%</w:t>
      </w:r>
      <w:r w:rsidRPr="00926F15">
        <w:rPr>
          <w:rFonts w:ascii="Arial" w:hAnsi="Arial" w:cs="Arial"/>
          <w:sz w:val="24"/>
          <w:szCs w:val="24"/>
        </w:rPr>
        <w:t xml:space="preserve">, comparativ cu </w:t>
      </w:r>
      <w:r w:rsidRPr="00926F15">
        <w:rPr>
          <w:rStyle w:val="hps"/>
          <w:rFonts w:ascii="Arial" w:hAnsi="Arial" w:cs="Arial"/>
          <w:sz w:val="24"/>
          <w:szCs w:val="24"/>
        </w:rPr>
        <w:t>26,6%</w:t>
      </w:r>
      <w:r w:rsidRPr="00926F15">
        <w:rPr>
          <w:rFonts w:ascii="Arial" w:hAnsi="Arial" w:cs="Arial"/>
          <w:sz w:val="24"/>
          <w:szCs w:val="24"/>
        </w:rPr>
        <w:t xml:space="preserve"> </w:t>
      </w:r>
      <w:r w:rsidRPr="00926F15">
        <w:rPr>
          <w:rStyle w:val="hps"/>
          <w:rFonts w:ascii="Arial" w:hAnsi="Arial" w:cs="Arial"/>
          <w:sz w:val="24"/>
          <w:szCs w:val="24"/>
        </w:rPr>
        <w:t>în 2013 și</w:t>
      </w:r>
      <w:r w:rsidRPr="00926F15">
        <w:rPr>
          <w:rFonts w:ascii="Arial" w:hAnsi="Arial" w:cs="Arial"/>
          <w:sz w:val="24"/>
          <w:szCs w:val="24"/>
        </w:rPr>
        <w:t xml:space="preserve"> </w:t>
      </w:r>
      <w:r w:rsidRPr="00926F15">
        <w:rPr>
          <w:rStyle w:val="hps"/>
          <w:rFonts w:ascii="Arial" w:hAnsi="Arial" w:cs="Arial"/>
          <w:sz w:val="24"/>
          <w:szCs w:val="24"/>
        </w:rPr>
        <w:t>17,3%</w:t>
      </w:r>
      <w:r w:rsidRPr="00926F15">
        <w:rPr>
          <w:rFonts w:ascii="Arial" w:hAnsi="Arial" w:cs="Arial"/>
          <w:sz w:val="24"/>
          <w:szCs w:val="24"/>
        </w:rPr>
        <w:t xml:space="preserve"> </w:t>
      </w:r>
      <w:r w:rsidRPr="00926F15">
        <w:rPr>
          <w:rStyle w:val="hps"/>
          <w:rFonts w:ascii="Arial" w:hAnsi="Arial" w:cs="Arial"/>
          <w:sz w:val="24"/>
          <w:szCs w:val="24"/>
        </w:rPr>
        <w:t>în 2005.</w:t>
      </w:r>
      <w:r w:rsidRPr="00926F15">
        <w:rPr>
          <w:rFonts w:ascii="Arial" w:hAnsi="Arial" w:cs="Arial"/>
          <w:sz w:val="24"/>
          <w:szCs w:val="24"/>
        </w:rPr>
        <w:t xml:space="preserve"> </w:t>
      </w:r>
      <w:r w:rsidRPr="00926F15">
        <w:rPr>
          <w:rStyle w:val="hps"/>
          <w:rFonts w:ascii="Arial" w:hAnsi="Arial" w:cs="Arial"/>
          <w:sz w:val="24"/>
          <w:szCs w:val="24"/>
        </w:rPr>
        <w:t>Persoanele cu</w:t>
      </w:r>
      <w:r w:rsidRPr="00926F15">
        <w:rPr>
          <w:rFonts w:ascii="Arial" w:hAnsi="Arial" w:cs="Arial"/>
          <w:sz w:val="24"/>
          <w:szCs w:val="24"/>
        </w:rPr>
        <w:t xml:space="preserve"> </w:t>
      </w:r>
      <w:r w:rsidRPr="00926F15">
        <w:rPr>
          <w:rStyle w:val="hps"/>
          <w:rFonts w:ascii="Arial" w:hAnsi="Arial" w:cs="Arial"/>
          <w:sz w:val="24"/>
          <w:szCs w:val="24"/>
        </w:rPr>
        <w:t>nivel mediu de calificare</w:t>
      </w:r>
      <w:r w:rsidRPr="00926F15">
        <w:rPr>
          <w:rFonts w:ascii="Arial" w:hAnsi="Arial" w:cs="Arial"/>
          <w:sz w:val="24"/>
          <w:szCs w:val="24"/>
        </w:rPr>
        <w:t xml:space="preserve"> </w:t>
      </w:r>
      <w:r w:rsidRPr="00926F15">
        <w:rPr>
          <w:rStyle w:val="hps"/>
          <w:rFonts w:ascii="Arial" w:hAnsi="Arial" w:cs="Arial"/>
          <w:sz w:val="24"/>
          <w:szCs w:val="24"/>
        </w:rPr>
        <w:t>în</w:t>
      </w:r>
      <w:r w:rsidRPr="00926F15">
        <w:rPr>
          <w:rFonts w:ascii="Arial" w:hAnsi="Arial" w:cs="Arial"/>
          <w:sz w:val="24"/>
          <w:szCs w:val="24"/>
        </w:rPr>
        <w:t xml:space="preserve"> </w:t>
      </w:r>
      <w:r w:rsidRPr="00926F15">
        <w:rPr>
          <w:rStyle w:val="hps"/>
          <w:rFonts w:ascii="Arial" w:hAnsi="Arial" w:cs="Arial"/>
          <w:sz w:val="24"/>
          <w:szCs w:val="24"/>
        </w:rPr>
        <w:t>2025</w:t>
      </w:r>
      <w:r w:rsidRPr="00926F15">
        <w:rPr>
          <w:rFonts w:ascii="Arial" w:hAnsi="Arial" w:cs="Arial"/>
          <w:sz w:val="24"/>
          <w:szCs w:val="24"/>
        </w:rPr>
        <w:t xml:space="preserve"> </w:t>
      </w:r>
      <w:r w:rsidRPr="00926F15">
        <w:rPr>
          <w:rStyle w:val="hps"/>
          <w:rFonts w:ascii="Arial" w:hAnsi="Arial" w:cs="Arial"/>
          <w:sz w:val="24"/>
          <w:szCs w:val="24"/>
        </w:rPr>
        <w:t>vor reprezenta</w:t>
      </w:r>
      <w:r w:rsidRPr="00926F15">
        <w:rPr>
          <w:rFonts w:ascii="Arial" w:hAnsi="Arial" w:cs="Arial"/>
          <w:sz w:val="24"/>
          <w:szCs w:val="24"/>
        </w:rPr>
        <w:t xml:space="preserve"> </w:t>
      </w:r>
      <w:r w:rsidRPr="00926F15">
        <w:rPr>
          <w:rStyle w:val="hps"/>
          <w:rFonts w:ascii="Arial" w:hAnsi="Arial" w:cs="Arial"/>
          <w:sz w:val="24"/>
          <w:szCs w:val="24"/>
        </w:rPr>
        <w:t>37,8</w:t>
      </w:r>
      <w:r w:rsidRPr="00926F15">
        <w:rPr>
          <w:rFonts w:ascii="Arial" w:hAnsi="Arial" w:cs="Arial"/>
          <w:sz w:val="24"/>
          <w:szCs w:val="24"/>
        </w:rPr>
        <w:t xml:space="preserve">% </w:t>
      </w:r>
      <w:r w:rsidRPr="00926F15">
        <w:rPr>
          <w:rStyle w:val="hps"/>
          <w:rFonts w:ascii="Arial" w:hAnsi="Arial" w:cs="Arial"/>
          <w:sz w:val="24"/>
          <w:szCs w:val="24"/>
        </w:rPr>
        <w:t>din forța de muncă</w:t>
      </w:r>
      <w:r w:rsidRPr="00926F15">
        <w:rPr>
          <w:rFonts w:ascii="Arial" w:hAnsi="Arial" w:cs="Arial"/>
          <w:sz w:val="24"/>
          <w:szCs w:val="24"/>
        </w:rPr>
        <w:t xml:space="preserve">, comparativ cu </w:t>
      </w:r>
      <w:r w:rsidRPr="00926F15">
        <w:rPr>
          <w:rStyle w:val="hps"/>
          <w:rFonts w:ascii="Arial" w:hAnsi="Arial" w:cs="Arial"/>
          <w:sz w:val="24"/>
          <w:szCs w:val="24"/>
        </w:rPr>
        <w:t>51,5</w:t>
      </w:r>
      <w:r w:rsidRPr="00926F15">
        <w:rPr>
          <w:rFonts w:ascii="Arial" w:hAnsi="Arial" w:cs="Arial"/>
          <w:sz w:val="24"/>
          <w:szCs w:val="24"/>
        </w:rPr>
        <w:t xml:space="preserve"> </w:t>
      </w:r>
      <w:r w:rsidRPr="00926F15">
        <w:rPr>
          <w:rStyle w:val="hps"/>
          <w:rFonts w:ascii="Arial" w:hAnsi="Arial" w:cs="Arial"/>
          <w:sz w:val="24"/>
          <w:szCs w:val="24"/>
        </w:rPr>
        <w:t>% în 2013.</w:t>
      </w:r>
      <w:r w:rsidRPr="00926F15">
        <w:rPr>
          <w:rFonts w:ascii="Arial" w:hAnsi="Arial" w:cs="Arial"/>
          <w:sz w:val="24"/>
          <w:szCs w:val="24"/>
        </w:rPr>
        <w:t xml:space="preserve"> </w:t>
      </w:r>
      <w:r w:rsidRPr="00926F15">
        <w:rPr>
          <w:rStyle w:val="hps"/>
          <w:rFonts w:ascii="Arial" w:hAnsi="Arial" w:cs="Arial"/>
          <w:sz w:val="24"/>
          <w:szCs w:val="24"/>
        </w:rPr>
        <w:t>Ponderea</w:t>
      </w:r>
      <w:r w:rsidRPr="00926F15">
        <w:rPr>
          <w:rFonts w:ascii="Arial" w:hAnsi="Arial" w:cs="Arial"/>
          <w:sz w:val="24"/>
          <w:szCs w:val="24"/>
        </w:rPr>
        <w:t xml:space="preserve"> celor </w:t>
      </w:r>
      <w:r w:rsidRPr="00926F15">
        <w:rPr>
          <w:rStyle w:val="hps"/>
          <w:rFonts w:ascii="Arial" w:hAnsi="Arial" w:cs="Arial"/>
          <w:sz w:val="24"/>
          <w:szCs w:val="24"/>
        </w:rPr>
        <w:t>cu</w:t>
      </w:r>
      <w:r w:rsidRPr="00926F15">
        <w:rPr>
          <w:rFonts w:ascii="Arial" w:hAnsi="Arial" w:cs="Arial"/>
          <w:sz w:val="24"/>
          <w:szCs w:val="24"/>
        </w:rPr>
        <w:t xml:space="preserve"> </w:t>
      </w:r>
      <w:r w:rsidRPr="00926F15">
        <w:rPr>
          <w:rStyle w:val="hps"/>
          <w:rFonts w:ascii="Arial" w:hAnsi="Arial" w:cs="Arial"/>
          <w:sz w:val="24"/>
          <w:szCs w:val="24"/>
        </w:rPr>
        <w:t>nivel</w:t>
      </w:r>
      <w:r w:rsidRPr="00926F15">
        <w:rPr>
          <w:rFonts w:ascii="Arial" w:hAnsi="Arial" w:cs="Arial"/>
          <w:sz w:val="24"/>
          <w:szCs w:val="24"/>
        </w:rPr>
        <w:t xml:space="preserve"> </w:t>
      </w:r>
      <w:r w:rsidRPr="00926F15">
        <w:rPr>
          <w:rStyle w:val="hps"/>
          <w:rFonts w:ascii="Arial" w:hAnsi="Arial" w:cs="Arial"/>
          <w:sz w:val="24"/>
          <w:szCs w:val="24"/>
        </w:rPr>
        <w:t>scăzut sau</w:t>
      </w:r>
      <w:r w:rsidRPr="00926F15">
        <w:rPr>
          <w:rFonts w:ascii="Arial" w:hAnsi="Arial" w:cs="Arial"/>
          <w:sz w:val="24"/>
          <w:szCs w:val="24"/>
        </w:rPr>
        <w:t xml:space="preserve"> </w:t>
      </w:r>
      <w:r w:rsidRPr="00926F15">
        <w:rPr>
          <w:rStyle w:val="hps"/>
          <w:rFonts w:ascii="Arial" w:hAnsi="Arial" w:cs="Arial"/>
          <w:sz w:val="24"/>
          <w:szCs w:val="24"/>
        </w:rPr>
        <w:t>fără calificări</w:t>
      </w:r>
      <w:r w:rsidRPr="00926F15">
        <w:rPr>
          <w:rFonts w:ascii="Arial" w:hAnsi="Arial" w:cs="Arial"/>
          <w:sz w:val="24"/>
          <w:szCs w:val="24"/>
        </w:rPr>
        <w:t xml:space="preserve"> </w:t>
      </w:r>
      <w:r w:rsidRPr="00926F15">
        <w:rPr>
          <w:rStyle w:val="hps"/>
          <w:rFonts w:ascii="Arial" w:hAnsi="Arial" w:cs="Arial"/>
          <w:sz w:val="24"/>
          <w:szCs w:val="24"/>
        </w:rPr>
        <w:t>este previzionat să</w:t>
      </w:r>
      <w:r w:rsidRPr="00926F15">
        <w:rPr>
          <w:rFonts w:ascii="Arial" w:hAnsi="Arial" w:cs="Arial"/>
          <w:sz w:val="24"/>
          <w:szCs w:val="24"/>
        </w:rPr>
        <w:t xml:space="preserve"> </w:t>
      </w:r>
      <w:r w:rsidRPr="00926F15">
        <w:rPr>
          <w:rStyle w:val="hps"/>
          <w:rFonts w:ascii="Arial" w:hAnsi="Arial" w:cs="Arial"/>
          <w:sz w:val="24"/>
          <w:szCs w:val="24"/>
        </w:rPr>
        <w:t>rămână la</w:t>
      </w:r>
      <w:r w:rsidRPr="00926F15">
        <w:rPr>
          <w:rFonts w:ascii="Arial" w:hAnsi="Arial" w:cs="Arial"/>
          <w:sz w:val="24"/>
          <w:szCs w:val="24"/>
        </w:rPr>
        <w:t xml:space="preserve"> </w:t>
      </w:r>
      <w:r w:rsidRPr="00926F15">
        <w:rPr>
          <w:rStyle w:val="hps"/>
          <w:rFonts w:ascii="Arial" w:hAnsi="Arial" w:cs="Arial"/>
          <w:sz w:val="24"/>
          <w:szCs w:val="24"/>
        </w:rPr>
        <w:t>aproximativ 22%</w:t>
      </w:r>
      <w:r w:rsidRPr="00926F15">
        <w:rPr>
          <w:rFonts w:ascii="Arial" w:hAnsi="Arial" w:cs="Arial"/>
          <w:sz w:val="24"/>
          <w:szCs w:val="24"/>
        </w:rPr>
        <w:t xml:space="preserve"> </w:t>
      </w:r>
      <w:r w:rsidRPr="00926F15">
        <w:rPr>
          <w:rStyle w:val="hps"/>
          <w:rFonts w:ascii="Arial" w:hAnsi="Arial" w:cs="Arial"/>
          <w:sz w:val="24"/>
          <w:szCs w:val="24"/>
        </w:rPr>
        <w:t>în anul 2025</w:t>
      </w:r>
      <w:r w:rsidRPr="00926F15">
        <w:rPr>
          <w:rFonts w:ascii="Arial" w:hAnsi="Arial" w:cs="Arial"/>
          <w:sz w:val="24"/>
          <w:szCs w:val="24"/>
        </w:rPr>
        <w:t>.</w:t>
      </w:r>
    </w:p>
    <w:p w:rsidR="0034372B" w:rsidRPr="00926F15" w:rsidRDefault="0034372B" w:rsidP="00445724">
      <w:pPr>
        <w:pStyle w:val="Header"/>
        <w:numPr>
          <w:ilvl w:val="0"/>
          <w:numId w:val="25"/>
        </w:numPr>
        <w:tabs>
          <w:tab w:val="center" w:pos="851"/>
        </w:tabs>
        <w:jc w:val="both"/>
        <w:rPr>
          <w:rStyle w:val="hps"/>
          <w:rFonts w:ascii="Arial" w:hAnsi="Arial" w:cs="Arial"/>
          <w:sz w:val="24"/>
          <w:szCs w:val="24"/>
        </w:rPr>
      </w:pPr>
      <w:r w:rsidRPr="00926F15">
        <w:rPr>
          <w:rStyle w:val="hps"/>
          <w:rFonts w:ascii="Arial" w:hAnsi="Arial" w:cs="Arial"/>
          <w:sz w:val="24"/>
          <w:szCs w:val="24"/>
        </w:rPr>
        <w:t>Forța de muncă</w:t>
      </w:r>
      <w:r w:rsidRPr="00926F15">
        <w:rPr>
          <w:rFonts w:ascii="Arial" w:hAnsi="Arial" w:cs="Arial"/>
          <w:sz w:val="24"/>
          <w:szCs w:val="24"/>
        </w:rPr>
        <w:t xml:space="preserve"> </w:t>
      </w:r>
      <w:r w:rsidRPr="00926F15">
        <w:rPr>
          <w:rStyle w:val="hps"/>
          <w:rFonts w:ascii="Arial" w:hAnsi="Arial" w:cs="Arial"/>
          <w:sz w:val="24"/>
          <w:szCs w:val="24"/>
        </w:rPr>
        <w:t>din România</w:t>
      </w:r>
      <w:r w:rsidRPr="00926F15">
        <w:rPr>
          <w:rFonts w:ascii="Arial" w:hAnsi="Arial" w:cs="Arial"/>
          <w:sz w:val="24"/>
          <w:szCs w:val="24"/>
        </w:rPr>
        <w:t xml:space="preserve"> </w:t>
      </w:r>
      <w:r w:rsidRPr="00926F15">
        <w:rPr>
          <w:rStyle w:val="hps"/>
          <w:rFonts w:ascii="Arial" w:hAnsi="Arial" w:cs="Arial"/>
          <w:sz w:val="24"/>
          <w:szCs w:val="24"/>
        </w:rPr>
        <w:t>este</w:t>
      </w:r>
      <w:r w:rsidRPr="00926F15">
        <w:rPr>
          <w:rFonts w:ascii="Arial" w:hAnsi="Arial" w:cs="Arial"/>
          <w:sz w:val="24"/>
          <w:szCs w:val="24"/>
        </w:rPr>
        <w:t xml:space="preserve"> </w:t>
      </w:r>
      <w:r w:rsidRPr="00926F15">
        <w:rPr>
          <w:rStyle w:val="hps"/>
          <w:rFonts w:ascii="Arial" w:hAnsi="Arial" w:cs="Arial"/>
          <w:sz w:val="24"/>
          <w:szCs w:val="24"/>
        </w:rPr>
        <w:t>din ce în ce</w:t>
      </w:r>
      <w:r w:rsidRPr="00926F15">
        <w:rPr>
          <w:rFonts w:ascii="Arial" w:hAnsi="Arial" w:cs="Arial"/>
          <w:sz w:val="24"/>
          <w:szCs w:val="24"/>
        </w:rPr>
        <w:t xml:space="preserve"> </w:t>
      </w:r>
      <w:r w:rsidRPr="00926F15">
        <w:rPr>
          <w:rStyle w:val="hps"/>
          <w:rFonts w:ascii="Arial" w:hAnsi="Arial" w:cs="Arial"/>
          <w:sz w:val="24"/>
          <w:szCs w:val="24"/>
        </w:rPr>
        <w:t>mai</w:t>
      </w:r>
      <w:r w:rsidRPr="00926F15">
        <w:rPr>
          <w:rFonts w:ascii="Arial" w:hAnsi="Arial" w:cs="Arial"/>
          <w:sz w:val="24"/>
          <w:szCs w:val="24"/>
        </w:rPr>
        <w:t xml:space="preserve"> </w:t>
      </w:r>
      <w:r w:rsidRPr="00926F15">
        <w:rPr>
          <w:rStyle w:val="hps"/>
          <w:rFonts w:ascii="Arial" w:hAnsi="Arial" w:cs="Arial"/>
          <w:sz w:val="24"/>
          <w:szCs w:val="24"/>
        </w:rPr>
        <w:t>înalt calificată.</w:t>
      </w:r>
      <w:r w:rsidRPr="00926F15">
        <w:rPr>
          <w:rFonts w:ascii="Arial" w:hAnsi="Arial" w:cs="Arial"/>
          <w:sz w:val="24"/>
          <w:szCs w:val="24"/>
        </w:rPr>
        <w:t xml:space="preserve"> </w:t>
      </w:r>
      <w:r w:rsidRPr="00926F15">
        <w:rPr>
          <w:rStyle w:val="hps"/>
          <w:rFonts w:ascii="Arial" w:hAnsi="Arial" w:cs="Arial"/>
          <w:sz w:val="24"/>
          <w:szCs w:val="24"/>
        </w:rPr>
        <w:t>Aceasta se explică prin faptul că mai multe persoane în vârstă,</w:t>
      </w:r>
      <w:r w:rsidRPr="00926F15">
        <w:rPr>
          <w:rFonts w:ascii="Arial" w:hAnsi="Arial" w:cs="Arial"/>
          <w:sz w:val="24"/>
          <w:szCs w:val="24"/>
        </w:rPr>
        <w:t xml:space="preserve"> </w:t>
      </w:r>
      <w:r w:rsidRPr="00926F15">
        <w:rPr>
          <w:rStyle w:val="hps"/>
          <w:rFonts w:ascii="Arial" w:hAnsi="Arial" w:cs="Arial"/>
          <w:sz w:val="24"/>
          <w:szCs w:val="24"/>
        </w:rPr>
        <w:t>mai puțin</w:t>
      </w:r>
      <w:r w:rsidRPr="00926F15">
        <w:rPr>
          <w:rFonts w:ascii="Arial" w:hAnsi="Arial" w:cs="Arial"/>
          <w:sz w:val="24"/>
          <w:szCs w:val="24"/>
        </w:rPr>
        <w:t xml:space="preserve"> </w:t>
      </w:r>
      <w:r w:rsidRPr="00926F15">
        <w:rPr>
          <w:rStyle w:val="hps"/>
          <w:rFonts w:ascii="Arial" w:hAnsi="Arial" w:cs="Arial"/>
          <w:sz w:val="24"/>
          <w:szCs w:val="24"/>
        </w:rPr>
        <w:t>calificate, părăsesc</w:t>
      </w:r>
      <w:r w:rsidRPr="00926F15">
        <w:rPr>
          <w:rFonts w:ascii="Arial" w:hAnsi="Arial" w:cs="Arial"/>
          <w:sz w:val="24"/>
          <w:szCs w:val="24"/>
        </w:rPr>
        <w:t xml:space="preserve"> </w:t>
      </w:r>
      <w:r w:rsidRPr="00926F15">
        <w:rPr>
          <w:rStyle w:val="hps"/>
          <w:rFonts w:ascii="Arial" w:hAnsi="Arial" w:cs="Arial"/>
          <w:sz w:val="24"/>
          <w:szCs w:val="24"/>
        </w:rPr>
        <w:t>piața</w:t>
      </w:r>
      <w:r w:rsidRPr="00926F15">
        <w:rPr>
          <w:rFonts w:ascii="Arial" w:hAnsi="Arial" w:cs="Arial"/>
          <w:sz w:val="24"/>
          <w:szCs w:val="24"/>
        </w:rPr>
        <w:t xml:space="preserve"> </w:t>
      </w:r>
      <w:r w:rsidRPr="00926F15">
        <w:rPr>
          <w:rStyle w:val="hps"/>
          <w:rFonts w:ascii="Arial" w:hAnsi="Arial" w:cs="Arial"/>
          <w:sz w:val="24"/>
          <w:szCs w:val="24"/>
        </w:rPr>
        <w:t>forței de muncă și</w:t>
      </w:r>
      <w:r w:rsidRPr="00926F15">
        <w:rPr>
          <w:rFonts w:ascii="Arial" w:hAnsi="Arial" w:cs="Arial"/>
          <w:sz w:val="24"/>
          <w:szCs w:val="24"/>
        </w:rPr>
        <w:t xml:space="preserve"> mai mulţi </w:t>
      </w:r>
      <w:r w:rsidRPr="00926F15">
        <w:rPr>
          <w:rStyle w:val="hps"/>
          <w:rFonts w:ascii="Arial" w:hAnsi="Arial" w:cs="Arial"/>
          <w:sz w:val="24"/>
          <w:szCs w:val="24"/>
        </w:rPr>
        <w:t>oameni tineri,</w:t>
      </w:r>
      <w:r w:rsidRPr="00926F15">
        <w:rPr>
          <w:rFonts w:ascii="Arial" w:hAnsi="Arial" w:cs="Arial"/>
          <w:sz w:val="24"/>
          <w:szCs w:val="24"/>
        </w:rPr>
        <w:t xml:space="preserve"> </w:t>
      </w:r>
      <w:r w:rsidRPr="00926F15">
        <w:rPr>
          <w:rStyle w:val="hps"/>
          <w:rFonts w:ascii="Arial" w:hAnsi="Arial" w:cs="Arial"/>
          <w:sz w:val="24"/>
          <w:szCs w:val="24"/>
        </w:rPr>
        <w:t>cu studii superioare,</w:t>
      </w:r>
      <w:r w:rsidRPr="00926F15">
        <w:rPr>
          <w:rFonts w:ascii="Arial" w:hAnsi="Arial" w:cs="Arial"/>
          <w:sz w:val="24"/>
          <w:szCs w:val="24"/>
        </w:rPr>
        <w:t xml:space="preserve"> </w:t>
      </w:r>
      <w:r w:rsidRPr="00926F15">
        <w:rPr>
          <w:rStyle w:val="hps"/>
          <w:rFonts w:ascii="Arial" w:hAnsi="Arial" w:cs="Arial"/>
          <w:sz w:val="24"/>
          <w:szCs w:val="24"/>
        </w:rPr>
        <w:t>intră pe piața</w:t>
      </w:r>
      <w:r w:rsidRPr="00926F15">
        <w:rPr>
          <w:rFonts w:ascii="Arial" w:hAnsi="Arial" w:cs="Arial"/>
          <w:sz w:val="24"/>
          <w:szCs w:val="24"/>
        </w:rPr>
        <w:t xml:space="preserve"> </w:t>
      </w:r>
      <w:r w:rsidRPr="00926F15">
        <w:rPr>
          <w:rStyle w:val="hps"/>
          <w:rFonts w:ascii="Arial" w:hAnsi="Arial" w:cs="Arial"/>
          <w:sz w:val="24"/>
          <w:szCs w:val="24"/>
        </w:rPr>
        <w:t>forței de muncă</w:t>
      </w:r>
      <w:r w:rsidRPr="00926F15">
        <w:rPr>
          <w:rFonts w:ascii="Arial" w:hAnsi="Arial" w:cs="Arial"/>
          <w:sz w:val="24"/>
          <w:szCs w:val="24"/>
        </w:rPr>
        <w:t xml:space="preserve">. </w:t>
      </w:r>
    </w:p>
    <w:p w:rsidR="00A52030" w:rsidRPr="00926F15" w:rsidRDefault="00A52030" w:rsidP="00445724">
      <w:pPr>
        <w:pStyle w:val="Header"/>
        <w:numPr>
          <w:ilvl w:val="0"/>
          <w:numId w:val="24"/>
        </w:numPr>
        <w:tabs>
          <w:tab w:val="center" w:pos="851"/>
        </w:tabs>
        <w:jc w:val="both"/>
        <w:rPr>
          <w:rFonts w:ascii="Arial" w:hAnsi="Arial" w:cs="Arial"/>
          <w:sz w:val="24"/>
          <w:szCs w:val="24"/>
        </w:rPr>
      </w:pPr>
      <w:r w:rsidRPr="00926F15">
        <w:rPr>
          <w:rStyle w:val="hps"/>
          <w:rFonts w:ascii="Arial" w:hAnsi="Arial" w:cs="Arial"/>
          <w:sz w:val="24"/>
          <w:szCs w:val="24"/>
        </w:rPr>
        <w:lastRenderedPageBreak/>
        <w:t>Cele mai multe</w:t>
      </w:r>
      <w:r w:rsidRPr="00926F15">
        <w:rPr>
          <w:rFonts w:ascii="Arial" w:hAnsi="Arial" w:cs="Arial"/>
          <w:sz w:val="24"/>
          <w:szCs w:val="24"/>
        </w:rPr>
        <w:t xml:space="preserve"> </w:t>
      </w:r>
      <w:r w:rsidRPr="00926F15">
        <w:rPr>
          <w:rStyle w:val="hps"/>
          <w:rFonts w:ascii="Arial" w:hAnsi="Arial" w:cs="Arial"/>
          <w:sz w:val="24"/>
          <w:szCs w:val="24"/>
        </w:rPr>
        <w:t>oportunități de angajare</w:t>
      </w:r>
      <w:r w:rsidRPr="00926F15">
        <w:rPr>
          <w:rFonts w:ascii="Arial" w:hAnsi="Arial" w:cs="Arial"/>
          <w:sz w:val="24"/>
          <w:szCs w:val="24"/>
        </w:rPr>
        <w:t xml:space="preserve"> </w:t>
      </w:r>
      <w:r w:rsidRPr="00926F15">
        <w:rPr>
          <w:rStyle w:val="hps"/>
          <w:rFonts w:ascii="Arial" w:hAnsi="Arial" w:cs="Arial"/>
          <w:sz w:val="24"/>
          <w:szCs w:val="24"/>
        </w:rPr>
        <w:t>în România</w:t>
      </w:r>
      <w:r w:rsidRPr="00926F15">
        <w:rPr>
          <w:rFonts w:ascii="Arial" w:hAnsi="Arial" w:cs="Arial"/>
          <w:sz w:val="24"/>
          <w:szCs w:val="24"/>
        </w:rPr>
        <w:t xml:space="preserve"> </w:t>
      </w:r>
      <w:r w:rsidRPr="00926F15">
        <w:rPr>
          <w:rStyle w:val="hps"/>
          <w:rFonts w:ascii="Arial" w:hAnsi="Arial" w:cs="Arial"/>
          <w:sz w:val="24"/>
          <w:szCs w:val="24"/>
        </w:rPr>
        <w:t>vor necesita calificări</w:t>
      </w:r>
      <w:r w:rsidRPr="00926F15">
        <w:rPr>
          <w:rFonts w:ascii="Arial" w:hAnsi="Arial" w:cs="Arial"/>
          <w:sz w:val="24"/>
          <w:szCs w:val="24"/>
        </w:rPr>
        <w:t xml:space="preserve"> </w:t>
      </w:r>
      <w:r w:rsidRPr="00926F15">
        <w:rPr>
          <w:rStyle w:val="hps"/>
          <w:rFonts w:ascii="Arial" w:hAnsi="Arial" w:cs="Arial"/>
          <w:sz w:val="24"/>
          <w:szCs w:val="24"/>
        </w:rPr>
        <w:t>de nivel inferior, adică ISCED</w:t>
      </w:r>
      <w:r w:rsidRPr="00926F15">
        <w:rPr>
          <w:rFonts w:ascii="Arial" w:hAnsi="Arial" w:cs="Arial"/>
          <w:sz w:val="24"/>
          <w:szCs w:val="24"/>
        </w:rPr>
        <w:t xml:space="preserve"> </w:t>
      </w:r>
      <w:r w:rsidRPr="00926F15">
        <w:rPr>
          <w:rStyle w:val="hps"/>
          <w:rFonts w:ascii="Arial" w:hAnsi="Arial" w:cs="Arial"/>
          <w:sz w:val="24"/>
          <w:szCs w:val="24"/>
        </w:rPr>
        <w:t>97</w:t>
      </w:r>
      <w:r w:rsidRPr="00926F15">
        <w:rPr>
          <w:rFonts w:ascii="Arial" w:hAnsi="Arial" w:cs="Arial"/>
          <w:sz w:val="24"/>
          <w:szCs w:val="24"/>
        </w:rPr>
        <w:t xml:space="preserve"> </w:t>
      </w:r>
      <w:r w:rsidRPr="00926F15">
        <w:rPr>
          <w:rStyle w:val="hps"/>
          <w:rFonts w:ascii="Arial" w:hAnsi="Arial" w:cs="Arial"/>
          <w:sz w:val="24"/>
          <w:szCs w:val="24"/>
        </w:rPr>
        <w:t>niveluri</w:t>
      </w:r>
      <w:r w:rsidRPr="00926F15">
        <w:rPr>
          <w:rFonts w:ascii="Arial" w:hAnsi="Arial" w:cs="Arial"/>
          <w:sz w:val="24"/>
          <w:szCs w:val="24"/>
        </w:rPr>
        <w:t xml:space="preserve"> </w:t>
      </w:r>
      <w:r w:rsidRPr="00926F15">
        <w:rPr>
          <w:rStyle w:val="hps"/>
          <w:rFonts w:ascii="Arial" w:hAnsi="Arial" w:cs="Arial"/>
          <w:sz w:val="24"/>
          <w:szCs w:val="24"/>
        </w:rPr>
        <w:t>1 și 2</w:t>
      </w:r>
      <w:r w:rsidRPr="00926F15">
        <w:rPr>
          <w:rFonts w:ascii="Arial" w:hAnsi="Arial" w:cs="Arial"/>
          <w:sz w:val="24"/>
          <w:szCs w:val="24"/>
        </w:rPr>
        <w:t xml:space="preserve">. </w:t>
      </w:r>
      <w:r w:rsidRPr="00926F15">
        <w:rPr>
          <w:rStyle w:val="hps"/>
          <w:rFonts w:ascii="Arial" w:hAnsi="Arial" w:cs="Arial"/>
          <w:sz w:val="24"/>
          <w:szCs w:val="24"/>
        </w:rPr>
        <w:t>Cu toate acestea</w:t>
      </w:r>
      <w:r w:rsidRPr="00926F15">
        <w:rPr>
          <w:rFonts w:ascii="Arial" w:hAnsi="Arial" w:cs="Arial"/>
          <w:sz w:val="24"/>
          <w:szCs w:val="24"/>
        </w:rPr>
        <w:t xml:space="preserve">, </w:t>
      </w:r>
      <w:r w:rsidRPr="00926F15">
        <w:rPr>
          <w:rStyle w:val="hps"/>
          <w:rFonts w:ascii="Arial" w:hAnsi="Arial" w:cs="Arial"/>
          <w:sz w:val="24"/>
          <w:szCs w:val="24"/>
        </w:rPr>
        <w:t>va exista și un număr semnificativ de</w:t>
      </w:r>
      <w:r w:rsidRPr="00926F15">
        <w:rPr>
          <w:rFonts w:ascii="Arial" w:hAnsi="Arial" w:cs="Arial"/>
          <w:sz w:val="24"/>
          <w:szCs w:val="24"/>
        </w:rPr>
        <w:t xml:space="preserve"> </w:t>
      </w:r>
      <w:r w:rsidRPr="00926F15">
        <w:rPr>
          <w:rStyle w:val="hps"/>
          <w:rFonts w:ascii="Arial" w:hAnsi="Arial" w:cs="Arial"/>
          <w:sz w:val="24"/>
          <w:szCs w:val="24"/>
        </w:rPr>
        <w:t>oportunități de angajare</w:t>
      </w:r>
      <w:r w:rsidRPr="00926F15">
        <w:rPr>
          <w:rFonts w:ascii="Arial" w:hAnsi="Arial" w:cs="Arial"/>
          <w:sz w:val="24"/>
          <w:szCs w:val="24"/>
        </w:rPr>
        <w:t xml:space="preserve"> </w:t>
      </w:r>
      <w:r w:rsidRPr="00926F15">
        <w:rPr>
          <w:rStyle w:val="hps"/>
          <w:rFonts w:ascii="Arial" w:hAnsi="Arial" w:cs="Arial"/>
          <w:sz w:val="24"/>
          <w:szCs w:val="24"/>
        </w:rPr>
        <w:t>care necesită</w:t>
      </w:r>
      <w:r w:rsidRPr="00926F15">
        <w:rPr>
          <w:rFonts w:ascii="Arial" w:hAnsi="Arial" w:cs="Arial"/>
          <w:sz w:val="24"/>
          <w:szCs w:val="24"/>
        </w:rPr>
        <w:t xml:space="preserve"> </w:t>
      </w:r>
      <w:r w:rsidRPr="00926F15">
        <w:rPr>
          <w:rStyle w:val="hps"/>
          <w:rFonts w:ascii="Arial" w:hAnsi="Arial" w:cs="Arial"/>
          <w:sz w:val="24"/>
          <w:szCs w:val="24"/>
        </w:rPr>
        <w:t xml:space="preserve">calificări de nivel înalt, adică </w:t>
      </w:r>
      <w:r w:rsidRPr="00926F15">
        <w:rPr>
          <w:rFonts w:ascii="Arial" w:hAnsi="Arial" w:cs="Arial"/>
          <w:sz w:val="24"/>
          <w:szCs w:val="24"/>
        </w:rPr>
        <w:t xml:space="preserve">ISCED </w:t>
      </w:r>
      <w:r w:rsidRPr="00926F15">
        <w:rPr>
          <w:rStyle w:val="hps"/>
          <w:rFonts w:ascii="Arial" w:hAnsi="Arial" w:cs="Arial"/>
          <w:sz w:val="24"/>
          <w:szCs w:val="24"/>
        </w:rPr>
        <w:t>97</w:t>
      </w:r>
      <w:r w:rsidRPr="00926F15">
        <w:rPr>
          <w:rFonts w:ascii="Arial" w:hAnsi="Arial" w:cs="Arial"/>
          <w:sz w:val="24"/>
          <w:szCs w:val="24"/>
        </w:rPr>
        <w:t xml:space="preserve"> </w:t>
      </w:r>
      <w:r w:rsidRPr="00926F15">
        <w:rPr>
          <w:rStyle w:val="hps"/>
          <w:rFonts w:ascii="Arial" w:hAnsi="Arial" w:cs="Arial"/>
          <w:sz w:val="24"/>
          <w:szCs w:val="24"/>
        </w:rPr>
        <w:t>niveluri</w:t>
      </w:r>
      <w:r w:rsidRPr="00926F15">
        <w:rPr>
          <w:rFonts w:ascii="Arial" w:hAnsi="Arial" w:cs="Arial"/>
          <w:sz w:val="24"/>
          <w:szCs w:val="24"/>
        </w:rPr>
        <w:t xml:space="preserve"> </w:t>
      </w:r>
      <w:r w:rsidRPr="00926F15">
        <w:rPr>
          <w:rStyle w:val="hps"/>
          <w:rFonts w:ascii="Arial" w:hAnsi="Arial" w:cs="Arial"/>
          <w:sz w:val="24"/>
          <w:szCs w:val="24"/>
        </w:rPr>
        <w:t>5 și</w:t>
      </w:r>
      <w:r w:rsidRPr="00926F15">
        <w:rPr>
          <w:rFonts w:ascii="Arial" w:hAnsi="Arial" w:cs="Arial"/>
          <w:sz w:val="24"/>
          <w:szCs w:val="24"/>
        </w:rPr>
        <w:t xml:space="preserve"> </w:t>
      </w:r>
      <w:r w:rsidRPr="00926F15">
        <w:rPr>
          <w:rStyle w:val="hps"/>
          <w:rFonts w:ascii="Arial" w:hAnsi="Arial" w:cs="Arial"/>
          <w:sz w:val="24"/>
          <w:szCs w:val="24"/>
        </w:rPr>
        <w:t>6</w:t>
      </w:r>
    </w:p>
    <w:p w:rsidR="000035FC" w:rsidRPr="00DD5F85" w:rsidRDefault="000035FC" w:rsidP="000C6A67">
      <w:pPr>
        <w:spacing w:after="0" w:line="240" w:lineRule="auto"/>
        <w:jc w:val="both"/>
        <w:rPr>
          <w:rFonts w:ascii="Arial" w:hAnsi="Arial" w:cs="Arial"/>
          <w:sz w:val="24"/>
          <w:szCs w:val="24"/>
          <w:lang w:eastAsia="ro-RO"/>
        </w:rPr>
      </w:pPr>
    </w:p>
    <w:p w:rsidR="001937AF" w:rsidRPr="001937AF" w:rsidRDefault="001937AF" w:rsidP="000C6A67">
      <w:pPr>
        <w:spacing w:after="0" w:line="240" w:lineRule="auto"/>
        <w:jc w:val="both"/>
        <w:rPr>
          <w:lang w:eastAsia="ro-RO"/>
        </w:rPr>
        <w:sectPr w:rsidR="001937AF" w:rsidRPr="001937AF" w:rsidSect="004F3EAD">
          <w:footerReference w:type="default" r:id="rId41"/>
          <w:pgSz w:w="11907" w:h="16840" w:code="9"/>
          <w:pgMar w:top="1134" w:right="1377" w:bottom="1134" w:left="1418" w:header="720" w:footer="720" w:gutter="0"/>
          <w:cols w:space="720"/>
          <w:docGrid w:linePitch="360"/>
        </w:sectPr>
      </w:pPr>
    </w:p>
    <w:p w:rsidR="000035FC" w:rsidRPr="00DD5F85" w:rsidRDefault="000035FC" w:rsidP="000C6A67">
      <w:pPr>
        <w:pStyle w:val="Heading1"/>
        <w:spacing w:before="0" w:line="240" w:lineRule="auto"/>
        <w:jc w:val="center"/>
        <w:rPr>
          <w:rFonts w:ascii="Arial" w:hAnsi="Arial" w:cs="Arial"/>
          <w:color w:val="auto"/>
          <w:lang w:eastAsia="ro-RO"/>
        </w:rPr>
      </w:pPr>
      <w:bookmarkStart w:id="85" w:name="_Toc488066056"/>
      <w:r w:rsidRPr="00DD5F85">
        <w:rPr>
          <w:rFonts w:ascii="Arial" w:hAnsi="Arial" w:cs="Arial"/>
          <w:color w:val="auto"/>
          <w:lang w:eastAsia="ro-RO"/>
        </w:rPr>
        <w:t xml:space="preserve">6. </w:t>
      </w:r>
      <w:r w:rsidR="00406DCE" w:rsidRPr="00DD5F85">
        <w:rPr>
          <w:rFonts w:ascii="Arial" w:hAnsi="Arial" w:cs="Arial"/>
          <w:color w:val="auto"/>
          <w:lang w:eastAsia="ro-RO"/>
        </w:rPr>
        <w:t>Învăţământul profesional şi tehnic din regiune</w:t>
      </w:r>
      <w:bookmarkEnd w:id="85"/>
    </w:p>
    <w:p w:rsidR="00DD5F85" w:rsidRPr="001937AF" w:rsidRDefault="00DD5F85" w:rsidP="000C6A67">
      <w:pPr>
        <w:spacing w:after="0" w:line="240" w:lineRule="auto"/>
        <w:jc w:val="both"/>
        <w:rPr>
          <w:rFonts w:ascii="Arial" w:hAnsi="Arial" w:cs="Arial"/>
          <w:sz w:val="28"/>
          <w:szCs w:val="28"/>
          <w:lang w:eastAsia="ro-RO"/>
        </w:rPr>
      </w:pPr>
    </w:p>
    <w:p w:rsidR="00406DCE" w:rsidRPr="00FE6E36" w:rsidRDefault="00DA2E62" w:rsidP="000C6A67">
      <w:pPr>
        <w:pStyle w:val="Heading2"/>
        <w:spacing w:before="0" w:line="240" w:lineRule="auto"/>
        <w:jc w:val="both"/>
        <w:rPr>
          <w:rFonts w:ascii="Arial" w:hAnsi="Arial" w:cs="Arial"/>
          <w:color w:val="auto"/>
          <w:sz w:val="24"/>
          <w:szCs w:val="24"/>
          <w:lang w:eastAsia="ro-RO"/>
        </w:rPr>
      </w:pPr>
      <w:bookmarkStart w:id="86" w:name="_Toc488066057"/>
      <w:r w:rsidRPr="00FE6E36">
        <w:rPr>
          <w:rFonts w:ascii="Arial" w:hAnsi="Arial" w:cs="Arial"/>
          <w:color w:val="auto"/>
          <w:sz w:val="24"/>
          <w:szCs w:val="24"/>
          <w:lang w:eastAsia="ro-RO"/>
        </w:rPr>
        <w:t>6.1</w:t>
      </w:r>
      <w:r w:rsidR="00406DCE" w:rsidRPr="00FE6E36">
        <w:rPr>
          <w:rFonts w:ascii="Arial" w:hAnsi="Arial" w:cs="Arial"/>
          <w:color w:val="auto"/>
          <w:sz w:val="24"/>
          <w:szCs w:val="24"/>
          <w:lang w:eastAsia="ro-RO"/>
        </w:rPr>
        <w:t>.</w:t>
      </w:r>
      <w:r w:rsidRPr="00FE6E36">
        <w:rPr>
          <w:rFonts w:ascii="Arial" w:hAnsi="Arial" w:cs="Arial"/>
          <w:color w:val="auto"/>
          <w:sz w:val="24"/>
          <w:szCs w:val="24"/>
          <w:lang w:eastAsia="ro-RO"/>
        </w:rPr>
        <w:t xml:space="preserve"> </w:t>
      </w:r>
      <w:r w:rsidR="00406DCE" w:rsidRPr="00FE6E36">
        <w:rPr>
          <w:rFonts w:ascii="Arial" w:hAnsi="Arial" w:cs="Arial"/>
          <w:color w:val="auto"/>
          <w:sz w:val="24"/>
          <w:szCs w:val="24"/>
          <w:lang w:eastAsia="ro-RO"/>
        </w:rPr>
        <w:t>Indicatori de intrare în IPT</w:t>
      </w:r>
      <w:bookmarkEnd w:id="86"/>
    </w:p>
    <w:p w:rsidR="00DD5F85" w:rsidRPr="00DD5F85" w:rsidRDefault="00DD5F85" w:rsidP="000C6A67">
      <w:pPr>
        <w:spacing w:after="0" w:line="240" w:lineRule="auto"/>
        <w:jc w:val="both"/>
        <w:rPr>
          <w:rFonts w:ascii="Arial" w:hAnsi="Arial" w:cs="Arial"/>
          <w:lang w:eastAsia="ro-RO"/>
        </w:rPr>
      </w:pPr>
    </w:p>
    <w:p w:rsidR="00406DCE" w:rsidRPr="00F00AC5" w:rsidRDefault="00DA2E62" w:rsidP="000C6A67">
      <w:pPr>
        <w:pStyle w:val="Heading3"/>
        <w:spacing w:before="0" w:line="240" w:lineRule="auto"/>
        <w:jc w:val="both"/>
        <w:rPr>
          <w:rFonts w:ascii="Arial" w:hAnsi="Arial" w:cs="Arial"/>
          <w:b w:val="0"/>
          <w:i/>
          <w:color w:val="auto"/>
          <w:sz w:val="24"/>
          <w:szCs w:val="24"/>
          <w:lang w:eastAsia="ro-RO"/>
        </w:rPr>
      </w:pPr>
      <w:bookmarkStart w:id="87" w:name="_Toc488066058"/>
      <w:r w:rsidRPr="00F00AC5">
        <w:rPr>
          <w:rFonts w:ascii="Arial" w:hAnsi="Arial" w:cs="Arial"/>
          <w:b w:val="0"/>
          <w:i/>
          <w:color w:val="auto"/>
          <w:sz w:val="24"/>
          <w:szCs w:val="24"/>
          <w:lang w:eastAsia="ro-RO"/>
        </w:rPr>
        <w:t>6.1.</w:t>
      </w:r>
      <w:r w:rsidR="00406DCE" w:rsidRPr="00F00AC5">
        <w:rPr>
          <w:rFonts w:ascii="Arial" w:hAnsi="Arial" w:cs="Arial"/>
          <w:b w:val="0"/>
          <w:i/>
          <w:color w:val="auto"/>
          <w:sz w:val="24"/>
          <w:szCs w:val="24"/>
          <w:lang w:eastAsia="ro-RO"/>
        </w:rPr>
        <w:t>1. Populaţia şcolară pe nivele de educaţie, sexe, medii de rezidenţă</w:t>
      </w:r>
      <w:r w:rsidR="00DD619A" w:rsidRPr="00F00AC5">
        <w:rPr>
          <w:rStyle w:val="FootnoteReference"/>
          <w:rFonts w:ascii="Arial" w:hAnsi="Arial" w:cs="Arial"/>
          <w:b w:val="0"/>
          <w:i/>
          <w:color w:val="auto"/>
          <w:sz w:val="24"/>
          <w:szCs w:val="24"/>
          <w:lang w:eastAsia="ro-RO"/>
        </w:rPr>
        <w:footnoteReference w:id="45"/>
      </w:r>
      <w:bookmarkEnd w:id="87"/>
    </w:p>
    <w:p w:rsidR="007A1DC7" w:rsidRPr="000E5D4D" w:rsidRDefault="007A1DC7" w:rsidP="000E5D4D">
      <w:pPr>
        <w:spacing w:after="0" w:line="240" w:lineRule="auto"/>
        <w:jc w:val="both"/>
        <w:rPr>
          <w:rFonts w:ascii="Arial" w:eastAsia="Times New Roman" w:hAnsi="Arial" w:cs="Arial"/>
          <w:bCs/>
          <w:i/>
          <w:sz w:val="24"/>
          <w:szCs w:val="24"/>
          <w:lang w:val="en-US"/>
        </w:rPr>
      </w:pPr>
      <w:r w:rsidRPr="00F00AC5">
        <w:rPr>
          <w:rFonts w:ascii="Arial" w:eastAsia="Times New Roman" w:hAnsi="Arial" w:cs="Arial"/>
          <w:bCs/>
          <w:i/>
          <w:sz w:val="24"/>
          <w:szCs w:val="24"/>
          <w:lang w:val="en-US"/>
        </w:rPr>
        <w:t>6.1.1.a. Evoluţia numărului de elevi cuprinşi în învăţământul primar</w:t>
      </w:r>
      <w:r w:rsidR="000E5D4D">
        <w:rPr>
          <w:rFonts w:ascii="Arial" w:eastAsia="Times New Roman" w:hAnsi="Arial" w:cs="Arial"/>
          <w:bCs/>
          <w:i/>
          <w:sz w:val="24"/>
          <w:szCs w:val="24"/>
          <w:lang w:val="en-US"/>
        </w:rPr>
        <w:t xml:space="preserve">. </w:t>
      </w:r>
      <w:r w:rsidRPr="00DA10D1">
        <w:rPr>
          <w:rFonts w:ascii="Arial" w:eastAsia="Times New Roman" w:hAnsi="Arial" w:cs="Arial"/>
          <w:bCs/>
          <w:sz w:val="24"/>
          <w:szCs w:val="24"/>
          <w:lang w:val="en-US"/>
        </w:rPr>
        <w:t>In perioada analizată, tendința de creștere a num</w:t>
      </w:r>
      <w:r w:rsidR="00840A9D">
        <w:rPr>
          <w:rFonts w:ascii="Arial" w:eastAsia="Times New Roman" w:hAnsi="Arial" w:cs="Arial"/>
          <w:bCs/>
          <w:sz w:val="24"/>
          <w:szCs w:val="24"/>
          <w:lang w:val="en-US"/>
        </w:rPr>
        <w:t>ă</w:t>
      </w:r>
      <w:r w:rsidRPr="00DA10D1">
        <w:rPr>
          <w:rFonts w:ascii="Arial" w:eastAsia="Times New Roman" w:hAnsi="Arial" w:cs="Arial"/>
          <w:bCs/>
          <w:sz w:val="24"/>
          <w:szCs w:val="24"/>
          <w:lang w:val="en-US"/>
        </w:rPr>
        <w:t xml:space="preserve">rului de elevi cuprinși în învățământul primar s-a manifestat atât la </w:t>
      </w:r>
      <w:r w:rsidRPr="00DA10D1">
        <w:rPr>
          <w:rFonts w:ascii="Arial" w:hAnsi="Arial" w:cs="Arial"/>
          <w:sz w:val="24"/>
          <w:szCs w:val="24"/>
        </w:rPr>
        <w:t>nivelul Regiunii Vest cât și la nivel național. La nivel regional creșterea a fost de 3.382 elevi (de la 73.669 elevi în 2007-2008 la 77.051</w:t>
      </w:r>
      <w:r w:rsidR="00B348CD">
        <w:rPr>
          <w:rFonts w:ascii="Arial" w:hAnsi="Arial" w:cs="Arial"/>
          <w:sz w:val="24"/>
          <w:szCs w:val="24"/>
        </w:rPr>
        <w:t xml:space="preserve"> </w:t>
      </w:r>
      <w:r w:rsidRPr="00DA10D1">
        <w:rPr>
          <w:rFonts w:ascii="Arial" w:hAnsi="Arial" w:cs="Arial"/>
          <w:sz w:val="24"/>
          <w:szCs w:val="24"/>
        </w:rPr>
        <w:t>elevi în 2015-2016). Evoluția indicatorului a fost una oscilantă:</w:t>
      </w:r>
      <w:r w:rsidRPr="00DA10D1">
        <w:rPr>
          <w:rFonts w:ascii="Arial" w:eastAsia="Times New Roman" w:hAnsi="Arial" w:cs="Arial"/>
          <w:bCs/>
          <w:sz w:val="24"/>
          <w:szCs w:val="24"/>
          <w:lang w:val="en-US"/>
        </w:rPr>
        <w:t xml:space="preserve"> după o perioadă de scădere constantă a numărului de elevi cuprinși în învățământul primar evoluția a înregistrat o ușoară creștere începând cu anul școlar 2012-2013, ca urmare a includerii în sistemul de învățământ obligatoriu a clasei pregătitoare. Această perioadă de creștere a durat doi ani după care urmează o nouă perioadă de scădere a numărului de elevi.</w:t>
      </w:r>
      <w:r w:rsidRPr="00DA10D1">
        <w:rPr>
          <w:rFonts w:ascii="Arial" w:eastAsia="Times New Roman" w:hAnsi="Arial" w:cs="Arial"/>
          <w:bCs/>
          <w:sz w:val="24"/>
          <w:szCs w:val="24"/>
        </w:rPr>
        <w:t xml:space="preserve"> </w:t>
      </w:r>
      <w:r w:rsidR="008E6A44">
        <w:rPr>
          <w:rFonts w:ascii="Arial" w:eastAsia="Times New Roman" w:hAnsi="Arial" w:cs="Arial"/>
          <w:bCs/>
          <w:sz w:val="24"/>
          <w:szCs w:val="24"/>
          <w:lang w:val="en-US"/>
        </w:rPr>
        <w:t xml:space="preserve">Astfel, în Regiunea Vest, </w:t>
      </w:r>
      <w:r w:rsidRPr="00DA10D1">
        <w:rPr>
          <w:rFonts w:ascii="Arial" w:eastAsia="Times New Roman" w:hAnsi="Arial" w:cs="Arial"/>
          <w:bCs/>
          <w:sz w:val="24"/>
          <w:szCs w:val="24"/>
          <w:lang w:val="en-US"/>
        </w:rPr>
        <w:t>creșterea a fost cu 9.639 elevi în anul școlar 2012-2013 (77.459 elevi) și cu doar 349 elevi în anul școlar 2013-2014 (77.808 elevi).</w:t>
      </w:r>
    </w:p>
    <w:p w:rsidR="007A1DC7" w:rsidRPr="00DA10D1" w:rsidRDefault="007A1DC7" w:rsidP="000E5D4D">
      <w:pPr>
        <w:spacing w:after="0" w:line="240" w:lineRule="auto"/>
        <w:jc w:val="both"/>
        <w:rPr>
          <w:rFonts w:ascii="Arial" w:eastAsia="Times New Roman" w:hAnsi="Arial" w:cs="Arial"/>
          <w:bCs/>
          <w:sz w:val="24"/>
          <w:szCs w:val="24"/>
          <w:lang w:val="en-US"/>
        </w:rPr>
      </w:pPr>
      <w:r w:rsidRPr="00DA10D1">
        <w:rPr>
          <w:rFonts w:ascii="Arial" w:eastAsia="Times New Roman" w:hAnsi="Arial" w:cs="Arial"/>
          <w:bCs/>
          <w:sz w:val="24"/>
          <w:szCs w:val="24"/>
          <w:lang w:val="en-US"/>
        </w:rPr>
        <w:t>Din punct de vedere al distribuției populației școlare se observă că ponderea bă</w:t>
      </w:r>
      <w:r w:rsidR="008E6A44">
        <w:rPr>
          <w:rFonts w:ascii="Arial" w:eastAsia="Times New Roman" w:hAnsi="Arial" w:cs="Arial"/>
          <w:bCs/>
          <w:sz w:val="24"/>
          <w:szCs w:val="24"/>
          <w:lang w:val="en-US"/>
        </w:rPr>
        <w:t xml:space="preserve">ieților este ușor mai ridicată </w:t>
      </w:r>
      <w:r w:rsidRPr="00DA10D1">
        <w:rPr>
          <w:rFonts w:ascii="Arial" w:eastAsia="Times New Roman" w:hAnsi="Arial" w:cs="Arial"/>
          <w:bCs/>
          <w:sz w:val="24"/>
          <w:szCs w:val="24"/>
          <w:lang w:val="en-US"/>
        </w:rPr>
        <w:t xml:space="preserve">față de fete (băieți: 51,9% - 51,7%; fete: 48,1% - 48,3%). </w:t>
      </w:r>
    </w:p>
    <w:p w:rsidR="007A1DC7" w:rsidRPr="00DA10D1" w:rsidRDefault="007A1DC7" w:rsidP="000E5D4D">
      <w:pPr>
        <w:spacing w:after="0" w:line="240" w:lineRule="auto"/>
        <w:jc w:val="both"/>
        <w:rPr>
          <w:rFonts w:ascii="Arial" w:eastAsia="Times New Roman" w:hAnsi="Arial" w:cs="Arial"/>
          <w:bCs/>
          <w:sz w:val="24"/>
          <w:szCs w:val="24"/>
          <w:lang w:val="en-US"/>
        </w:rPr>
      </w:pPr>
      <w:r w:rsidRPr="00DA10D1">
        <w:rPr>
          <w:rFonts w:ascii="Arial" w:eastAsia="Times New Roman" w:hAnsi="Arial" w:cs="Arial"/>
          <w:bCs/>
          <w:sz w:val="24"/>
          <w:szCs w:val="24"/>
          <w:lang w:val="en-US"/>
        </w:rPr>
        <w:t>Disparități importante se remarcă pe medii de rezidență: învățământul din mediul rural este defavorizat în comparație cu cel din mediul urban din perspectiva participării școlare. Din analiza datelor se constată că diferența dintre valorile înregistrate în mediul urban și cel rural cresc în favoarea mediului urban cu 7,2%, de la 19,6% (2007-2008) la 26,8% (2015-2016).</w:t>
      </w:r>
    </w:p>
    <w:p w:rsidR="007A1DC7" w:rsidRPr="00DA10D1" w:rsidRDefault="0068341A" w:rsidP="000E5D4D">
      <w:pPr>
        <w:spacing w:after="0" w:line="240" w:lineRule="auto"/>
        <w:jc w:val="both"/>
        <w:rPr>
          <w:rFonts w:ascii="Arial" w:eastAsia="Times New Roman" w:hAnsi="Arial" w:cs="Arial"/>
          <w:bCs/>
          <w:sz w:val="24"/>
          <w:szCs w:val="24"/>
          <w:lang w:val="en-US"/>
        </w:rPr>
      </w:pPr>
      <w:r>
        <w:rPr>
          <w:rFonts w:ascii="Arial" w:eastAsia="Times New Roman" w:hAnsi="Arial" w:cs="Arial"/>
          <w:bCs/>
          <w:sz w:val="24"/>
          <w:szCs w:val="24"/>
          <w:lang w:val="en-US"/>
        </w:rPr>
        <w:t xml:space="preserve">Evoluția indicatorului s-a </w:t>
      </w:r>
      <w:r w:rsidR="007A1DC7" w:rsidRPr="00DA10D1">
        <w:rPr>
          <w:rFonts w:ascii="Arial" w:eastAsia="Times New Roman" w:hAnsi="Arial" w:cs="Arial"/>
          <w:bCs/>
          <w:sz w:val="24"/>
          <w:szCs w:val="24"/>
          <w:lang w:val="en-US"/>
        </w:rPr>
        <w:t>manifestat în mo</w:t>
      </w:r>
      <w:r>
        <w:rPr>
          <w:rFonts w:ascii="Arial" w:eastAsia="Times New Roman" w:hAnsi="Arial" w:cs="Arial"/>
          <w:bCs/>
          <w:sz w:val="24"/>
          <w:szCs w:val="24"/>
          <w:lang w:val="en-US"/>
        </w:rPr>
        <w:t xml:space="preserve">d diferit la nivelul județelor. </w:t>
      </w:r>
      <w:r w:rsidR="007A1DC7" w:rsidRPr="00DA10D1">
        <w:rPr>
          <w:rFonts w:ascii="Arial" w:eastAsia="Times New Roman" w:hAnsi="Arial" w:cs="Arial"/>
          <w:bCs/>
          <w:sz w:val="24"/>
          <w:szCs w:val="24"/>
          <w:lang w:val="en-US"/>
        </w:rPr>
        <w:t>Astfel, populația școlară cuprinsă în î</w:t>
      </w:r>
      <w:r>
        <w:rPr>
          <w:rFonts w:ascii="Arial" w:eastAsia="Times New Roman" w:hAnsi="Arial" w:cs="Arial"/>
          <w:bCs/>
          <w:sz w:val="24"/>
          <w:szCs w:val="24"/>
          <w:lang w:val="en-US"/>
        </w:rPr>
        <w:t xml:space="preserve">nvățământul primar al județului </w:t>
      </w:r>
      <w:r w:rsidR="007A1DC7" w:rsidRPr="00DA10D1">
        <w:rPr>
          <w:rFonts w:ascii="Arial" w:eastAsia="Times New Roman" w:hAnsi="Arial" w:cs="Arial"/>
          <w:bCs/>
          <w:sz w:val="24"/>
          <w:szCs w:val="24"/>
          <w:lang w:val="en-US"/>
        </w:rPr>
        <w:t>Timiș a crescut în 2015-2016 față de 2007-2008 cu 4.032 elevi iar în județul Arad cu 991 elevi. În aceeași perioadă, indicatorul a înregistrat o scădere cu 1.101elevi în județul Caraș-Severin și cu 540 elevi în județul Hunedoara.</w:t>
      </w:r>
    </w:p>
    <w:p w:rsidR="007A1DC7" w:rsidRPr="00AD4F1F" w:rsidRDefault="007A1DC7" w:rsidP="000E5D4D">
      <w:pPr>
        <w:spacing w:after="0" w:line="240" w:lineRule="auto"/>
        <w:jc w:val="both"/>
        <w:rPr>
          <w:rFonts w:ascii="Arial" w:eastAsia="Times New Roman" w:hAnsi="Arial" w:cs="Arial"/>
          <w:bCs/>
          <w:i/>
          <w:sz w:val="24"/>
          <w:szCs w:val="24"/>
          <w:lang w:val="en-US"/>
        </w:rPr>
      </w:pPr>
      <w:r w:rsidRPr="00AD4F1F">
        <w:rPr>
          <w:rFonts w:ascii="Arial" w:eastAsia="Times New Roman" w:hAnsi="Arial" w:cs="Arial"/>
          <w:bCs/>
          <w:i/>
          <w:sz w:val="24"/>
          <w:szCs w:val="24"/>
          <w:lang w:val="en-US"/>
        </w:rPr>
        <w:t>6.1.1.b. Evoluţia numărului de elevi cuprinşi în învăţământul gimnazial</w:t>
      </w:r>
      <w:r w:rsidR="000E5D4D" w:rsidRPr="00AD4F1F">
        <w:rPr>
          <w:rFonts w:ascii="Arial" w:eastAsia="Times New Roman" w:hAnsi="Arial" w:cs="Arial"/>
          <w:bCs/>
          <w:i/>
          <w:sz w:val="24"/>
          <w:szCs w:val="24"/>
          <w:lang w:val="en-US"/>
        </w:rPr>
        <w:t xml:space="preserve">. </w:t>
      </w:r>
      <w:r w:rsidRPr="00AD4F1F">
        <w:rPr>
          <w:rFonts w:ascii="Arial" w:hAnsi="Arial" w:cs="Arial"/>
          <w:bCs/>
          <w:sz w:val="24"/>
          <w:szCs w:val="24"/>
        </w:rPr>
        <w:t xml:space="preserve">Evoluția numărului de elevi cuprinşi în învăţământul gimnazial în perioada analizată,  înregistrează o reducere semnificativă atât la nivel național cât și la nivel regional. La nivel național, populația școlară înregistrează  o scădere cu 151.577 elevi în anul școlar 2015-2016  (772.941 elevi) față de anul școlar 2007-2008 (924.518 elevi). </w:t>
      </w:r>
    </w:p>
    <w:p w:rsidR="007A1DC7" w:rsidRPr="00DA10D1" w:rsidRDefault="007A1DC7" w:rsidP="000E5D4D">
      <w:pPr>
        <w:pStyle w:val="NormalWeb"/>
        <w:spacing w:after="0" w:line="240" w:lineRule="auto"/>
        <w:jc w:val="both"/>
        <w:rPr>
          <w:rFonts w:ascii="Arial" w:hAnsi="Arial" w:cs="Arial"/>
          <w:bCs/>
        </w:rPr>
      </w:pPr>
      <w:r w:rsidRPr="00DA10D1">
        <w:rPr>
          <w:rFonts w:ascii="Arial" w:hAnsi="Arial" w:cs="Arial"/>
          <w:bCs/>
        </w:rPr>
        <w:t xml:space="preserve">Din datele analizate rezultă că, la nivel regional, efectivele de elevi au scăzut cu 22.401 elevi (81.212 în anul școlar 2007-2008 și 64.811 elevi în anul școlar 2015 - 2016). </w:t>
      </w:r>
      <w:r w:rsidR="0068341A">
        <w:rPr>
          <w:rFonts w:ascii="Arial" w:hAnsi="Arial" w:cs="Arial"/>
          <w:bCs/>
        </w:rPr>
        <w:t>Î</w:t>
      </w:r>
      <w:r w:rsidRPr="00DA10D1">
        <w:rPr>
          <w:rFonts w:ascii="Arial" w:hAnsi="Arial" w:cs="Arial"/>
          <w:bCs/>
        </w:rPr>
        <w:t>n anul școlar 2011-2012 s-a înregistrat cea mai puternică scădere a efectivelor 4.722 elevi față de anul școlar precedent.</w:t>
      </w:r>
    </w:p>
    <w:p w:rsidR="007A1DC7" w:rsidRPr="0068341A" w:rsidRDefault="007A1DC7" w:rsidP="000E5D4D">
      <w:pPr>
        <w:pStyle w:val="NormalWeb"/>
        <w:spacing w:after="0" w:line="240" w:lineRule="auto"/>
        <w:jc w:val="both"/>
        <w:rPr>
          <w:rFonts w:ascii="Arial" w:hAnsi="Arial" w:cs="Arial"/>
          <w:bCs/>
        </w:rPr>
      </w:pPr>
      <w:r w:rsidRPr="00DA10D1">
        <w:rPr>
          <w:rFonts w:ascii="Arial" w:hAnsi="Arial" w:cs="Arial"/>
        </w:rPr>
        <w:t>In ceea ce privește raportul masculin – feminin există diferențe cuprinse între 3 - 4,5 puncte procentuale în favoarea populației școlare masculine, însă pentru relația urban – rural diferența este de 29 puncte procentuale la începutul perioadei de analiză, și arată o tendință de scădere depășind 26 puncte procentuale pentru ultimul an din perioada analizată.</w:t>
      </w:r>
    </w:p>
    <w:p w:rsidR="007A1DC7" w:rsidRPr="000E5D4D" w:rsidRDefault="007A1DC7" w:rsidP="000E5D4D">
      <w:pPr>
        <w:spacing w:after="0" w:line="240" w:lineRule="auto"/>
        <w:jc w:val="both"/>
        <w:rPr>
          <w:rFonts w:ascii="Arial" w:eastAsia="Times New Roman" w:hAnsi="Arial" w:cs="Arial"/>
          <w:bCs/>
          <w:i/>
          <w:sz w:val="24"/>
          <w:szCs w:val="24"/>
          <w:lang w:val="en-US"/>
        </w:rPr>
      </w:pPr>
      <w:r w:rsidRPr="0068341A">
        <w:rPr>
          <w:rFonts w:ascii="Arial" w:eastAsia="Times New Roman" w:hAnsi="Arial" w:cs="Arial"/>
          <w:bCs/>
          <w:i/>
          <w:sz w:val="24"/>
          <w:szCs w:val="24"/>
          <w:lang w:val="en-US"/>
        </w:rPr>
        <w:t>6.1.1.c.</w:t>
      </w:r>
      <w:r w:rsidR="0068341A">
        <w:rPr>
          <w:rFonts w:ascii="Arial" w:eastAsia="Times New Roman" w:hAnsi="Arial" w:cs="Arial"/>
          <w:bCs/>
          <w:i/>
          <w:sz w:val="24"/>
          <w:szCs w:val="24"/>
          <w:lang w:val="en-US"/>
        </w:rPr>
        <w:t xml:space="preserve"> </w:t>
      </w:r>
      <w:r w:rsidRPr="0068341A">
        <w:rPr>
          <w:rFonts w:ascii="Arial" w:eastAsia="Times New Roman" w:hAnsi="Arial" w:cs="Arial"/>
          <w:bCs/>
          <w:i/>
          <w:sz w:val="24"/>
          <w:szCs w:val="24"/>
          <w:lang w:val="en-US"/>
        </w:rPr>
        <w:t>Evoluţia numărului de elevi cuprinşi în învăţământul liceal</w:t>
      </w:r>
      <w:r w:rsidR="000E5D4D">
        <w:rPr>
          <w:rFonts w:ascii="Arial" w:eastAsia="Times New Roman" w:hAnsi="Arial" w:cs="Arial"/>
          <w:bCs/>
          <w:i/>
          <w:sz w:val="24"/>
          <w:szCs w:val="24"/>
          <w:lang w:val="en-US"/>
        </w:rPr>
        <w:t xml:space="preserve">. </w:t>
      </w:r>
      <w:r w:rsidRPr="00DA10D1">
        <w:rPr>
          <w:rFonts w:ascii="Arial" w:eastAsia="Times New Roman" w:hAnsi="Arial" w:cs="Arial"/>
          <w:bCs/>
          <w:sz w:val="24"/>
          <w:szCs w:val="24"/>
          <w:lang w:val="en-US"/>
        </w:rPr>
        <w:t xml:space="preserve">Pe parcursul intervalului analizat, la nivel național, efectivele de elevi au scăzut cu 117.733 elevi de </w:t>
      </w:r>
      <w:r w:rsidRPr="00DA10D1">
        <w:rPr>
          <w:rFonts w:ascii="Arial" w:eastAsia="Times New Roman" w:hAnsi="Arial" w:cs="Arial"/>
          <w:bCs/>
          <w:sz w:val="24"/>
          <w:szCs w:val="24"/>
          <w:lang w:val="en-US"/>
        </w:rPr>
        <w:lastRenderedPageBreak/>
        <w:t xml:space="preserve">la 791.348 elevi în 2008-2009 la 673.615 elevi în 2015-2016. Avem și situații de excepție în care, în trei ani școlari consecutivi, începând din anul școlar 2009-2010 </w:t>
      </w:r>
      <w:r>
        <w:rPr>
          <w:rFonts w:ascii="Arial" w:hAnsi="Arial" w:cs="Arial"/>
          <w:sz w:val="24"/>
          <w:szCs w:val="24"/>
        </w:rPr>
        <w:t>(anul</w:t>
      </w:r>
      <w:r w:rsidRPr="00DA10D1">
        <w:rPr>
          <w:rFonts w:ascii="Arial" w:hAnsi="Arial" w:cs="Arial"/>
          <w:sz w:val="24"/>
          <w:szCs w:val="24"/>
        </w:rPr>
        <w:t xml:space="preserve"> intrării în lichidare a SAM-urilor și preluării locurilor în liceu) </w:t>
      </w:r>
      <w:r w:rsidRPr="00DA10D1">
        <w:rPr>
          <w:rFonts w:ascii="Arial" w:eastAsia="Times New Roman" w:hAnsi="Arial" w:cs="Arial"/>
          <w:bCs/>
          <w:sz w:val="24"/>
          <w:szCs w:val="24"/>
          <w:lang w:val="en-US"/>
        </w:rPr>
        <w:t>urmează o creștere bruscă când se ating cele mai mari valori din intervalul analizat. Incepând din anul școlar 2013 – 2014 se inversează trendul.</w:t>
      </w:r>
    </w:p>
    <w:p w:rsidR="007A1DC7" w:rsidRPr="00DA10D1" w:rsidRDefault="007A1DC7" w:rsidP="000E5D4D">
      <w:pPr>
        <w:spacing w:after="0" w:line="240" w:lineRule="auto"/>
        <w:jc w:val="both"/>
        <w:rPr>
          <w:rFonts w:ascii="Arial" w:eastAsia="Times New Roman" w:hAnsi="Arial" w:cs="Arial"/>
          <w:bCs/>
          <w:sz w:val="24"/>
          <w:szCs w:val="24"/>
          <w:lang w:val="en-US"/>
        </w:rPr>
      </w:pPr>
      <w:r w:rsidRPr="00DA10D1">
        <w:rPr>
          <w:rFonts w:ascii="Arial" w:eastAsia="Times New Roman" w:hAnsi="Arial" w:cs="Arial"/>
          <w:bCs/>
          <w:sz w:val="24"/>
          <w:szCs w:val="24"/>
          <w:lang w:val="en-US"/>
        </w:rPr>
        <w:t>Evoluția numărului de elevi cuprinși în învățământul liceal, la nivel regional, este asemănătoare cu evoluția de la nivel național, cu deosebirea că situațiile de excepție sunt pe parcursul a d</w:t>
      </w:r>
      <w:r w:rsidR="0068341A">
        <w:rPr>
          <w:rFonts w:ascii="Arial" w:eastAsia="Times New Roman" w:hAnsi="Arial" w:cs="Arial"/>
          <w:bCs/>
          <w:sz w:val="24"/>
          <w:szCs w:val="24"/>
          <w:lang w:val="en-US"/>
        </w:rPr>
        <w:t xml:space="preserve">oi ani școlari consecutivi 2009–2010 și 2010-2011. </w:t>
      </w:r>
      <w:r w:rsidRPr="00DA10D1">
        <w:rPr>
          <w:rFonts w:ascii="Arial" w:eastAsia="Times New Roman" w:hAnsi="Arial" w:cs="Arial"/>
          <w:bCs/>
          <w:sz w:val="24"/>
          <w:szCs w:val="24"/>
          <w:lang w:val="en-US"/>
        </w:rPr>
        <w:t>In Regiunea Vest, efectivele de elevi, de la începutul și până la sfârșitul perioadei analizate au scăzut cu 15.003 elevi.</w:t>
      </w:r>
    </w:p>
    <w:p w:rsidR="007A1DC7" w:rsidRPr="00DA10D1" w:rsidRDefault="007A1DC7" w:rsidP="000E5D4D">
      <w:pPr>
        <w:spacing w:after="0" w:line="240" w:lineRule="auto"/>
        <w:jc w:val="both"/>
        <w:rPr>
          <w:rFonts w:ascii="Arial" w:hAnsi="Arial" w:cs="Arial"/>
          <w:sz w:val="24"/>
          <w:szCs w:val="24"/>
        </w:rPr>
      </w:pPr>
      <w:r w:rsidRPr="00DA10D1">
        <w:rPr>
          <w:rFonts w:ascii="Arial" w:hAnsi="Arial" w:cs="Arial"/>
          <w:sz w:val="24"/>
          <w:szCs w:val="24"/>
        </w:rPr>
        <w:t>De-a lungul perioadei de analiză, decalajul între mediul urban şi rural s-a păstrat la un nivel ridicat (peste 86%), deşi s-au înregistrat a</w:t>
      </w:r>
      <w:r w:rsidR="000E5D4D">
        <w:rPr>
          <w:rFonts w:ascii="Arial" w:hAnsi="Arial" w:cs="Arial"/>
          <w:sz w:val="24"/>
          <w:szCs w:val="24"/>
        </w:rPr>
        <w:t xml:space="preserve">meliorări din 2007 până în 2015, </w:t>
      </w:r>
      <w:r w:rsidRPr="00DA10D1">
        <w:rPr>
          <w:rFonts w:ascii="Arial" w:hAnsi="Arial" w:cs="Arial"/>
          <w:sz w:val="24"/>
          <w:szCs w:val="24"/>
        </w:rPr>
        <w:t>de la o diferenţă de 89 puncte procentuale în 2007-2008 la 86,6 puncte procentuale în 2015-2016, în defavoarea mediului rural. Diferențele pe sexe ajung să se reducă, băieții fiind  în avantaj la nivelul anului 2009-2010 (50,5% față de 49,5%). Evoluția pe feminin - masculin ajunge să înregistreze ponderi egale în anul 2015-2016, sfârșitul perioadei analizate.</w:t>
      </w:r>
    </w:p>
    <w:p w:rsidR="007A1DC7" w:rsidRPr="000E5D4D" w:rsidRDefault="007A1DC7" w:rsidP="000E5D4D">
      <w:pPr>
        <w:spacing w:after="0" w:line="240" w:lineRule="auto"/>
        <w:jc w:val="both"/>
        <w:rPr>
          <w:rFonts w:ascii="Arial" w:eastAsia="Times New Roman" w:hAnsi="Arial" w:cs="Arial"/>
          <w:bCs/>
          <w:i/>
          <w:sz w:val="24"/>
          <w:szCs w:val="24"/>
        </w:rPr>
      </w:pPr>
      <w:r w:rsidRPr="000E5D4D">
        <w:rPr>
          <w:rFonts w:ascii="Arial" w:eastAsia="Times New Roman" w:hAnsi="Arial" w:cs="Arial"/>
          <w:bCs/>
          <w:i/>
          <w:sz w:val="24"/>
          <w:szCs w:val="24"/>
          <w:lang w:val="en-US"/>
        </w:rPr>
        <w:t xml:space="preserve">6.1.1.d. </w:t>
      </w:r>
      <w:r w:rsidRPr="000E5D4D">
        <w:rPr>
          <w:rFonts w:ascii="Arial" w:eastAsia="Times New Roman" w:hAnsi="Arial" w:cs="Arial"/>
          <w:bCs/>
          <w:i/>
          <w:sz w:val="24"/>
          <w:szCs w:val="24"/>
        </w:rPr>
        <w:t>Evoluţia numărului de elevi cuprinşi în învăţământul profesional</w:t>
      </w:r>
      <w:r w:rsidR="000E5D4D">
        <w:rPr>
          <w:rFonts w:ascii="Arial" w:eastAsia="Times New Roman" w:hAnsi="Arial" w:cs="Arial"/>
          <w:bCs/>
          <w:i/>
          <w:sz w:val="24"/>
          <w:szCs w:val="24"/>
        </w:rPr>
        <w:t xml:space="preserve">. </w:t>
      </w:r>
      <w:r w:rsidRPr="00B06D3A">
        <w:rPr>
          <w:rFonts w:ascii="Arial" w:eastAsia="Times New Roman" w:hAnsi="Arial" w:cs="Arial"/>
          <w:bCs/>
          <w:sz w:val="24"/>
          <w:szCs w:val="24"/>
        </w:rPr>
        <w:t xml:space="preserve">Pe parcursul intervalului analizat, atât la nivel național cât și la nivel regional evoluţia numărului de elevi cuprinşi în învăţământul profesional înregistrează un trend continuu descendent. Cea mai dramatică scădere începe  cu anul 2009-2010, influențată de decizia de desființare a SAM-urilor: la nivel național scăderea înregistrată este de 73.809 elevi (de la </w:t>
      </w:r>
      <w:r w:rsidRPr="00B06D3A">
        <w:rPr>
          <w:rFonts w:ascii="Arial" w:eastAsia="Times New Roman" w:hAnsi="Arial" w:cs="Arial"/>
          <w:bCs/>
          <w:sz w:val="24"/>
          <w:szCs w:val="24"/>
          <w:lang w:val="en-US"/>
        </w:rPr>
        <w:t xml:space="preserve">189.254 </w:t>
      </w:r>
      <w:r w:rsidRPr="00B06D3A">
        <w:rPr>
          <w:rFonts w:ascii="Arial" w:eastAsia="Times New Roman" w:hAnsi="Arial" w:cs="Arial"/>
          <w:bCs/>
          <w:sz w:val="24"/>
          <w:szCs w:val="24"/>
        </w:rPr>
        <w:t xml:space="preserve">elevi în 2008-2009 la </w:t>
      </w:r>
      <w:r w:rsidRPr="00B06D3A">
        <w:rPr>
          <w:rFonts w:ascii="Arial" w:eastAsia="Times New Roman" w:hAnsi="Arial" w:cs="Arial"/>
          <w:bCs/>
          <w:sz w:val="24"/>
          <w:szCs w:val="24"/>
          <w:lang w:val="en-US"/>
        </w:rPr>
        <w:t>115.445</w:t>
      </w:r>
      <w:r w:rsidRPr="00B06D3A">
        <w:rPr>
          <w:rFonts w:ascii="Arial" w:eastAsia="Times New Roman" w:hAnsi="Arial" w:cs="Arial"/>
          <w:b/>
          <w:bCs/>
          <w:sz w:val="24"/>
          <w:szCs w:val="24"/>
          <w:lang w:val="en-US"/>
        </w:rPr>
        <w:t xml:space="preserve"> </w:t>
      </w:r>
      <w:r w:rsidRPr="00B06D3A">
        <w:rPr>
          <w:rFonts w:ascii="Arial" w:eastAsia="Times New Roman" w:hAnsi="Arial" w:cs="Arial"/>
          <w:bCs/>
          <w:sz w:val="24"/>
          <w:szCs w:val="24"/>
        </w:rPr>
        <w:t xml:space="preserve">elevi în 2009-2010); la nivel regional scăderea este de 6.203 elevi (de la </w:t>
      </w:r>
      <w:r w:rsidRPr="00B06D3A">
        <w:rPr>
          <w:rFonts w:ascii="Arial" w:eastAsia="Times New Roman" w:hAnsi="Arial" w:cs="Arial"/>
          <w:bCs/>
          <w:sz w:val="24"/>
          <w:szCs w:val="24"/>
          <w:lang w:val="en-US"/>
        </w:rPr>
        <w:t xml:space="preserve">16.128 </w:t>
      </w:r>
      <w:r w:rsidRPr="00B06D3A">
        <w:rPr>
          <w:rFonts w:ascii="Arial" w:eastAsia="Times New Roman" w:hAnsi="Arial" w:cs="Arial"/>
          <w:bCs/>
          <w:sz w:val="24"/>
          <w:szCs w:val="24"/>
        </w:rPr>
        <w:t xml:space="preserve">elevi în 2008-2009 la </w:t>
      </w:r>
      <w:r w:rsidRPr="00B06D3A">
        <w:rPr>
          <w:rFonts w:ascii="Arial" w:eastAsia="Times New Roman" w:hAnsi="Arial" w:cs="Arial"/>
          <w:bCs/>
          <w:sz w:val="24"/>
          <w:szCs w:val="24"/>
          <w:lang w:val="en-US"/>
        </w:rPr>
        <w:t xml:space="preserve">9.925 </w:t>
      </w:r>
      <w:r w:rsidRPr="00B06D3A">
        <w:rPr>
          <w:rFonts w:ascii="Arial" w:eastAsia="Times New Roman" w:hAnsi="Arial" w:cs="Arial"/>
          <w:b/>
          <w:bCs/>
          <w:sz w:val="24"/>
          <w:szCs w:val="24"/>
          <w:lang w:val="en-US"/>
        </w:rPr>
        <w:t xml:space="preserve"> </w:t>
      </w:r>
      <w:r w:rsidRPr="00B06D3A">
        <w:rPr>
          <w:rFonts w:ascii="Arial" w:eastAsia="Times New Roman" w:hAnsi="Arial" w:cs="Arial"/>
          <w:bCs/>
          <w:sz w:val="24"/>
          <w:szCs w:val="24"/>
        </w:rPr>
        <w:t xml:space="preserve">elevi în 2009-2010). Scăderea continuă până în anul școlar 2011-2012 când se înregistrează cele mai scăzute valori. </w:t>
      </w:r>
    </w:p>
    <w:p w:rsidR="007A1DC7" w:rsidRPr="00B06D3A" w:rsidRDefault="007A1DC7" w:rsidP="000E5D4D">
      <w:pPr>
        <w:spacing w:after="0" w:line="240" w:lineRule="auto"/>
        <w:jc w:val="both"/>
        <w:rPr>
          <w:rFonts w:ascii="Arial" w:hAnsi="Arial" w:cs="Arial"/>
          <w:sz w:val="24"/>
          <w:szCs w:val="24"/>
        </w:rPr>
      </w:pPr>
      <w:r w:rsidRPr="00B06D3A">
        <w:rPr>
          <w:rFonts w:ascii="Arial" w:hAnsi="Arial" w:cs="Arial"/>
          <w:sz w:val="24"/>
          <w:szCs w:val="24"/>
        </w:rPr>
        <w:t xml:space="preserve">Odată cu măsurile de revigorare ale acestei forme de calificare, (reînființarea claselor de învățământ profesional, începând cu clasa a X-a; reînființarea claselor de învățământ profesional de 3 ani, după finalizarea clasei a VIII-a), evoluția numărului de elevi se redresează. </w:t>
      </w:r>
    </w:p>
    <w:p w:rsidR="007A1DC7" w:rsidRPr="00AD0D0E" w:rsidRDefault="007A1DC7" w:rsidP="000E5D4D">
      <w:pPr>
        <w:spacing w:after="0" w:line="240" w:lineRule="auto"/>
        <w:jc w:val="both"/>
        <w:rPr>
          <w:rFonts w:ascii="Arial" w:eastAsia="Times New Roman" w:hAnsi="Arial" w:cs="Arial"/>
          <w:b/>
          <w:bCs/>
          <w:sz w:val="24"/>
          <w:szCs w:val="24"/>
        </w:rPr>
      </w:pPr>
      <w:r w:rsidRPr="00AD0D0E">
        <w:rPr>
          <w:rFonts w:ascii="Arial" w:hAnsi="Arial" w:cs="Arial"/>
          <w:b/>
          <w:sz w:val="24"/>
          <w:szCs w:val="24"/>
        </w:rPr>
        <w:t>În anul școlar 2015-2016, cel mai mare număr de elevi cuprinși în învățământul profesional este înregistrat în Regiunea Nord-Est urmată de Regiunea Centru. La polul opus se situează Bucureși-Ilfov și Regiunea Vest.</w:t>
      </w:r>
    </w:p>
    <w:p w:rsidR="007A1DC7" w:rsidRPr="000E5D4D" w:rsidRDefault="007A1DC7" w:rsidP="000E5D4D">
      <w:pPr>
        <w:spacing w:after="0" w:line="240" w:lineRule="auto"/>
        <w:jc w:val="both"/>
        <w:rPr>
          <w:rFonts w:ascii="Arial" w:hAnsi="Arial" w:cs="Arial"/>
          <w:sz w:val="24"/>
          <w:szCs w:val="24"/>
        </w:rPr>
      </w:pPr>
      <w:r w:rsidRPr="00B06D3A">
        <w:rPr>
          <w:rFonts w:ascii="Arial" w:hAnsi="Arial" w:cs="Arial"/>
          <w:sz w:val="24"/>
          <w:szCs w:val="24"/>
        </w:rPr>
        <w:t>Din datele analizate, la nivel regional, de-a lungul întregului interval de timp,  ponderea a fost mai mare în rândul elevilor din mediul urban. Apar și situații în care, la nivelul fiecărui județ, numărul elevilor cuprinși în învățământul profesional, în mediul rural, este zero.</w:t>
      </w:r>
      <w:r w:rsidR="000E5D4D">
        <w:rPr>
          <w:rFonts w:ascii="Arial" w:hAnsi="Arial" w:cs="Arial"/>
          <w:sz w:val="24"/>
          <w:szCs w:val="24"/>
        </w:rPr>
        <w:t xml:space="preserve"> </w:t>
      </w:r>
      <w:r w:rsidRPr="00B06D3A">
        <w:rPr>
          <w:rFonts w:ascii="Arial" w:hAnsi="Arial" w:cs="Arial"/>
          <w:sz w:val="24"/>
          <w:szCs w:val="24"/>
        </w:rPr>
        <w:t>Populația masculină are, de-a lungul intervalului analizat, o cuprindere școlară mai mare decât cea feminină.</w:t>
      </w:r>
    </w:p>
    <w:p w:rsidR="007A1DC7" w:rsidRPr="000E5D4D" w:rsidRDefault="007A1DC7" w:rsidP="000E5D4D">
      <w:pPr>
        <w:spacing w:after="0" w:line="240" w:lineRule="auto"/>
        <w:jc w:val="both"/>
        <w:rPr>
          <w:rFonts w:ascii="Arial" w:eastAsia="Times New Roman" w:hAnsi="Arial" w:cs="Arial"/>
          <w:bCs/>
          <w:i/>
          <w:sz w:val="24"/>
          <w:szCs w:val="24"/>
          <w:lang w:val="en-US"/>
        </w:rPr>
      </w:pPr>
      <w:r w:rsidRPr="000E5D4D">
        <w:rPr>
          <w:rFonts w:ascii="Arial" w:eastAsia="Times New Roman" w:hAnsi="Arial" w:cs="Arial"/>
          <w:bCs/>
          <w:i/>
          <w:sz w:val="24"/>
          <w:szCs w:val="24"/>
          <w:lang w:val="en-US"/>
        </w:rPr>
        <w:t>6.1.1. f. Evoluţia numărului de elevi cuprinşi în învăţământul postliceal</w:t>
      </w:r>
      <w:r w:rsidR="000E5D4D">
        <w:rPr>
          <w:rFonts w:ascii="Arial" w:eastAsia="Times New Roman" w:hAnsi="Arial" w:cs="Arial"/>
          <w:bCs/>
          <w:i/>
          <w:sz w:val="24"/>
          <w:szCs w:val="24"/>
          <w:lang w:val="en-US"/>
        </w:rPr>
        <w:t xml:space="preserve">. </w:t>
      </w:r>
      <w:r w:rsidRPr="00B06D3A">
        <w:rPr>
          <w:rFonts w:ascii="Arial" w:hAnsi="Arial" w:cs="Arial"/>
          <w:sz w:val="24"/>
          <w:szCs w:val="24"/>
        </w:rPr>
        <w:t xml:space="preserve">Invățământul postliceal a devenit o opțiune atractivă ceea ce explică creșterea semnificativă a efectivelor  de elevi care frecventează această rută.  La nivel regional, în perioada analizată, efectivele au crescut cu 7.064 elevi, de la </w:t>
      </w:r>
      <w:r w:rsidRPr="00B06D3A">
        <w:rPr>
          <w:rFonts w:ascii="Arial" w:eastAsia="Times New Roman" w:hAnsi="Arial" w:cs="Arial"/>
          <w:bCs/>
          <w:sz w:val="24"/>
          <w:szCs w:val="24"/>
          <w:lang w:val="en-US"/>
        </w:rPr>
        <w:t xml:space="preserve">3.909 elevi în 2007 la 10.973 elevi  în 2015. La nivelul anului școlar 2015-2016 numărul elevilor </w:t>
      </w:r>
      <w:r w:rsidRPr="00B06D3A">
        <w:rPr>
          <w:rFonts w:ascii="Arial" w:hAnsi="Arial" w:cs="Arial"/>
          <w:sz w:val="24"/>
          <w:szCs w:val="24"/>
        </w:rPr>
        <w:t>înregistrează o ușoară scădere față de anul anterior cu 166 elevi.</w:t>
      </w:r>
    </w:p>
    <w:p w:rsidR="007A1DC7" w:rsidRPr="000E5D4D" w:rsidRDefault="007A1DC7" w:rsidP="000E5D4D">
      <w:pPr>
        <w:spacing w:after="0" w:line="240" w:lineRule="auto"/>
        <w:jc w:val="both"/>
        <w:rPr>
          <w:rFonts w:ascii="Arial" w:hAnsi="Arial" w:cs="Arial"/>
          <w:sz w:val="24"/>
          <w:szCs w:val="24"/>
        </w:rPr>
      </w:pPr>
      <w:r w:rsidRPr="00B06D3A">
        <w:rPr>
          <w:rFonts w:ascii="Arial" w:hAnsi="Arial" w:cs="Arial"/>
          <w:sz w:val="24"/>
          <w:szCs w:val="24"/>
        </w:rPr>
        <w:t>Datele evidențiază faptul că ponderea populației feminine (valori cuprinse între 62,2% și 77,1%) este mult superioară ponderii populației masculine (valori cuprinse între 22,9% și 37,8%).</w:t>
      </w:r>
      <w:r w:rsidR="000E5D4D">
        <w:rPr>
          <w:rFonts w:ascii="Arial" w:hAnsi="Arial" w:cs="Arial"/>
          <w:sz w:val="24"/>
          <w:szCs w:val="24"/>
        </w:rPr>
        <w:t xml:space="preserve"> </w:t>
      </w:r>
      <w:r w:rsidRPr="00B06D3A">
        <w:rPr>
          <w:rFonts w:ascii="Arial" w:hAnsi="Arial" w:cs="Arial"/>
          <w:sz w:val="24"/>
          <w:szCs w:val="24"/>
        </w:rPr>
        <w:t xml:space="preserve">Ponderea de 100% în mediul urban, nu surprinde, cunoscând lipsa de oferte pentru acest nivel din mediul rural (elevii au domiciliul în mediul rural dar sunt înregistrați la școală în mediul urban). În ultimii trei ani ai perioadei analizate crește ponderea învățământului postliceal în mediul rural cu valori cuprinse între 0,6 puncte procentuale și 0,8 puncte procentuale. Această creștere se înregistrează în județul </w:t>
      </w:r>
      <w:r w:rsidRPr="00B06D3A">
        <w:rPr>
          <w:rFonts w:ascii="Arial" w:hAnsi="Arial" w:cs="Arial"/>
          <w:sz w:val="24"/>
          <w:szCs w:val="24"/>
        </w:rPr>
        <w:lastRenderedPageBreak/>
        <w:t xml:space="preserve">Caraș-Severin (1,8% în anul 2015-2016) și în județul Hunedoara (1,5% în anul 2013-2014 și 1,4% în perioada 2014 - 2016). </w:t>
      </w:r>
    </w:p>
    <w:p w:rsidR="007A1DC7" w:rsidRPr="000E5D4D" w:rsidRDefault="007A1DC7" w:rsidP="000C6A67">
      <w:pPr>
        <w:spacing w:after="0" w:line="240" w:lineRule="auto"/>
        <w:jc w:val="both"/>
        <w:rPr>
          <w:rFonts w:ascii="Arial" w:hAnsi="Arial" w:cs="Arial"/>
          <w:i/>
          <w:sz w:val="24"/>
          <w:szCs w:val="24"/>
        </w:rPr>
      </w:pPr>
      <w:r w:rsidRPr="000E5D4D">
        <w:rPr>
          <w:rFonts w:ascii="Arial" w:eastAsia="Times New Roman" w:hAnsi="Arial" w:cs="Arial"/>
          <w:bCs/>
          <w:i/>
          <w:sz w:val="24"/>
          <w:szCs w:val="24"/>
          <w:lang w:val="en-US"/>
        </w:rPr>
        <w:t xml:space="preserve">6.1.1.h. </w:t>
      </w:r>
      <w:r w:rsidRPr="000E5D4D">
        <w:rPr>
          <w:rFonts w:ascii="Arial" w:hAnsi="Arial" w:cs="Arial"/>
          <w:i/>
          <w:sz w:val="24"/>
          <w:szCs w:val="24"/>
        </w:rPr>
        <w:t>Evoluţia numărului de elevi cuprinşi în învăţământul superior</w:t>
      </w:r>
      <w:r w:rsidR="000E5D4D">
        <w:rPr>
          <w:rFonts w:ascii="Arial" w:hAnsi="Arial" w:cs="Arial"/>
          <w:i/>
          <w:sz w:val="24"/>
          <w:szCs w:val="24"/>
        </w:rPr>
        <w:t xml:space="preserve">. </w:t>
      </w:r>
      <w:r w:rsidRPr="009073CE">
        <w:rPr>
          <w:rFonts w:ascii="Arial" w:hAnsi="Arial" w:cs="Arial"/>
          <w:sz w:val="24"/>
          <w:szCs w:val="24"/>
        </w:rPr>
        <w:t xml:space="preserve">Dinamica populației școlare la nivel național, în perioada analizată, indică scăderi importante de efective în învățământul superior de la 907.353 studenți în 2007-2008 la 535.218 studenți în anul 2015-2016. </w:t>
      </w:r>
    </w:p>
    <w:p w:rsidR="007A1DC7" w:rsidRPr="009073CE" w:rsidRDefault="007A1DC7" w:rsidP="000C6A67">
      <w:pPr>
        <w:spacing w:after="0" w:line="240" w:lineRule="auto"/>
        <w:jc w:val="both"/>
        <w:rPr>
          <w:rFonts w:ascii="Arial" w:eastAsia="Times New Roman" w:hAnsi="Arial" w:cs="Arial"/>
          <w:bCs/>
          <w:sz w:val="24"/>
          <w:szCs w:val="24"/>
          <w:lang w:val="en-US"/>
        </w:rPr>
      </w:pPr>
      <w:r w:rsidRPr="009073CE">
        <w:rPr>
          <w:rFonts w:ascii="Arial" w:hAnsi="Arial" w:cs="Arial"/>
          <w:sz w:val="24"/>
          <w:szCs w:val="24"/>
        </w:rPr>
        <w:t>La nivelul Regiunii Vest, învățământul superior reprezintă nivelul de învățământ cu o evoluție oscilantă a numărului de studenți în intervalul analizat. Astfel, în perioada  2007-2008/ 2015-2016 numărul studenților  înregistrează o scădere apropape constantă până în anul 2013-2014, urmată de o creştere cu 8.740 studenți în anul următor și o descreștere cu 11.512 studenți în ultimul an. La nivel regional, după un maxim în 2007-2008 (</w:t>
      </w:r>
      <w:r w:rsidRPr="009073CE">
        <w:rPr>
          <w:rFonts w:ascii="Arial" w:eastAsia="Times New Roman" w:hAnsi="Arial" w:cs="Arial"/>
          <w:bCs/>
          <w:sz w:val="24"/>
          <w:szCs w:val="24"/>
          <w:lang w:val="en-US"/>
        </w:rPr>
        <w:t xml:space="preserve">85.268 </w:t>
      </w:r>
      <w:r w:rsidRPr="009073CE">
        <w:rPr>
          <w:rFonts w:ascii="Arial" w:hAnsi="Arial" w:cs="Arial"/>
          <w:sz w:val="24"/>
          <w:szCs w:val="24"/>
        </w:rPr>
        <w:t xml:space="preserve">elevi),  numărul populaţiei școlare cuprinse în învățământul superior a ajuns în 2015 -2016 la </w:t>
      </w:r>
      <w:r w:rsidRPr="009073CE">
        <w:rPr>
          <w:rFonts w:ascii="Arial" w:eastAsia="Times New Roman" w:hAnsi="Arial" w:cs="Arial"/>
          <w:bCs/>
          <w:sz w:val="24"/>
          <w:szCs w:val="24"/>
          <w:lang w:val="en-US"/>
        </w:rPr>
        <w:t>56.677 studenți.</w:t>
      </w:r>
    </w:p>
    <w:p w:rsidR="007A1DC7" w:rsidRPr="009073CE" w:rsidRDefault="007A1DC7" w:rsidP="000C6A67">
      <w:pPr>
        <w:spacing w:after="0" w:line="240" w:lineRule="auto"/>
        <w:jc w:val="both"/>
        <w:rPr>
          <w:rFonts w:ascii="Arial" w:eastAsia="Times New Roman" w:hAnsi="Arial" w:cs="Arial"/>
          <w:sz w:val="24"/>
          <w:szCs w:val="24"/>
          <w:lang w:val="en-US"/>
        </w:rPr>
      </w:pPr>
      <w:r w:rsidRPr="009073CE">
        <w:rPr>
          <w:rFonts w:ascii="Arial" w:eastAsia="Times New Roman" w:hAnsi="Arial" w:cs="Arial"/>
          <w:sz w:val="24"/>
          <w:szCs w:val="24"/>
          <w:lang w:val="en-US"/>
        </w:rPr>
        <w:t xml:space="preserve">Există un puternic decalaj între femei şi bărbaţi în ceea ce priveşte participarea la învăţământul universitar. Femeile participă într-un procentaj semnificativ mai mare (55,4% și 51,6%) decât bărbaţii (48,4% și 44,6%) la programele de studii oferite de instituțiile de învățământ superior. </w:t>
      </w:r>
    </w:p>
    <w:p w:rsidR="007A1DC7" w:rsidRPr="009073CE" w:rsidRDefault="007A1DC7" w:rsidP="000C6A67">
      <w:pPr>
        <w:spacing w:after="0" w:line="240" w:lineRule="auto"/>
        <w:jc w:val="both"/>
        <w:rPr>
          <w:rFonts w:ascii="Arial" w:eastAsia="Times New Roman" w:hAnsi="Arial" w:cs="Arial"/>
          <w:sz w:val="24"/>
          <w:szCs w:val="24"/>
          <w:lang w:val="en-US"/>
        </w:rPr>
      </w:pPr>
      <w:r w:rsidRPr="009073CE">
        <w:rPr>
          <w:rFonts w:ascii="Arial" w:eastAsia="Times New Roman" w:hAnsi="Arial" w:cs="Arial"/>
          <w:sz w:val="24"/>
          <w:szCs w:val="24"/>
          <w:lang w:val="en-US"/>
        </w:rPr>
        <w:t xml:space="preserve">La nivelul județelor, </w:t>
      </w:r>
      <w:r w:rsidRPr="009073CE">
        <w:rPr>
          <w:rFonts w:ascii="Arial" w:hAnsi="Arial" w:cs="Arial"/>
          <w:bCs/>
          <w:sz w:val="24"/>
          <w:szCs w:val="24"/>
          <w:lang w:val="en-US"/>
        </w:rPr>
        <w:t xml:space="preserve">în ceea ce privește diferența pe sexe, se constată că numărul studenților cuprinși în învățământul superior în perioada analizată, este mai scăzut pentru populația de sex masculin față de populația de sex feminin în județele Arad și Timiș. </w:t>
      </w:r>
      <w:r>
        <w:rPr>
          <w:rFonts w:ascii="Arial" w:hAnsi="Arial" w:cs="Arial"/>
          <w:bCs/>
          <w:sz w:val="24"/>
          <w:szCs w:val="24"/>
          <w:lang w:val="en-US"/>
        </w:rPr>
        <w:t>Î</w:t>
      </w:r>
      <w:r w:rsidRPr="009073CE">
        <w:rPr>
          <w:rFonts w:ascii="Arial" w:hAnsi="Arial" w:cs="Arial"/>
          <w:bCs/>
          <w:sz w:val="24"/>
          <w:szCs w:val="24"/>
          <w:lang w:val="en-US"/>
        </w:rPr>
        <w:t xml:space="preserve">n județul Caraș-Severin, </w:t>
      </w:r>
      <w:r w:rsidRPr="009073CE">
        <w:rPr>
          <w:rFonts w:ascii="Arial" w:eastAsia="Times New Roman" w:hAnsi="Arial" w:cs="Arial"/>
          <w:sz w:val="24"/>
          <w:szCs w:val="24"/>
          <w:lang w:val="en-US"/>
        </w:rPr>
        <w:t>ratele  de cuprindere pentru persoanele de sex feminin sunt superioare față de cele de sex masculin în perioada 2008-2009/2009-2010 și  scad semnificativ în perioada 2010/2011 – 2014-2015. Din analiza datelor, observăm faptul că în județul Hunedoara, diferenţa dintre bărbaţi şi femei este cuprinsă între 19,8% (anul 2014-2015) și 33,2% (anul 2008-2009) în favoarea bărbaților.</w:t>
      </w:r>
    </w:p>
    <w:p w:rsidR="007A1DC7" w:rsidRPr="009073CE" w:rsidRDefault="007A1DC7" w:rsidP="000C6A67">
      <w:pPr>
        <w:spacing w:after="0" w:line="240" w:lineRule="auto"/>
        <w:jc w:val="both"/>
        <w:rPr>
          <w:rFonts w:ascii="Arial" w:eastAsia="Times New Roman" w:hAnsi="Arial" w:cs="Arial"/>
          <w:bCs/>
          <w:sz w:val="24"/>
          <w:szCs w:val="24"/>
          <w:lang w:val="en-US"/>
        </w:rPr>
      </w:pPr>
      <w:r w:rsidRPr="009073CE">
        <w:rPr>
          <w:rFonts w:ascii="Arial" w:eastAsia="Times New Roman" w:hAnsi="Arial" w:cs="Arial"/>
          <w:bCs/>
          <w:sz w:val="24"/>
          <w:szCs w:val="24"/>
          <w:lang w:val="en-US"/>
        </w:rPr>
        <w:t xml:space="preserve">La nivel regional nu </w:t>
      </w:r>
      <w:r w:rsidRPr="009073CE">
        <w:rPr>
          <w:rFonts w:ascii="Arial" w:hAnsi="Arial" w:cs="Arial"/>
          <w:sz w:val="24"/>
          <w:szCs w:val="24"/>
        </w:rPr>
        <w:t>se înregistrează efective de studenți în mediul rural.</w:t>
      </w:r>
    </w:p>
    <w:p w:rsidR="001937AF" w:rsidRPr="001937AF" w:rsidRDefault="001937AF" w:rsidP="000C6A67">
      <w:pPr>
        <w:spacing w:after="0" w:line="240" w:lineRule="auto"/>
        <w:jc w:val="both"/>
        <w:rPr>
          <w:rFonts w:ascii="Arial" w:hAnsi="Arial" w:cs="Arial"/>
          <w:sz w:val="24"/>
          <w:szCs w:val="24"/>
          <w:lang w:eastAsia="ro-RO"/>
        </w:rPr>
      </w:pPr>
    </w:p>
    <w:p w:rsidR="00DD5F85" w:rsidRPr="000E5D4D" w:rsidRDefault="00DA2E62" w:rsidP="000E5D4D">
      <w:pPr>
        <w:pStyle w:val="Heading3"/>
        <w:spacing w:before="0" w:line="240" w:lineRule="auto"/>
        <w:jc w:val="both"/>
        <w:rPr>
          <w:rFonts w:ascii="Arial" w:hAnsi="Arial" w:cs="Arial"/>
          <w:b w:val="0"/>
          <w:i/>
          <w:color w:val="auto"/>
          <w:sz w:val="24"/>
          <w:szCs w:val="24"/>
          <w:lang w:eastAsia="ro-RO"/>
        </w:rPr>
      </w:pPr>
      <w:bookmarkStart w:id="88" w:name="_Toc488066059"/>
      <w:r w:rsidRPr="000E5D4D">
        <w:rPr>
          <w:rFonts w:ascii="Arial" w:hAnsi="Arial" w:cs="Arial"/>
          <w:b w:val="0"/>
          <w:i/>
          <w:color w:val="auto"/>
          <w:sz w:val="24"/>
          <w:szCs w:val="24"/>
          <w:lang w:eastAsia="ro-RO"/>
        </w:rPr>
        <w:t>6.1</w:t>
      </w:r>
      <w:r w:rsidR="00406DCE" w:rsidRPr="000E5D4D">
        <w:rPr>
          <w:rFonts w:ascii="Arial" w:hAnsi="Arial" w:cs="Arial"/>
          <w:b w:val="0"/>
          <w:i/>
          <w:color w:val="auto"/>
          <w:sz w:val="24"/>
          <w:szCs w:val="24"/>
          <w:lang w:eastAsia="ro-RO"/>
        </w:rPr>
        <w:t>.2. Grad de cuprindere în învăţământ (Rata specifică de cuprindere şcolară pe vârste)</w:t>
      </w:r>
      <w:r w:rsidR="00DD619A" w:rsidRPr="000E5D4D">
        <w:rPr>
          <w:rStyle w:val="FootnoteReference"/>
          <w:rFonts w:ascii="Arial" w:hAnsi="Arial" w:cs="Arial"/>
          <w:b w:val="0"/>
          <w:i/>
          <w:color w:val="auto"/>
          <w:sz w:val="24"/>
          <w:szCs w:val="24"/>
          <w:lang w:eastAsia="ro-RO"/>
        </w:rPr>
        <w:footnoteReference w:id="46"/>
      </w:r>
      <w:bookmarkEnd w:id="88"/>
    </w:p>
    <w:p w:rsidR="007A1DC7" w:rsidRPr="00B022CF" w:rsidRDefault="007A1DC7" w:rsidP="000C6A67">
      <w:pPr>
        <w:spacing w:after="0" w:line="240" w:lineRule="auto"/>
        <w:jc w:val="both"/>
        <w:rPr>
          <w:rFonts w:ascii="Arial" w:eastAsia="Times New Roman" w:hAnsi="Arial" w:cs="Arial"/>
          <w:bCs/>
          <w:i/>
          <w:sz w:val="24"/>
          <w:szCs w:val="24"/>
          <w:lang w:val="en-US"/>
        </w:rPr>
      </w:pPr>
      <w:r w:rsidRPr="000E5D4D">
        <w:rPr>
          <w:rFonts w:ascii="Arial" w:eastAsia="Times New Roman" w:hAnsi="Arial" w:cs="Arial"/>
          <w:bCs/>
          <w:i/>
          <w:sz w:val="24"/>
          <w:szCs w:val="24"/>
          <w:lang w:val="en-US"/>
        </w:rPr>
        <w:t>6.1.2.a.Gradul de cuprindere în învăţământ a populaţiei din grupa de vârstă 3-23 ani</w:t>
      </w:r>
      <w:r w:rsidR="00B022CF">
        <w:rPr>
          <w:rFonts w:ascii="Arial" w:eastAsia="Times New Roman" w:hAnsi="Arial" w:cs="Arial"/>
          <w:bCs/>
          <w:i/>
          <w:sz w:val="24"/>
          <w:szCs w:val="24"/>
          <w:lang w:val="en-US"/>
        </w:rPr>
        <w:t>.</w:t>
      </w:r>
      <w:r w:rsidRPr="000E5D4D">
        <w:rPr>
          <w:rFonts w:ascii="Arial" w:eastAsia="Times New Roman" w:hAnsi="Arial" w:cs="Arial"/>
          <w:bCs/>
          <w:i/>
          <w:sz w:val="24"/>
          <w:szCs w:val="24"/>
          <w:lang w:val="en-US"/>
        </w:rPr>
        <w:t xml:space="preserve"> </w:t>
      </w:r>
      <w:r w:rsidRPr="005E58A5">
        <w:rPr>
          <w:rFonts w:ascii="Arial" w:eastAsia="Times New Roman" w:hAnsi="Arial" w:cs="Arial"/>
          <w:bCs/>
          <w:sz w:val="24"/>
          <w:szCs w:val="24"/>
          <w:lang w:val="en-US"/>
        </w:rPr>
        <w:t>In perioada 2007-2008/2015-2016 Rom</w:t>
      </w:r>
      <w:r w:rsidRPr="005E58A5">
        <w:rPr>
          <w:rFonts w:ascii="Arial" w:eastAsia="Times New Roman" w:hAnsi="Arial" w:cs="Arial"/>
          <w:bCs/>
          <w:sz w:val="24"/>
          <w:szCs w:val="24"/>
        </w:rPr>
        <w:t xml:space="preserve">ânia a înregistrat o scădere a ponderii acestui indicator de la 79,7% în 2007-2008 la 72,5% în 2015-2016. </w:t>
      </w:r>
    </w:p>
    <w:p w:rsidR="007A1DC7" w:rsidRPr="005E58A5" w:rsidRDefault="007A1DC7" w:rsidP="000C6A67">
      <w:pPr>
        <w:spacing w:after="0" w:line="240" w:lineRule="auto"/>
        <w:jc w:val="both"/>
        <w:rPr>
          <w:rFonts w:ascii="Arial" w:eastAsia="Times New Roman" w:hAnsi="Arial" w:cs="Arial"/>
          <w:bCs/>
          <w:sz w:val="24"/>
          <w:szCs w:val="24"/>
          <w:lang w:val="en-US"/>
        </w:rPr>
      </w:pPr>
      <w:r w:rsidRPr="005E58A5">
        <w:rPr>
          <w:rFonts w:ascii="Arial" w:eastAsia="Times New Roman" w:hAnsi="Arial" w:cs="Arial"/>
          <w:bCs/>
          <w:sz w:val="24"/>
          <w:szCs w:val="24"/>
          <w:lang w:val="en-US"/>
        </w:rPr>
        <w:t>Gradul de cuprindere în învăţământ a populaţiei din grupa de vârstă 3-23 ani calculat pentru Regiunea Vest înregistrează o scădere (de 6,8%) de la 81,9% în anul școlar 2007-2008 la 75,1% în anul școlar 2015-2016. Valorile înregistrate la nivel regional, în</w:t>
      </w:r>
      <w:r>
        <w:rPr>
          <w:rFonts w:ascii="Arial" w:eastAsia="Times New Roman" w:hAnsi="Arial" w:cs="Arial"/>
          <w:bCs/>
          <w:sz w:val="24"/>
          <w:szCs w:val="24"/>
          <w:lang w:val="en-US"/>
        </w:rPr>
        <w:t xml:space="preserve"> perioada supus</w:t>
      </w:r>
      <w:r w:rsidRPr="005E58A5">
        <w:rPr>
          <w:rFonts w:ascii="Arial" w:eastAsia="Times New Roman" w:hAnsi="Arial" w:cs="Arial"/>
          <w:bCs/>
          <w:sz w:val="24"/>
          <w:szCs w:val="24"/>
          <w:lang w:val="en-US"/>
        </w:rPr>
        <w:t xml:space="preserve">ă analizei, sunt cuprinse între 1,3% și 3,8% peste cele înregistrate la nivel național. </w:t>
      </w:r>
    </w:p>
    <w:p w:rsidR="007A1DC7" w:rsidRPr="005E58A5" w:rsidRDefault="007A1DC7" w:rsidP="000C6A67">
      <w:pPr>
        <w:spacing w:after="0" w:line="240" w:lineRule="auto"/>
        <w:jc w:val="both"/>
        <w:rPr>
          <w:rFonts w:ascii="Arial" w:eastAsia="Times New Roman" w:hAnsi="Arial" w:cs="Arial"/>
          <w:bCs/>
          <w:sz w:val="24"/>
          <w:szCs w:val="24"/>
          <w:lang w:val="en-US"/>
        </w:rPr>
      </w:pPr>
      <w:r w:rsidRPr="005E58A5">
        <w:rPr>
          <w:rFonts w:ascii="Arial" w:eastAsia="Times New Roman" w:hAnsi="Arial" w:cs="Arial"/>
          <w:bCs/>
          <w:sz w:val="24"/>
          <w:szCs w:val="24"/>
          <w:lang w:val="en-US"/>
        </w:rPr>
        <w:t>În ceea ce privește raportul feminin – masculin există diferențe cuprinse între 4,6% și 1,9%. Pentru relația urban – rural diferența este mare de peste 56,3% la începutul perioadei de analiză, și deși valorile înregistrate arată o ușoară tendință de scădere, în ultimii doi ani din perioada aleasă se manifestă o tendință de creștere 57,2% (2014-2015) respective 58,6% (2015-2016).</w:t>
      </w:r>
    </w:p>
    <w:p w:rsidR="007A1DC7" w:rsidRPr="005E58A5" w:rsidRDefault="007A1DC7" w:rsidP="00AE165A">
      <w:pPr>
        <w:spacing w:after="0" w:line="240" w:lineRule="auto"/>
        <w:jc w:val="both"/>
        <w:rPr>
          <w:rFonts w:ascii="Arial" w:eastAsia="Times New Roman" w:hAnsi="Arial" w:cs="Arial"/>
          <w:bCs/>
          <w:sz w:val="24"/>
          <w:szCs w:val="24"/>
          <w:lang w:val="en-US"/>
        </w:rPr>
      </w:pPr>
      <w:r w:rsidRPr="005E58A5">
        <w:rPr>
          <w:rFonts w:ascii="Arial" w:eastAsia="Times New Roman" w:hAnsi="Arial" w:cs="Arial"/>
          <w:bCs/>
          <w:sz w:val="24"/>
          <w:szCs w:val="24"/>
          <w:lang w:val="en-US"/>
        </w:rPr>
        <w:t xml:space="preserve">Ponderea acestui indicator a scăzut, în județul Arad,  cu 12,2% în anul 2015-2016 față de anul 2007-2008, fiind urmat de județul Timiș (cu 9,4%), județul Caraș-Severin (cu 4,4%) și județul Hunedoara (cu 0,8%) în intervalul 2007-2016. </w:t>
      </w:r>
      <w:r w:rsidRPr="005E58A5">
        <w:rPr>
          <w:rFonts w:ascii="Arial" w:eastAsia="Times New Roman" w:hAnsi="Arial" w:cs="Arial"/>
          <w:sz w:val="24"/>
          <w:szCs w:val="24"/>
          <w:lang w:val="en-US"/>
        </w:rPr>
        <w:t xml:space="preserve"> </w:t>
      </w:r>
    </w:p>
    <w:p w:rsidR="007A1DC7" w:rsidRPr="00B022CF" w:rsidRDefault="007A1DC7" w:rsidP="00AE165A">
      <w:pPr>
        <w:spacing w:after="0" w:line="240" w:lineRule="auto"/>
        <w:jc w:val="both"/>
        <w:rPr>
          <w:rFonts w:ascii="Arial" w:eastAsia="Times New Roman" w:hAnsi="Arial" w:cs="Arial"/>
          <w:bCs/>
          <w:sz w:val="24"/>
          <w:szCs w:val="24"/>
          <w:lang w:val="en-US"/>
        </w:rPr>
      </w:pPr>
      <w:r w:rsidRPr="005E58A5">
        <w:rPr>
          <w:rFonts w:ascii="Arial" w:eastAsia="Times New Roman" w:hAnsi="Arial" w:cs="Arial"/>
          <w:bCs/>
          <w:sz w:val="24"/>
          <w:szCs w:val="24"/>
          <w:lang w:val="en-US"/>
        </w:rPr>
        <w:t xml:space="preserve">Ponderea gradului de cuprindere în învăţământ a populaţiei din grupa de vârstă 3-23 ani în Regiunea București-Ilfov, în perioada analizată, cunoaște cea mai mare scădere (44,6%) comparativ cu Regiunea Sud-Est unde se înregistrează o scădere a ponderii gradului de cuprindere cu 1% în perioada analizată. </w:t>
      </w:r>
    </w:p>
    <w:p w:rsidR="007A1DC7" w:rsidRPr="00B022CF" w:rsidRDefault="007A1DC7" w:rsidP="00AE165A">
      <w:pPr>
        <w:spacing w:after="0" w:line="240" w:lineRule="auto"/>
        <w:jc w:val="both"/>
        <w:rPr>
          <w:rFonts w:ascii="Arial" w:eastAsia="Times New Roman" w:hAnsi="Arial" w:cs="Arial"/>
          <w:bCs/>
          <w:i/>
          <w:sz w:val="24"/>
          <w:szCs w:val="24"/>
          <w:lang w:val="en-US"/>
        </w:rPr>
      </w:pPr>
      <w:r w:rsidRPr="00B022CF">
        <w:rPr>
          <w:rFonts w:ascii="Arial" w:eastAsia="Times New Roman" w:hAnsi="Arial" w:cs="Arial"/>
          <w:bCs/>
          <w:i/>
          <w:sz w:val="24"/>
          <w:szCs w:val="24"/>
          <w:lang w:val="en-US"/>
        </w:rPr>
        <w:lastRenderedPageBreak/>
        <w:t>6.1.2.b. Gradul de cuprindere în învăţământ a populaţiei din grupa de vârstă 3-6 ani</w:t>
      </w:r>
      <w:r w:rsidR="00B022CF">
        <w:rPr>
          <w:rFonts w:ascii="Arial" w:eastAsia="Times New Roman" w:hAnsi="Arial" w:cs="Arial"/>
          <w:bCs/>
          <w:i/>
          <w:sz w:val="24"/>
          <w:szCs w:val="24"/>
          <w:lang w:val="en-US"/>
        </w:rPr>
        <w:t xml:space="preserve">. </w:t>
      </w:r>
      <w:r w:rsidRPr="00001B8A">
        <w:rPr>
          <w:rFonts w:ascii="Arial" w:hAnsi="Arial" w:cs="Arial"/>
          <w:sz w:val="24"/>
          <w:szCs w:val="24"/>
        </w:rPr>
        <w:t xml:space="preserve">Comparativ cu anul școlar 2007-2008, la nivel național, ponderea gradului de cuprindere a populației din grupa de vârstă 3-6 ani s-a modificat în anul școlar 2015-2016  (crește cu 3 puncte procentuale). </w:t>
      </w:r>
    </w:p>
    <w:p w:rsidR="007A1DC7" w:rsidRPr="00B022CF" w:rsidRDefault="007A1DC7" w:rsidP="000C6A67">
      <w:pPr>
        <w:spacing w:after="0" w:line="240" w:lineRule="auto"/>
        <w:jc w:val="both"/>
        <w:rPr>
          <w:rFonts w:ascii="Arial" w:hAnsi="Arial" w:cs="Arial"/>
          <w:sz w:val="24"/>
          <w:szCs w:val="24"/>
        </w:rPr>
      </w:pPr>
      <w:r w:rsidRPr="00001B8A">
        <w:rPr>
          <w:rFonts w:ascii="Arial" w:hAnsi="Arial" w:cs="Arial"/>
          <w:sz w:val="24"/>
          <w:szCs w:val="24"/>
        </w:rPr>
        <w:t xml:space="preserve">La nivelul Regiunii Vest, creșterea gradului de cuprindere este de numai 1,2 puncte </w:t>
      </w:r>
      <w:r w:rsidRPr="00B022CF">
        <w:rPr>
          <w:rFonts w:ascii="Arial" w:hAnsi="Arial" w:cs="Arial"/>
          <w:sz w:val="24"/>
          <w:szCs w:val="24"/>
        </w:rPr>
        <w:t xml:space="preserve">procentuale de la 85,4% în 2007-2008 la 86,6% în 2015-2016. </w:t>
      </w:r>
    </w:p>
    <w:p w:rsidR="007A1DC7" w:rsidRPr="00001B8A" w:rsidRDefault="007A1DC7" w:rsidP="000C6A67">
      <w:pPr>
        <w:spacing w:after="0" w:line="240" w:lineRule="auto"/>
        <w:jc w:val="both"/>
        <w:rPr>
          <w:rFonts w:ascii="Arial" w:hAnsi="Arial" w:cs="Arial"/>
          <w:sz w:val="24"/>
          <w:szCs w:val="24"/>
        </w:rPr>
      </w:pPr>
      <w:r w:rsidRPr="00001B8A">
        <w:rPr>
          <w:rFonts w:ascii="Arial" w:hAnsi="Arial" w:cs="Arial"/>
          <w:sz w:val="24"/>
          <w:szCs w:val="24"/>
        </w:rPr>
        <w:t xml:space="preserve">Din structura pe sexe se observă că valorile gradului de cuprindere în învăţământ a populației din grupa de vârstă 3-6 ani sunt în favoarea fetelor, iar pe medii de rezidență, aceste valori sunt predominante în mediul rural, cu doua situații de excepție în care (în doi ani școlari 2014-2015 și 2015-2016) gradul de cuprindere pentru  mediul urban este mai mare decât pentru mediul rural. </w:t>
      </w:r>
    </w:p>
    <w:p w:rsidR="007A1DC7" w:rsidRPr="00B022CF" w:rsidRDefault="007A1DC7" w:rsidP="000C6A67">
      <w:pPr>
        <w:spacing w:after="0" w:line="240" w:lineRule="auto"/>
        <w:jc w:val="both"/>
        <w:rPr>
          <w:rFonts w:ascii="Arial" w:hAnsi="Arial" w:cs="Arial"/>
          <w:b/>
          <w:sz w:val="24"/>
          <w:szCs w:val="24"/>
        </w:rPr>
      </w:pPr>
      <w:r w:rsidRPr="00AD0D0E">
        <w:rPr>
          <w:rFonts w:ascii="Arial" w:hAnsi="Arial" w:cs="Arial"/>
          <w:b/>
          <w:sz w:val="24"/>
          <w:szCs w:val="24"/>
        </w:rPr>
        <w:t>Remarcăm tendința de creștere a gradului de cuprindere a populației din grupa de vârstă 3-6 ani în județele Caraș-Severin cu 6,7%, Hunedoara cu 6,2% și Arad cu 3,1% iar în județul Timiș acest indicator scade cu 5,9%.</w:t>
      </w:r>
    </w:p>
    <w:p w:rsidR="007A1DC7" w:rsidRPr="00B022CF" w:rsidRDefault="007A1DC7" w:rsidP="000C6A67">
      <w:pPr>
        <w:spacing w:after="0" w:line="240" w:lineRule="auto"/>
        <w:jc w:val="both"/>
        <w:rPr>
          <w:rFonts w:ascii="Arial" w:eastAsia="Times New Roman" w:hAnsi="Arial" w:cs="Arial"/>
          <w:bCs/>
          <w:i/>
          <w:sz w:val="24"/>
          <w:szCs w:val="24"/>
          <w:lang w:val="en-US"/>
        </w:rPr>
      </w:pPr>
      <w:r w:rsidRPr="00B022CF">
        <w:rPr>
          <w:rFonts w:ascii="Arial" w:eastAsia="Times New Roman" w:hAnsi="Arial" w:cs="Arial"/>
          <w:bCs/>
          <w:i/>
          <w:sz w:val="24"/>
          <w:szCs w:val="24"/>
          <w:lang w:val="en-US"/>
        </w:rPr>
        <w:t xml:space="preserve">6.1.2. c. Gradul de cuprindere în învăţământ a populaţiei din grupa de vârstă 7-10 ani </w:t>
      </w:r>
    </w:p>
    <w:p w:rsidR="007A1DC7" w:rsidRPr="00C10C11" w:rsidRDefault="007A1DC7" w:rsidP="000C6A67">
      <w:pPr>
        <w:spacing w:after="0" w:line="240" w:lineRule="auto"/>
        <w:jc w:val="both"/>
        <w:rPr>
          <w:rFonts w:ascii="Arial" w:eastAsia="Times New Roman" w:hAnsi="Arial" w:cs="Arial"/>
          <w:bCs/>
          <w:sz w:val="24"/>
          <w:szCs w:val="24"/>
          <w:lang w:val="en-US"/>
        </w:rPr>
      </w:pPr>
      <w:r w:rsidRPr="00C10C11">
        <w:rPr>
          <w:rFonts w:ascii="Arial" w:eastAsia="Times New Roman" w:hAnsi="Arial" w:cs="Arial"/>
          <w:bCs/>
          <w:sz w:val="24"/>
          <w:szCs w:val="24"/>
          <w:lang w:val="en-US"/>
        </w:rPr>
        <w:t>Gradul de cuprindere în învăţământ a populaţiei din grupa de vârstă 7-10 ani înregistrează valori ridicate de peste 90% dar observăm că, de-a lungul perioadei analizate acesta are o evoluție descendentă atât la nivel național (-5,3 puncte procentuale) cît și la nivelul Regiunii V</w:t>
      </w:r>
      <w:r w:rsidR="00B022CF">
        <w:rPr>
          <w:rFonts w:ascii="Arial" w:eastAsia="Times New Roman" w:hAnsi="Arial" w:cs="Arial"/>
          <w:bCs/>
          <w:sz w:val="24"/>
          <w:szCs w:val="24"/>
          <w:lang w:val="en-US"/>
        </w:rPr>
        <w:t xml:space="preserve">est (- 6,9 puncte procentuale). </w:t>
      </w:r>
      <w:r w:rsidRPr="00C10C11">
        <w:rPr>
          <w:rFonts w:ascii="Arial" w:eastAsia="Times New Roman" w:hAnsi="Arial" w:cs="Arial"/>
          <w:bCs/>
          <w:sz w:val="24"/>
          <w:szCs w:val="24"/>
          <w:lang w:val="en-US"/>
        </w:rPr>
        <w:t xml:space="preserve">Cu excepția ultimilor doi ani ai perioadei analizate (2014-2015 și 2015-2016), valorile înregistrate la nivelul Regiunii Vest sunt peste cele înregistrate la nivel național. </w:t>
      </w:r>
    </w:p>
    <w:p w:rsidR="007A1DC7" w:rsidRPr="00C10C11" w:rsidRDefault="007A1DC7" w:rsidP="000C6A67">
      <w:pPr>
        <w:spacing w:after="0" w:line="240" w:lineRule="auto"/>
        <w:jc w:val="both"/>
        <w:rPr>
          <w:rFonts w:ascii="Arial" w:eastAsia="Times New Roman" w:hAnsi="Arial" w:cs="Arial"/>
          <w:bCs/>
          <w:sz w:val="24"/>
          <w:szCs w:val="24"/>
          <w:lang w:val="en-US"/>
        </w:rPr>
      </w:pPr>
      <w:r w:rsidRPr="00C10C11">
        <w:rPr>
          <w:rFonts w:ascii="Arial" w:eastAsia="Times New Roman" w:hAnsi="Arial" w:cs="Arial"/>
          <w:bCs/>
          <w:sz w:val="24"/>
          <w:szCs w:val="24"/>
          <w:lang w:val="en-US"/>
        </w:rPr>
        <w:t xml:space="preserve">Pot fi observate doua tipuri de disparități: primul tip se referă la raportul dintre populația de sex feminin și masculin – acest raport este echilibrat pentru populația școlară din această grupă de vârstă; cel de-al doilea tip de disparități se referă la raportul urban – rural, unde pentru fiecare an școlar analizat avem valori mai mari, cuprinse între 3,2% și 18,6%, pentru mediul urban. </w:t>
      </w:r>
    </w:p>
    <w:p w:rsidR="007A1DC7" w:rsidRPr="00C10C11" w:rsidRDefault="007A1DC7" w:rsidP="000C6A67">
      <w:pPr>
        <w:spacing w:after="0" w:line="240" w:lineRule="auto"/>
        <w:jc w:val="both"/>
        <w:rPr>
          <w:rFonts w:ascii="Arial" w:eastAsia="Times New Roman" w:hAnsi="Arial" w:cs="Arial"/>
          <w:bCs/>
          <w:sz w:val="24"/>
          <w:szCs w:val="24"/>
          <w:lang w:val="en-US"/>
        </w:rPr>
      </w:pPr>
      <w:r w:rsidRPr="00C10C11">
        <w:rPr>
          <w:rFonts w:ascii="Arial" w:eastAsia="Times New Roman" w:hAnsi="Arial" w:cs="Arial"/>
          <w:bCs/>
          <w:sz w:val="24"/>
          <w:szCs w:val="24"/>
          <w:lang w:val="en-US"/>
        </w:rPr>
        <w:t xml:space="preserve">Din datele supuse analizei se observă că cea mai mare scădere a acestui indicator se înregistrează în județul Caraș - Severin (12,9 puncte procentuale), urmat de județul Arad (6,6 puncte procentuale), Timiș (6 puncte procentuale) și Hunedoara (4,7 puncte procentuale). </w:t>
      </w:r>
    </w:p>
    <w:p w:rsidR="007A1DC7" w:rsidRPr="00B022CF" w:rsidRDefault="007A1DC7" w:rsidP="000C6A67">
      <w:pPr>
        <w:spacing w:after="0" w:line="240" w:lineRule="auto"/>
        <w:jc w:val="both"/>
        <w:rPr>
          <w:rFonts w:ascii="Arial" w:eastAsia="Times New Roman" w:hAnsi="Arial" w:cs="Arial"/>
          <w:b/>
          <w:bCs/>
          <w:sz w:val="24"/>
          <w:szCs w:val="24"/>
          <w:lang w:val="en-US"/>
        </w:rPr>
      </w:pPr>
      <w:r w:rsidRPr="00AD0D0E">
        <w:rPr>
          <w:rFonts w:ascii="Arial" w:eastAsia="Times New Roman" w:hAnsi="Arial" w:cs="Arial"/>
          <w:b/>
          <w:bCs/>
          <w:sz w:val="24"/>
          <w:szCs w:val="24"/>
          <w:lang w:val="en-US"/>
        </w:rPr>
        <w:t xml:space="preserve">Având în vedere faptul că, această categorie de vârstă urmează învățământul obligatoriu, valorile în jur de 90 % și mai ales tendința de descreștere semnalează fenomene grave, care necesită intervenții urgente. </w:t>
      </w:r>
      <w:r w:rsidRPr="00A71F3F">
        <w:rPr>
          <w:rFonts w:ascii="Times New Roman" w:eastAsia="Times New Roman" w:hAnsi="Times New Roman"/>
          <w:bCs/>
          <w:color w:val="00B050"/>
          <w:sz w:val="24"/>
          <w:szCs w:val="24"/>
          <w:lang w:val="en-US"/>
        </w:rPr>
        <w:tab/>
      </w:r>
    </w:p>
    <w:p w:rsidR="007A1DC7" w:rsidRPr="000E1E09" w:rsidRDefault="007A1DC7" w:rsidP="000C6A67">
      <w:pPr>
        <w:spacing w:after="0" w:line="240" w:lineRule="auto"/>
        <w:jc w:val="both"/>
        <w:rPr>
          <w:rFonts w:ascii="Arial" w:eastAsia="Times New Roman" w:hAnsi="Arial" w:cs="Arial"/>
          <w:bCs/>
          <w:sz w:val="24"/>
          <w:szCs w:val="24"/>
          <w:lang w:val="en-US"/>
        </w:rPr>
      </w:pPr>
      <w:r w:rsidRPr="00B022CF">
        <w:rPr>
          <w:rFonts w:ascii="Arial" w:eastAsia="Times New Roman" w:hAnsi="Arial" w:cs="Arial"/>
          <w:bCs/>
          <w:i/>
          <w:sz w:val="24"/>
          <w:szCs w:val="24"/>
          <w:lang w:val="en-US"/>
        </w:rPr>
        <w:t xml:space="preserve">6.1.2.d.Gradul de cuprindere în învăţământ a populaţiei din grupa de vârstă 11-14 ani </w:t>
      </w:r>
      <w:r w:rsidR="001E39F2" w:rsidRPr="00B022CF">
        <w:rPr>
          <w:rFonts w:ascii="Arial" w:eastAsia="Times New Roman" w:hAnsi="Arial" w:cs="Arial"/>
          <w:bCs/>
          <w:i/>
          <w:sz w:val="24"/>
          <w:szCs w:val="24"/>
          <w:lang w:val="en-US"/>
        </w:rPr>
        <w:t xml:space="preserve"> </w:t>
      </w:r>
      <w:r w:rsidRPr="000E1E09">
        <w:rPr>
          <w:rFonts w:ascii="Arial" w:eastAsia="Times New Roman" w:hAnsi="Arial" w:cs="Arial"/>
          <w:bCs/>
          <w:sz w:val="24"/>
          <w:szCs w:val="24"/>
          <w:lang w:val="en-US"/>
        </w:rPr>
        <w:t xml:space="preserve">La nivel național, în perioada analizată, gradul de cuprindere în învățământ a populației din grupa de vârstă  11-14 ani a scăzut cu 4 puncte procentuale de la 94,4% în 2007-2008 la 90,4% în 2015-2016. Indicatorul înregistrează o tendință de descreștere și la nivelul regiunii: 95,1% în  anul școlar 2007-2008 și 89,9% în anul școlar 2015-2016. </w:t>
      </w:r>
    </w:p>
    <w:p w:rsidR="007A1DC7" w:rsidRPr="000E1E09" w:rsidRDefault="007A1DC7" w:rsidP="000C6A67">
      <w:pPr>
        <w:spacing w:after="0" w:line="240" w:lineRule="auto"/>
        <w:jc w:val="both"/>
        <w:rPr>
          <w:rFonts w:ascii="Arial" w:eastAsia="Times New Roman" w:hAnsi="Arial" w:cs="Arial"/>
          <w:bCs/>
          <w:sz w:val="24"/>
          <w:szCs w:val="24"/>
          <w:lang w:val="en-US"/>
        </w:rPr>
      </w:pPr>
      <w:r w:rsidRPr="000E1E09">
        <w:rPr>
          <w:rFonts w:ascii="Arial" w:eastAsia="Times New Roman" w:hAnsi="Arial" w:cs="Arial"/>
          <w:bCs/>
          <w:sz w:val="24"/>
          <w:szCs w:val="24"/>
          <w:lang w:val="en-US"/>
        </w:rPr>
        <w:t xml:space="preserve">Intre raportul dintre populația masculină și cea feminină sesizăm ușoare diferențe (cuprinse între 0,3% și 1,7%) în favoarea băieților. Excepție face anul școlar 2013-2014 în care se înregistrează o difrență de 0,4% </w:t>
      </w:r>
      <w:r w:rsidRPr="000E1E09">
        <w:rPr>
          <w:rFonts w:ascii="Arial" w:eastAsia="Times New Roman" w:hAnsi="Arial" w:cs="Arial"/>
          <w:bCs/>
          <w:sz w:val="24"/>
          <w:szCs w:val="24"/>
        </w:rPr>
        <w:t>î</w:t>
      </w:r>
      <w:r w:rsidRPr="000E1E09">
        <w:rPr>
          <w:rFonts w:ascii="Arial" w:eastAsia="Times New Roman" w:hAnsi="Arial" w:cs="Arial"/>
          <w:bCs/>
          <w:sz w:val="24"/>
          <w:szCs w:val="24"/>
          <w:lang w:val="en-US"/>
        </w:rPr>
        <w:t>n favoarea fetelor.</w:t>
      </w:r>
    </w:p>
    <w:p w:rsidR="007A1DC7" w:rsidRPr="00B022CF" w:rsidRDefault="007A1DC7" w:rsidP="000C6A67">
      <w:pPr>
        <w:spacing w:after="0" w:line="240" w:lineRule="auto"/>
        <w:jc w:val="both"/>
        <w:rPr>
          <w:rFonts w:ascii="Arial" w:eastAsia="Times New Roman" w:hAnsi="Arial" w:cs="Arial"/>
          <w:b/>
          <w:bCs/>
          <w:sz w:val="24"/>
          <w:szCs w:val="24"/>
          <w:lang w:val="en-US"/>
        </w:rPr>
      </w:pPr>
      <w:r w:rsidRPr="00AD0D0E">
        <w:rPr>
          <w:rFonts w:ascii="Arial" w:eastAsia="Times New Roman" w:hAnsi="Arial" w:cs="Arial"/>
          <w:b/>
          <w:bCs/>
          <w:sz w:val="24"/>
          <w:szCs w:val="24"/>
          <w:lang w:val="en-US"/>
        </w:rPr>
        <w:t xml:space="preserve">Diferențe mai importante, care tind să se accentueze, se constată pe medii de rezidență, în defavoarea mediului rural. In timp ce în mediul urban valoarea indicatorului destul de ridicată (atinge valori apropiate sau chiar peste 100%), cu o evoluție oscilantă, continuă să crească și în ultimul an al perioadei analizate ajunge la 106,5%, în rural se înregistrează o diminuare continuă a gradului de cuprindere de la 81,3% (în anul școlar 2007-2008) la 69,8% (în anul școlar 2015-2016). Diferența de la un an la altul dintre mediul urban și cel rural are tendință de creștere în favoarea mediului urban, de la 23,2% la începutul perioadei analizate, la 36,7% la sfârșitul acestei perioade. </w:t>
      </w:r>
    </w:p>
    <w:p w:rsidR="007A1DC7" w:rsidRPr="000E1E09" w:rsidRDefault="007A1DC7" w:rsidP="000C6A67">
      <w:pPr>
        <w:spacing w:after="0" w:line="240" w:lineRule="auto"/>
        <w:jc w:val="both"/>
        <w:rPr>
          <w:rFonts w:ascii="Arial" w:eastAsia="Times New Roman" w:hAnsi="Arial" w:cs="Arial"/>
          <w:bCs/>
          <w:sz w:val="24"/>
          <w:szCs w:val="24"/>
          <w:lang w:val="en-US"/>
        </w:rPr>
      </w:pPr>
      <w:r w:rsidRPr="00B022CF">
        <w:rPr>
          <w:rFonts w:ascii="Arial" w:eastAsia="Times New Roman" w:hAnsi="Arial" w:cs="Arial"/>
          <w:bCs/>
          <w:i/>
          <w:sz w:val="24"/>
          <w:szCs w:val="24"/>
          <w:lang w:val="en-US"/>
        </w:rPr>
        <w:t>6.1.2.e. Gradul de cuprindere în învăţământ a populaţiei din grupa de vârstă 15-18 ani</w:t>
      </w:r>
      <w:r>
        <w:rPr>
          <w:rFonts w:ascii="Arial" w:eastAsia="Times New Roman" w:hAnsi="Arial" w:cs="Arial"/>
          <w:b/>
          <w:bCs/>
          <w:sz w:val="24"/>
          <w:szCs w:val="24"/>
          <w:lang w:val="en-US"/>
        </w:rPr>
        <w:t xml:space="preserve"> </w:t>
      </w:r>
      <w:r w:rsidRPr="000E1E09">
        <w:rPr>
          <w:rFonts w:ascii="Arial" w:eastAsia="Times New Roman" w:hAnsi="Arial" w:cs="Arial"/>
          <w:bCs/>
          <w:sz w:val="24"/>
          <w:szCs w:val="24"/>
          <w:lang w:val="en-US"/>
        </w:rPr>
        <w:t xml:space="preserve">Din datele statistice rezultă că, în perioada analizată, la nivel național, acest indicator </w:t>
      </w:r>
      <w:r w:rsidRPr="000E1E09">
        <w:rPr>
          <w:rFonts w:ascii="Arial" w:eastAsia="Times New Roman" w:hAnsi="Arial" w:cs="Arial"/>
          <w:bCs/>
          <w:sz w:val="24"/>
          <w:szCs w:val="24"/>
          <w:lang w:val="en-US"/>
        </w:rPr>
        <w:lastRenderedPageBreak/>
        <w:t xml:space="preserve">înregistrează o creștere de 3,8%,  de la 74,4% în anul școlar 2007-2008 la 78,2% în anul școlar 2015-2016. </w:t>
      </w:r>
    </w:p>
    <w:p w:rsidR="007A1DC7" w:rsidRPr="000E1E09" w:rsidRDefault="007A1DC7" w:rsidP="000C6A67">
      <w:pPr>
        <w:spacing w:after="0" w:line="240" w:lineRule="auto"/>
        <w:jc w:val="both"/>
        <w:rPr>
          <w:rFonts w:ascii="Arial" w:hAnsi="Arial" w:cs="Arial"/>
          <w:bCs/>
          <w:sz w:val="24"/>
          <w:szCs w:val="24"/>
          <w:lang w:val="en-US"/>
        </w:rPr>
      </w:pPr>
      <w:r w:rsidRPr="00AD0D0E">
        <w:rPr>
          <w:rFonts w:ascii="Arial" w:eastAsia="Times New Roman" w:hAnsi="Arial" w:cs="Arial"/>
          <w:b/>
          <w:bCs/>
          <w:sz w:val="24"/>
          <w:szCs w:val="24"/>
          <w:lang w:val="en-US"/>
        </w:rPr>
        <w:t>In Regiunea Vest însă, gradul de cuprindere în învățământ a populației de vârstă 15-18 ani, are cea mai mare valoare de 79,9% la nivel național, în fiecare an școlar supus analizei, însă este îngrijorător faptul că indicatorul prezintă un trend descrescător de la 80,1% (2007-2008) la 79,9% (2015-2016).</w:t>
      </w:r>
      <w:r w:rsidRPr="000E1E09">
        <w:rPr>
          <w:rFonts w:ascii="Arial" w:hAnsi="Arial" w:cs="Arial"/>
          <w:bCs/>
          <w:sz w:val="24"/>
          <w:szCs w:val="24"/>
          <w:lang w:val="en-US"/>
        </w:rPr>
        <w:t xml:space="preserve"> Evoluția a fost oscilantă cu o valoare maximă de 85,9% în anul școlar 2010-2011. </w:t>
      </w:r>
      <w:r w:rsidRPr="00AD0D0E">
        <w:rPr>
          <w:rFonts w:ascii="Arial" w:hAnsi="Arial" w:cs="Arial"/>
          <w:bCs/>
          <w:sz w:val="24"/>
          <w:szCs w:val="24"/>
          <w:u w:val="single"/>
          <w:lang w:val="en-US"/>
        </w:rPr>
        <w:t>Acest indicator este important de analizat mai ales în ceea ce privește diferența de la valorile înregistrate până la 100%, această diferență reprezentând elevii care au părăsit din diferite motive învățământul, iar intervalul de vârstă 15-18 ani cuprinde și perioada aferentă încă învățământului obligatoriu.</w:t>
      </w:r>
      <w:r w:rsidRPr="000E1E09">
        <w:rPr>
          <w:rFonts w:ascii="Arial" w:hAnsi="Arial" w:cs="Arial"/>
          <w:bCs/>
          <w:sz w:val="24"/>
          <w:szCs w:val="24"/>
          <w:lang w:val="en-US"/>
        </w:rPr>
        <w:t xml:space="preserve"> </w:t>
      </w:r>
    </w:p>
    <w:p w:rsidR="007A1DC7" w:rsidRPr="00B022CF" w:rsidRDefault="001E39F2" w:rsidP="000C6A67">
      <w:pPr>
        <w:spacing w:after="0" w:line="240" w:lineRule="auto"/>
        <w:jc w:val="center"/>
        <w:rPr>
          <w:rFonts w:ascii="Arial" w:hAnsi="Arial" w:cs="Arial"/>
          <w:bCs/>
          <w:lang w:val="en-US"/>
        </w:rPr>
      </w:pPr>
      <w:r w:rsidRPr="00B022CF">
        <w:rPr>
          <w:rFonts w:ascii="Arial" w:hAnsi="Arial" w:cs="Arial"/>
          <w:bCs/>
          <w:lang w:val="en-US"/>
        </w:rPr>
        <w:t>Figura 2</w:t>
      </w:r>
      <w:r w:rsidR="009D0DF8">
        <w:rPr>
          <w:rFonts w:ascii="Arial" w:hAnsi="Arial" w:cs="Arial"/>
          <w:bCs/>
          <w:lang w:val="en-US"/>
        </w:rPr>
        <w:t>3</w:t>
      </w:r>
      <w:r w:rsidRPr="00B022CF">
        <w:rPr>
          <w:rFonts w:ascii="Arial" w:hAnsi="Arial" w:cs="Arial"/>
          <w:bCs/>
          <w:lang w:val="en-US"/>
        </w:rPr>
        <w:t>.</w:t>
      </w:r>
    </w:p>
    <w:p w:rsidR="007A1DC7" w:rsidRPr="00A71F3F" w:rsidRDefault="007A1DC7" w:rsidP="000C6A67">
      <w:pPr>
        <w:spacing w:after="0" w:line="240" w:lineRule="auto"/>
        <w:jc w:val="both"/>
        <w:rPr>
          <w:bCs/>
          <w:color w:val="00B050"/>
          <w:lang w:val="en-US"/>
        </w:rPr>
      </w:pPr>
      <w:r w:rsidRPr="00A71F3F">
        <w:rPr>
          <w:noProof/>
          <w:color w:val="00B050"/>
          <w:lang w:val="en-US"/>
        </w:rPr>
        <w:drawing>
          <wp:inline distT="0" distB="0" distL="0" distR="0">
            <wp:extent cx="5806440" cy="2623397"/>
            <wp:effectExtent l="19050" t="0" r="22860" b="5503"/>
            <wp:docPr id="34" name="Diagramă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242657" w:rsidRDefault="00242657" w:rsidP="00FE6E36">
      <w:pPr>
        <w:spacing w:after="0" w:line="240" w:lineRule="auto"/>
        <w:jc w:val="center"/>
        <w:rPr>
          <w:rFonts w:ascii="Arial" w:eastAsia="Times New Roman" w:hAnsi="Arial" w:cs="Arial"/>
          <w:bCs/>
          <w:sz w:val="20"/>
          <w:szCs w:val="20"/>
          <w:lang w:val="en-US"/>
        </w:rPr>
      </w:pPr>
    </w:p>
    <w:p w:rsidR="007A1DC7" w:rsidRPr="00FE6E36" w:rsidRDefault="007A1DC7" w:rsidP="00FE6E36">
      <w:pPr>
        <w:spacing w:after="0" w:line="240" w:lineRule="auto"/>
        <w:jc w:val="center"/>
        <w:rPr>
          <w:rFonts w:eastAsia="Times New Roman"/>
          <w:bCs/>
          <w:color w:val="00B050"/>
          <w:lang w:val="en-US"/>
        </w:rPr>
      </w:pPr>
      <w:r w:rsidRPr="00187D63">
        <w:rPr>
          <w:rFonts w:ascii="Arial" w:eastAsia="Times New Roman" w:hAnsi="Arial" w:cs="Arial"/>
          <w:bCs/>
          <w:sz w:val="20"/>
          <w:szCs w:val="20"/>
          <w:lang w:val="en-US"/>
        </w:rPr>
        <w:t>Sursa datelor: INS</w:t>
      </w:r>
    </w:p>
    <w:p w:rsidR="007A1DC7" w:rsidRPr="00D43329" w:rsidRDefault="007A1DC7" w:rsidP="000C6A67">
      <w:pPr>
        <w:spacing w:after="0" w:line="240" w:lineRule="auto"/>
        <w:jc w:val="both"/>
        <w:rPr>
          <w:rFonts w:ascii="Arial" w:eastAsia="Times New Roman" w:hAnsi="Arial" w:cs="Arial"/>
          <w:bCs/>
          <w:color w:val="00B050"/>
          <w:sz w:val="24"/>
          <w:szCs w:val="24"/>
          <w:lang w:val="en-US"/>
        </w:rPr>
      </w:pPr>
      <w:r w:rsidRPr="00D43329">
        <w:rPr>
          <w:rFonts w:ascii="Arial" w:eastAsia="Times New Roman" w:hAnsi="Arial" w:cs="Arial"/>
          <w:bCs/>
          <w:color w:val="00B050"/>
          <w:sz w:val="24"/>
          <w:szCs w:val="24"/>
          <w:lang w:val="en-US"/>
        </w:rPr>
        <w:tab/>
      </w:r>
    </w:p>
    <w:p w:rsidR="007A1DC7" w:rsidRPr="00D43329" w:rsidRDefault="007A1DC7" w:rsidP="008C756B">
      <w:pPr>
        <w:spacing w:after="0" w:line="240" w:lineRule="auto"/>
        <w:jc w:val="both"/>
        <w:rPr>
          <w:rFonts w:ascii="Arial" w:eastAsia="Times New Roman" w:hAnsi="Arial" w:cs="Arial"/>
          <w:bCs/>
          <w:sz w:val="24"/>
          <w:szCs w:val="24"/>
          <w:lang w:val="en-US"/>
        </w:rPr>
      </w:pPr>
      <w:r w:rsidRPr="00D43329">
        <w:rPr>
          <w:rFonts w:ascii="Arial" w:eastAsia="Times New Roman" w:hAnsi="Arial" w:cs="Arial"/>
          <w:bCs/>
          <w:sz w:val="24"/>
          <w:szCs w:val="24"/>
          <w:lang w:val="en-US"/>
        </w:rPr>
        <w:t>In ceea ce privește diferențele pe sexe se poate constata că, în perioada 2007-2008/2013-2014, acasta este în favoarea fetelor</w:t>
      </w:r>
      <w:r w:rsidR="008C756B">
        <w:rPr>
          <w:rFonts w:ascii="Arial" w:eastAsia="Times New Roman" w:hAnsi="Arial" w:cs="Arial"/>
          <w:bCs/>
          <w:sz w:val="24"/>
          <w:szCs w:val="24"/>
          <w:lang w:val="en-US"/>
        </w:rPr>
        <w:t>,</w:t>
      </w:r>
      <w:r w:rsidRPr="00D43329">
        <w:rPr>
          <w:rFonts w:ascii="Arial" w:eastAsia="Times New Roman" w:hAnsi="Arial" w:cs="Arial"/>
          <w:bCs/>
          <w:sz w:val="24"/>
          <w:szCs w:val="24"/>
          <w:lang w:val="en-US"/>
        </w:rPr>
        <w:t xml:space="preserve"> cu valori cuprinse între 0,6 puncte procentuale și 4,6 puncte procentuale</w:t>
      </w:r>
      <w:r w:rsidR="008C756B">
        <w:rPr>
          <w:rFonts w:ascii="Arial" w:eastAsia="Times New Roman" w:hAnsi="Arial" w:cs="Arial"/>
          <w:bCs/>
          <w:sz w:val="24"/>
          <w:szCs w:val="24"/>
          <w:lang w:val="en-US"/>
        </w:rPr>
        <w:t>,</w:t>
      </w:r>
      <w:r w:rsidRPr="00D43329">
        <w:rPr>
          <w:rFonts w:ascii="Arial" w:eastAsia="Times New Roman" w:hAnsi="Arial" w:cs="Arial"/>
          <w:bCs/>
          <w:sz w:val="24"/>
          <w:szCs w:val="24"/>
          <w:lang w:val="en-US"/>
        </w:rPr>
        <w:t xml:space="preserve"> iar în ultimii ani școlari ai perioadei analizate aceasta este în favoarea băieților cu valori cuprinse între 0,5 – 1,4 puncte procentuale. </w:t>
      </w:r>
    </w:p>
    <w:p w:rsidR="007A1DC7" w:rsidRPr="007A1DC7" w:rsidRDefault="007A1DC7" w:rsidP="008C756B">
      <w:pPr>
        <w:spacing w:after="0" w:line="240" w:lineRule="auto"/>
        <w:jc w:val="both"/>
        <w:rPr>
          <w:rFonts w:ascii="Arial" w:eastAsia="Times New Roman" w:hAnsi="Arial" w:cs="Arial"/>
          <w:sz w:val="24"/>
          <w:szCs w:val="24"/>
          <w:lang w:val="en-US"/>
        </w:rPr>
      </w:pPr>
      <w:r w:rsidRPr="00D43329">
        <w:rPr>
          <w:rFonts w:ascii="Arial" w:eastAsia="Times New Roman" w:hAnsi="Arial" w:cs="Arial"/>
          <w:sz w:val="24"/>
          <w:szCs w:val="24"/>
          <w:lang w:val="en-US"/>
        </w:rPr>
        <w:t>Disparităţi importante se remarcă, însă, pe medii de rezidenţă: surprinde diferența foarte mare dintre mediul urban și cel rural (valori cuprinse între 107,6% și 124,5%). Valorile de peste 100% ale acestui indicator pentru mediul urban se pot explica prin lipsa de oferte educaționale din mediul rural, populația școlară cu domiciliul în mediul rural este înregistrată după sediul unității de învățământ (mediul urban), unde găsesc ofete multiple și mai atrăgătoare. Cei care nu își pot permite această opțiune, nu frecventeză școala, ceea ce duce la scăderea gradului de cuprindere în mediul rural.</w:t>
      </w:r>
    </w:p>
    <w:p w:rsidR="007A1DC7" w:rsidRPr="008C756B" w:rsidRDefault="007A1DC7" w:rsidP="008C756B">
      <w:pPr>
        <w:spacing w:after="0" w:line="240" w:lineRule="auto"/>
        <w:jc w:val="both"/>
        <w:rPr>
          <w:rFonts w:ascii="Arial" w:eastAsia="Times New Roman" w:hAnsi="Arial" w:cs="Arial"/>
          <w:i/>
          <w:sz w:val="24"/>
          <w:szCs w:val="24"/>
          <w:lang w:val="en-US"/>
        </w:rPr>
      </w:pPr>
      <w:r w:rsidRPr="008C756B">
        <w:rPr>
          <w:rFonts w:ascii="Arial" w:eastAsia="Times New Roman" w:hAnsi="Arial" w:cs="Arial"/>
          <w:i/>
          <w:sz w:val="24"/>
          <w:szCs w:val="24"/>
          <w:lang w:val="en-US"/>
        </w:rPr>
        <w:t>6.1.2.f.Gradul de cuprindere în învăţământ a populaţiei din grupa de vârstă 19-23 ani</w:t>
      </w:r>
    </w:p>
    <w:p w:rsidR="007A1DC7" w:rsidRPr="006D582B" w:rsidRDefault="007A1DC7" w:rsidP="008C756B">
      <w:pPr>
        <w:spacing w:after="0" w:line="240" w:lineRule="auto"/>
        <w:jc w:val="both"/>
        <w:rPr>
          <w:rFonts w:ascii="Arial" w:eastAsia="Times New Roman" w:hAnsi="Arial" w:cs="Arial"/>
          <w:bCs/>
          <w:sz w:val="24"/>
          <w:szCs w:val="24"/>
          <w:lang w:val="en-US"/>
        </w:rPr>
      </w:pPr>
      <w:r w:rsidRPr="006D582B">
        <w:rPr>
          <w:rFonts w:ascii="Arial" w:eastAsia="Times New Roman" w:hAnsi="Arial" w:cs="Arial"/>
          <w:bCs/>
          <w:sz w:val="24"/>
          <w:szCs w:val="24"/>
          <w:lang w:val="en-US"/>
        </w:rPr>
        <w:t xml:space="preserve">La nivel național, în perioada 2007-2016, gradul de cuprindere în învăţământ a populaţiei din grupa de vârstă 19 -23 ani, înregistrează o ușoară creștere, cu 1,4%, atingând </w:t>
      </w:r>
      <w:r w:rsidRPr="00AD0D0E">
        <w:rPr>
          <w:rFonts w:ascii="Arial" w:eastAsia="Times New Roman" w:hAnsi="Arial" w:cs="Arial"/>
          <w:b/>
          <w:bCs/>
          <w:sz w:val="24"/>
          <w:szCs w:val="24"/>
          <w:lang w:val="en-US"/>
        </w:rPr>
        <w:t>valoarea de 65,2%.</w:t>
      </w:r>
      <w:r w:rsidRPr="006D582B">
        <w:rPr>
          <w:rFonts w:ascii="Arial" w:eastAsia="Times New Roman" w:hAnsi="Arial" w:cs="Arial"/>
          <w:bCs/>
          <w:sz w:val="24"/>
          <w:szCs w:val="24"/>
          <w:lang w:val="en-US"/>
        </w:rPr>
        <w:t xml:space="preserve"> </w:t>
      </w:r>
      <w:r w:rsidRPr="00AD0D0E">
        <w:rPr>
          <w:rFonts w:ascii="Arial" w:eastAsia="Times New Roman" w:hAnsi="Arial" w:cs="Arial"/>
          <w:b/>
          <w:bCs/>
          <w:sz w:val="24"/>
          <w:szCs w:val="24"/>
          <w:lang w:val="en-US"/>
        </w:rPr>
        <w:t>Regiunea Vest cu cea mai mare valoare a acestui indicator, de 76,2% este urmată de Regiunea Nord Vest cu 74,4%, și celelalte regiuni sub valorile naționale. (Regiunea Sud-Munteania cu cea mai mică valoare de 27,2%)</w:t>
      </w:r>
    </w:p>
    <w:p w:rsidR="007A1DC7" w:rsidRPr="00AD0D0E" w:rsidRDefault="007A1DC7" w:rsidP="008C756B">
      <w:pPr>
        <w:spacing w:after="0" w:line="240" w:lineRule="auto"/>
        <w:jc w:val="both"/>
        <w:rPr>
          <w:rFonts w:ascii="Arial" w:hAnsi="Arial" w:cs="Arial"/>
          <w:b/>
          <w:bCs/>
          <w:sz w:val="24"/>
          <w:szCs w:val="24"/>
          <w:lang w:val="en-US"/>
        </w:rPr>
      </w:pPr>
      <w:r w:rsidRPr="00AD0D0E">
        <w:rPr>
          <w:rFonts w:ascii="Arial" w:eastAsia="Times New Roman" w:hAnsi="Arial" w:cs="Arial"/>
          <w:b/>
          <w:bCs/>
          <w:sz w:val="24"/>
          <w:szCs w:val="24"/>
          <w:lang w:val="en-US"/>
        </w:rPr>
        <w:t xml:space="preserve">Poziția regiunii este determinată de valorile înregistrate în Județul Timiș, de 110%, un centru universitar puternic și atractiv, urmat de Județul Arad cu 61,9%. </w:t>
      </w:r>
    </w:p>
    <w:p w:rsidR="007A1DC7" w:rsidRPr="006D582B" w:rsidRDefault="007A1DC7" w:rsidP="008C756B">
      <w:pPr>
        <w:spacing w:after="0" w:line="240" w:lineRule="auto"/>
        <w:jc w:val="both"/>
        <w:rPr>
          <w:rFonts w:ascii="Arial" w:eastAsia="Times New Roman" w:hAnsi="Arial" w:cs="Arial"/>
          <w:bCs/>
          <w:sz w:val="24"/>
          <w:szCs w:val="24"/>
          <w:lang w:val="en-US"/>
        </w:rPr>
      </w:pPr>
      <w:r w:rsidRPr="006D582B">
        <w:rPr>
          <w:rFonts w:ascii="Arial" w:eastAsia="Times New Roman" w:hAnsi="Arial" w:cs="Arial"/>
          <w:bCs/>
          <w:sz w:val="24"/>
          <w:szCs w:val="24"/>
          <w:lang w:val="en-US"/>
        </w:rPr>
        <w:t xml:space="preserve">Analiza pe medii rezidențiale scoate în evidență faptul că, gradul de cuprindere arată diferențe semnificative pe sexe, cu valori cuprinse între 11,2% și 6% în favoarea fetelor. In perioada analizată, indicatorul a înregistrat creșteri mai mari în rândul băieților (10,5 </w:t>
      </w:r>
      <w:r w:rsidRPr="006D582B">
        <w:rPr>
          <w:rFonts w:ascii="Arial" w:eastAsia="Times New Roman" w:hAnsi="Arial" w:cs="Arial"/>
          <w:bCs/>
          <w:sz w:val="24"/>
          <w:szCs w:val="24"/>
          <w:lang w:val="en-US"/>
        </w:rPr>
        <w:lastRenderedPageBreak/>
        <w:t xml:space="preserve">puncte procentuale) comparativ cu fetele (7 puncte procentuale). Se observă diferențe foarte mari între mediul urban și cel rural. Gradul de cuprindere atinge în mediul urban valori cuprinse între 97% și 122,6% iar în mediul rural valorile sunt cuprinse între 2,2% și 3,6%, explicabile și prin modalitatea de înregistrare a datelor. </w:t>
      </w:r>
    </w:p>
    <w:p w:rsidR="001937AF" w:rsidRPr="001937AF" w:rsidRDefault="001937AF" w:rsidP="008C756B">
      <w:pPr>
        <w:spacing w:after="0" w:line="240" w:lineRule="auto"/>
        <w:jc w:val="both"/>
        <w:rPr>
          <w:rFonts w:ascii="Arial" w:hAnsi="Arial" w:cs="Arial"/>
          <w:sz w:val="24"/>
          <w:szCs w:val="24"/>
          <w:lang w:eastAsia="ro-RO"/>
        </w:rPr>
      </w:pPr>
    </w:p>
    <w:p w:rsidR="00DD5F85" w:rsidRPr="008C756B" w:rsidRDefault="00DA2E62" w:rsidP="008C756B">
      <w:pPr>
        <w:pStyle w:val="Heading3"/>
        <w:spacing w:before="0" w:line="240" w:lineRule="auto"/>
        <w:jc w:val="both"/>
        <w:rPr>
          <w:rFonts w:ascii="Arial" w:hAnsi="Arial" w:cs="Arial"/>
          <w:b w:val="0"/>
          <w:i/>
          <w:color w:val="auto"/>
          <w:sz w:val="24"/>
          <w:szCs w:val="24"/>
          <w:lang w:eastAsia="ro-RO"/>
        </w:rPr>
      </w:pPr>
      <w:bookmarkStart w:id="89" w:name="_Toc488066060"/>
      <w:r w:rsidRPr="008C756B">
        <w:rPr>
          <w:rFonts w:ascii="Arial" w:hAnsi="Arial" w:cs="Arial"/>
          <w:b w:val="0"/>
          <w:i/>
          <w:color w:val="auto"/>
          <w:sz w:val="24"/>
          <w:szCs w:val="24"/>
          <w:lang w:eastAsia="ro-RO"/>
        </w:rPr>
        <w:t>6.1</w:t>
      </w:r>
      <w:r w:rsidR="00406DCE" w:rsidRPr="008C756B">
        <w:rPr>
          <w:rFonts w:ascii="Arial" w:hAnsi="Arial" w:cs="Arial"/>
          <w:b w:val="0"/>
          <w:i/>
          <w:color w:val="auto"/>
          <w:sz w:val="24"/>
          <w:szCs w:val="24"/>
          <w:lang w:eastAsia="ro-RO"/>
        </w:rPr>
        <w:t>.3. Rata netă de cuprindere în sistemul de educaţie şi formare profesională</w:t>
      </w:r>
      <w:r w:rsidR="00DD619A" w:rsidRPr="008C756B">
        <w:rPr>
          <w:rStyle w:val="FootnoteReference"/>
          <w:rFonts w:ascii="Arial" w:hAnsi="Arial" w:cs="Arial"/>
          <w:b w:val="0"/>
          <w:i/>
          <w:color w:val="auto"/>
          <w:sz w:val="24"/>
          <w:szCs w:val="24"/>
          <w:lang w:eastAsia="ro-RO"/>
        </w:rPr>
        <w:footnoteReference w:id="47"/>
      </w:r>
      <w:bookmarkEnd w:id="89"/>
    </w:p>
    <w:p w:rsidR="007A1DC7" w:rsidRPr="008C756B" w:rsidRDefault="007A1DC7" w:rsidP="000C6A67">
      <w:pPr>
        <w:spacing w:after="0" w:line="240" w:lineRule="auto"/>
        <w:rPr>
          <w:rFonts w:ascii="Arial" w:hAnsi="Arial" w:cs="Arial"/>
          <w:i/>
          <w:sz w:val="24"/>
          <w:szCs w:val="24"/>
        </w:rPr>
      </w:pPr>
      <w:r w:rsidRPr="008C756B">
        <w:rPr>
          <w:rFonts w:ascii="Arial" w:hAnsi="Arial" w:cs="Arial"/>
          <w:i/>
          <w:sz w:val="24"/>
          <w:szCs w:val="24"/>
        </w:rPr>
        <w:t>6.1.3.a.Rata netă de cuprindere în învățământul primar  elevi 7-10 ani</w:t>
      </w:r>
    </w:p>
    <w:p w:rsidR="007A1DC7" w:rsidRPr="00B24F07" w:rsidRDefault="007A1DC7" w:rsidP="000C6A67">
      <w:pPr>
        <w:spacing w:after="0" w:line="240" w:lineRule="auto"/>
        <w:jc w:val="both"/>
        <w:rPr>
          <w:rFonts w:ascii="Arial" w:hAnsi="Arial" w:cs="Arial"/>
          <w:sz w:val="24"/>
          <w:szCs w:val="24"/>
        </w:rPr>
      </w:pPr>
      <w:r w:rsidRPr="00B24F07">
        <w:rPr>
          <w:rFonts w:ascii="Arial" w:hAnsi="Arial" w:cs="Arial"/>
          <w:sz w:val="24"/>
          <w:szCs w:val="24"/>
        </w:rPr>
        <w:t>După tendința continuu ascendentă până în anul şcolar 2010-2011, rata netă de cuprindere în învățământul primar scade în anul următor cu 2,5 puncte procentuale (87,3% de la 89,8%). In anul școlar 2013-2014 valoarea indicatorului crește cu 1,3 puncte procentuale (88,6%) iar în anul școlar 2015-2016 valoarea indicatorului scade pentru al treilea an consecutiv, înregistrând valoarea de 82,7%.</w:t>
      </w:r>
    </w:p>
    <w:p w:rsidR="007A1DC7" w:rsidRPr="008C756B" w:rsidRDefault="007A1DC7" w:rsidP="000C6A67">
      <w:pPr>
        <w:spacing w:after="0" w:line="240" w:lineRule="auto"/>
        <w:jc w:val="both"/>
        <w:rPr>
          <w:rFonts w:ascii="Arial" w:hAnsi="Arial" w:cs="Arial"/>
          <w:sz w:val="24"/>
          <w:szCs w:val="24"/>
        </w:rPr>
      </w:pPr>
      <w:r w:rsidRPr="00B24F07">
        <w:rPr>
          <w:rFonts w:ascii="Arial" w:hAnsi="Arial" w:cs="Arial"/>
          <w:sz w:val="24"/>
          <w:szCs w:val="24"/>
        </w:rPr>
        <w:t>Tendința de scădere se înregistrează atât în ca</w:t>
      </w:r>
      <w:r>
        <w:rPr>
          <w:rFonts w:ascii="Arial" w:hAnsi="Arial" w:cs="Arial"/>
          <w:sz w:val="24"/>
          <w:szCs w:val="24"/>
        </w:rPr>
        <w:t>zul populației școlare feminine</w:t>
      </w:r>
      <w:r w:rsidRPr="00B24F07">
        <w:rPr>
          <w:rFonts w:ascii="Arial" w:hAnsi="Arial" w:cs="Arial"/>
          <w:sz w:val="24"/>
          <w:szCs w:val="24"/>
        </w:rPr>
        <w:t xml:space="preserve"> cât şi a celei masculine, valorile ratei fiind ușor mai ridicate în favoarea băieților. De asemenea, valorile acestui indicator sunt mai ridicate în mediul urban.</w:t>
      </w:r>
      <w:r w:rsidRPr="00FE5530">
        <w:rPr>
          <w:rFonts w:ascii="Times New Roman" w:hAnsi="Times New Roman"/>
          <w:color w:val="00B050"/>
          <w:sz w:val="24"/>
          <w:szCs w:val="24"/>
        </w:rPr>
        <w:tab/>
      </w:r>
      <w:r w:rsidRPr="00FE5530">
        <w:rPr>
          <w:rFonts w:ascii="Times New Roman" w:hAnsi="Times New Roman"/>
          <w:b/>
          <w:color w:val="00B050"/>
          <w:sz w:val="24"/>
          <w:szCs w:val="24"/>
        </w:rPr>
        <w:t xml:space="preserve"> </w:t>
      </w:r>
    </w:p>
    <w:p w:rsidR="007A1DC7" w:rsidRPr="008C756B" w:rsidRDefault="007A1DC7" w:rsidP="000C6A67">
      <w:pPr>
        <w:spacing w:after="0" w:line="240" w:lineRule="auto"/>
        <w:jc w:val="both"/>
        <w:rPr>
          <w:rFonts w:ascii="Arial" w:hAnsi="Arial" w:cs="Arial"/>
          <w:i/>
          <w:sz w:val="24"/>
          <w:szCs w:val="24"/>
        </w:rPr>
      </w:pPr>
      <w:r w:rsidRPr="008C756B">
        <w:rPr>
          <w:rFonts w:ascii="Arial" w:hAnsi="Arial" w:cs="Arial"/>
          <w:i/>
          <w:sz w:val="24"/>
          <w:szCs w:val="24"/>
        </w:rPr>
        <w:t xml:space="preserve">6.1.3.b.Rata neta de cuprindere în învăţământul gimnazial  11-14 ani </w:t>
      </w:r>
    </w:p>
    <w:p w:rsidR="007A1DC7" w:rsidRPr="000B783D" w:rsidRDefault="007A1DC7" w:rsidP="000C6A67">
      <w:pPr>
        <w:autoSpaceDE w:val="0"/>
        <w:autoSpaceDN w:val="0"/>
        <w:adjustRightInd w:val="0"/>
        <w:spacing w:after="0" w:line="240" w:lineRule="auto"/>
        <w:jc w:val="both"/>
        <w:rPr>
          <w:rFonts w:ascii="Arial" w:hAnsi="Arial" w:cs="Arial"/>
          <w:sz w:val="24"/>
          <w:szCs w:val="24"/>
          <w:lang w:val="en-US"/>
        </w:rPr>
      </w:pPr>
      <w:r w:rsidRPr="000B783D">
        <w:rPr>
          <w:rFonts w:ascii="Arial" w:hAnsi="Arial" w:cs="Arial"/>
          <w:bCs/>
          <w:sz w:val="24"/>
          <w:szCs w:val="24"/>
          <w:lang w:val="en-US"/>
        </w:rPr>
        <w:t>În învățământul gimnazial</w:t>
      </w:r>
      <w:r w:rsidRPr="000B783D">
        <w:rPr>
          <w:rFonts w:ascii="Arial" w:hAnsi="Arial" w:cs="Arial"/>
          <w:sz w:val="24"/>
          <w:szCs w:val="24"/>
          <w:lang w:val="en-US"/>
        </w:rPr>
        <w:t>, valoarea ratei nete de cuprindere a crescut în perioada 2007-2011 (ca urmare a școlarizării la acest nivel de studiu al copiilor ce au intrat în clasa I în 2003/2004 - două generații de 6 și de 7 ani) cu 0,6 puncte procentuale de la 87,7% în anul 2007-2008 la 88,3% puncte procentuale în 2010-2011. În anul școlar 2015-2016, rata netă de cuprindere în gimnaziu a fost de 81,5%, în ușoară descreștere față de anul anterior, cu 0,5 puncte procentuale.</w:t>
      </w:r>
    </w:p>
    <w:p w:rsidR="007A1DC7" w:rsidRPr="000B783D" w:rsidRDefault="007A1DC7" w:rsidP="000C6A67">
      <w:pPr>
        <w:spacing w:after="0" w:line="240" w:lineRule="auto"/>
        <w:jc w:val="both"/>
        <w:rPr>
          <w:rFonts w:ascii="Arial" w:hAnsi="Arial" w:cs="Arial"/>
          <w:bCs/>
          <w:sz w:val="24"/>
          <w:szCs w:val="24"/>
          <w:lang w:val="en-US"/>
        </w:rPr>
      </w:pPr>
      <w:r>
        <w:rPr>
          <w:rFonts w:ascii="Arial" w:hAnsi="Arial" w:cs="Arial"/>
          <w:bCs/>
          <w:sz w:val="24"/>
          <w:szCs w:val="24"/>
          <w:lang w:val="en-US"/>
        </w:rPr>
        <w:t>I</w:t>
      </w:r>
      <w:r w:rsidRPr="000B783D">
        <w:rPr>
          <w:rFonts w:ascii="Arial" w:hAnsi="Arial" w:cs="Arial"/>
          <w:bCs/>
          <w:sz w:val="24"/>
          <w:szCs w:val="24"/>
          <w:lang w:val="en-US"/>
        </w:rPr>
        <w:t>n cazul populației feminine, rata netă de cuprindere a scăzut, pe perioada analizată, cu 6,9%, de la 88% în 2007-2008 la 81,1% în 2015-2016. Rata netă de cuprindere în cazul populației masculine înregistrează o scădere cu 5,6%, de la 87,4% în 2007-2008 la 81,8% în 2015-2016.</w:t>
      </w:r>
    </w:p>
    <w:p w:rsidR="007A1DC7" w:rsidRPr="008C756B" w:rsidRDefault="007A1DC7" w:rsidP="000C6A67">
      <w:pPr>
        <w:autoSpaceDE w:val="0"/>
        <w:autoSpaceDN w:val="0"/>
        <w:adjustRightInd w:val="0"/>
        <w:spacing w:after="0" w:line="240" w:lineRule="auto"/>
        <w:jc w:val="both"/>
        <w:rPr>
          <w:rFonts w:ascii="Arial" w:hAnsi="Arial" w:cs="Arial"/>
          <w:sz w:val="24"/>
          <w:szCs w:val="24"/>
          <w:lang w:val="en-US"/>
        </w:rPr>
      </w:pPr>
      <w:r w:rsidRPr="000B783D">
        <w:rPr>
          <w:rFonts w:ascii="Arial" w:hAnsi="Arial" w:cs="Arial"/>
          <w:sz w:val="24"/>
          <w:szCs w:val="24"/>
          <w:lang w:val="en-US"/>
        </w:rPr>
        <w:t>Discrepanțele dintre mediul rural şi urban sunt semnificative și mai accentuate în defavoarea mediului rural cu valori cuprinse între 17,3 puncte procentuale și 27 puncte procentuale.</w:t>
      </w:r>
    </w:p>
    <w:p w:rsidR="007A1DC7" w:rsidRPr="008C756B" w:rsidRDefault="007A1DC7" w:rsidP="000C6A67">
      <w:pPr>
        <w:autoSpaceDE w:val="0"/>
        <w:autoSpaceDN w:val="0"/>
        <w:adjustRightInd w:val="0"/>
        <w:spacing w:after="0" w:line="240" w:lineRule="auto"/>
        <w:jc w:val="both"/>
        <w:rPr>
          <w:rFonts w:ascii="Arial" w:hAnsi="Arial" w:cs="Arial"/>
          <w:i/>
          <w:sz w:val="24"/>
          <w:szCs w:val="24"/>
          <w:lang w:val="en-US"/>
        </w:rPr>
      </w:pPr>
      <w:r w:rsidRPr="008C756B">
        <w:rPr>
          <w:rFonts w:ascii="Arial" w:hAnsi="Arial" w:cs="Arial"/>
          <w:i/>
          <w:sz w:val="24"/>
          <w:szCs w:val="24"/>
        </w:rPr>
        <w:t>6.1.3.c.</w:t>
      </w:r>
      <w:r w:rsidRPr="008C756B">
        <w:rPr>
          <w:rFonts w:ascii="Arial" w:hAnsi="Arial" w:cs="Arial"/>
          <w:i/>
          <w:sz w:val="24"/>
          <w:szCs w:val="24"/>
          <w:lang w:val="en-US"/>
        </w:rPr>
        <w:t>Rata neta de cuprindere în învăţământul obligatoriu      elevi 7-16 ani</w:t>
      </w:r>
      <w:r w:rsidRPr="008C756B">
        <w:rPr>
          <w:rFonts w:ascii="Arial" w:hAnsi="Arial" w:cs="Arial"/>
          <w:i/>
          <w:sz w:val="24"/>
          <w:szCs w:val="24"/>
          <w:lang w:val="en-US"/>
        </w:rPr>
        <w:tab/>
      </w:r>
    </w:p>
    <w:p w:rsidR="007A1DC7" w:rsidRPr="000B783D" w:rsidRDefault="007A1DC7" w:rsidP="000C6A67">
      <w:pPr>
        <w:spacing w:after="0" w:line="240" w:lineRule="auto"/>
        <w:jc w:val="both"/>
        <w:rPr>
          <w:rFonts w:ascii="Arial" w:hAnsi="Arial" w:cs="Arial"/>
          <w:b/>
          <w:sz w:val="24"/>
          <w:szCs w:val="24"/>
        </w:rPr>
      </w:pPr>
      <w:r w:rsidRPr="000B783D">
        <w:rPr>
          <w:rFonts w:ascii="Arial" w:hAnsi="Arial" w:cs="Arial"/>
          <w:sz w:val="24"/>
          <w:szCs w:val="24"/>
        </w:rPr>
        <w:t xml:space="preserve">Din punct de vedere al evoluţiei, în perioada analizată, tendința de scădere a </w:t>
      </w:r>
      <w:r w:rsidRPr="000B783D">
        <w:rPr>
          <w:rFonts w:ascii="Arial" w:hAnsi="Arial" w:cs="Arial"/>
          <w:sz w:val="24"/>
          <w:szCs w:val="24"/>
          <w:lang w:val="en-US"/>
        </w:rPr>
        <w:t>ratei nete de cuprindere în învăţământul obligatoriu</w:t>
      </w:r>
      <w:r w:rsidRPr="000B783D">
        <w:rPr>
          <w:rFonts w:ascii="Arial" w:hAnsi="Arial" w:cs="Arial"/>
          <w:sz w:val="24"/>
          <w:szCs w:val="24"/>
        </w:rPr>
        <w:t xml:space="preserve"> s-a manifestat atât la nivel național cât și la nivel regional.</w:t>
      </w:r>
    </w:p>
    <w:p w:rsidR="007A1DC7" w:rsidRPr="000B783D" w:rsidRDefault="007A1DC7" w:rsidP="000C6A67">
      <w:pPr>
        <w:spacing w:after="0" w:line="240" w:lineRule="auto"/>
        <w:jc w:val="both"/>
        <w:rPr>
          <w:rFonts w:ascii="Arial" w:hAnsi="Arial" w:cs="Arial"/>
          <w:sz w:val="24"/>
          <w:szCs w:val="24"/>
        </w:rPr>
      </w:pPr>
      <w:r w:rsidRPr="000B783D">
        <w:rPr>
          <w:rFonts w:ascii="Arial" w:hAnsi="Arial" w:cs="Arial"/>
          <w:sz w:val="24"/>
          <w:szCs w:val="24"/>
        </w:rPr>
        <w:t xml:space="preserve">La nivel național, rata netă de cuprindere în învățământul obligatoriu a înregistrat o scădre de 3,6 puncte procentuale de la 84,9% (în anul 2007-2008) la 80,6% (în 2015-2016). </w:t>
      </w:r>
      <w:r w:rsidRPr="000B783D">
        <w:rPr>
          <w:rFonts w:ascii="Arial" w:hAnsi="Arial" w:cs="Arial"/>
          <w:sz w:val="24"/>
          <w:szCs w:val="24"/>
        </w:rPr>
        <w:tab/>
      </w:r>
    </w:p>
    <w:p w:rsidR="001E39F2" w:rsidRPr="008C756B" w:rsidRDefault="007A1DC7" w:rsidP="000C6A67">
      <w:pPr>
        <w:spacing w:after="0" w:line="240" w:lineRule="auto"/>
        <w:jc w:val="both"/>
        <w:rPr>
          <w:rFonts w:ascii="Arial" w:eastAsia="Times New Roman" w:hAnsi="Arial" w:cs="Arial"/>
          <w:b/>
          <w:sz w:val="24"/>
          <w:szCs w:val="24"/>
          <w:lang w:val="en-US"/>
        </w:rPr>
      </w:pPr>
      <w:r w:rsidRPr="00AD0D0E">
        <w:rPr>
          <w:rFonts w:ascii="Arial" w:hAnsi="Arial" w:cs="Arial"/>
          <w:b/>
          <w:sz w:val="24"/>
          <w:szCs w:val="24"/>
        </w:rPr>
        <w:t xml:space="preserve">În Regiunea Vest, </w:t>
      </w:r>
      <w:r w:rsidRPr="00AD0D0E">
        <w:rPr>
          <w:rFonts w:ascii="Arial" w:eastAsia="Times New Roman" w:hAnsi="Arial" w:cs="Arial"/>
          <w:b/>
          <w:sz w:val="24"/>
          <w:szCs w:val="24"/>
          <w:lang w:val="en-US"/>
        </w:rPr>
        <w:t>valoarea ratei brute de cuprindere în perioada analizată a manifestat o tendință oscilantă, 83,7% în 2007/8,  cu un maxim relatov de 86% în 2010/11 urmată de</w:t>
      </w:r>
      <w:r w:rsidRPr="00AD0D0E">
        <w:rPr>
          <w:rFonts w:ascii="Times New Roman" w:eastAsia="Times New Roman" w:hAnsi="Times New Roman"/>
          <w:b/>
          <w:color w:val="00B050"/>
          <w:sz w:val="24"/>
          <w:szCs w:val="24"/>
          <w:lang w:val="en-US"/>
        </w:rPr>
        <w:t xml:space="preserve"> </w:t>
      </w:r>
      <w:r w:rsidRPr="00AD0D0E">
        <w:rPr>
          <w:rFonts w:ascii="Arial" w:eastAsia="Times New Roman" w:hAnsi="Arial" w:cs="Arial"/>
          <w:b/>
          <w:sz w:val="24"/>
          <w:szCs w:val="24"/>
          <w:lang w:val="en-US"/>
        </w:rPr>
        <w:t xml:space="preserve">descreștere până la valoarea de 79,4% în 2015/16.  Valorile acestui indicator reflectă același fenomen îngrijorător de neparticipare în educația obligatorie (similar cu valorile pentru părpsirea timpurie a școlii), cu efecte grave privind inserția profesională viitoare a tinerilor. </w:t>
      </w:r>
    </w:p>
    <w:p w:rsidR="006F004E" w:rsidRDefault="006F004E" w:rsidP="000C6A67">
      <w:pPr>
        <w:spacing w:after="0" w:line="240" w:lineRule="auto"/>
        <w:jc w:val="center"/>
        <w:rPr>
          <w:rFonts w:ascii="Arial" w:hAnsi="Arial" w:cs="Arial"/>
        </w:rPr>
      </w:pPr>
    </w:p>
    <w:p w:rsidR="006F004E" w:rsidRDefault="006F004E" w:rsidP="000C6A67">
      <w:pPr>
        <w:spacing w:after="0" w:line="240" w:lineRule="auto"/>
        <w:jc w:val="center"/>
        <w:rPr>
          <w:rFonts w:ascii="Arial" w:hAnsi="Arial" w:cs="Arial"/>
        </w:rPr>
      </w:pPr>
    </w:p>
    <w:p w:rsidR="006F004E" w:rsidRDefault="006F004E" w:rsidP="000C6A67">
      <w:pPr>
        <w:spacing w:after="0" w:line="240" w:lineRule="auto"/>
        <w:jc w:val="center"/>
        <w:rPr>
          <w:rFonts w:ascii="Arial" w:hAnsi="Arial" w:cs="Arial"/>
        </w:rPr>
      </w:pPr>
    </w:p>
    <w:p w:rsidR="006F004E" w:rsidRDefault="006F004E" w:rsidP="000C6A67">
      <w:pPr>
        <w:spacing w:after="0" w:line="240" w:lineRule="auto"/>
        <w:jc w:val="center"/>
        <w:rPr>
          <w:rFonts w:ascii="Arial" w:hAnsi="Arial" w:cs="Arial"/>
        </w:rPr>
      </w:pPr>
    </w:p>
    <w:p w:rsidR="006F004E" w:rsidRDefault="006F004E" w:rsidP="000C6A67">
      <w:pPr>
        <w:spacing w:after="0" w:line="240" w:lineRule="auto"/>
        <w:jc w:val="center"/>
        <w:rPr>
          <w:rFonts w:ascii="Arial" w:hAnsi="Arial" w:cs="Arial"/>
        </w:rPr>
      </w:pPr>
    </w:p>
    <w:p w:rsidR="006F004E" w:rsidRDefault="006F004E" w:rsidP="000C6A67">
      <w:pPr>
        <w:spacing w:after="0" w:line="240" w:lineRule="auto"/>
        <w:jc w:val="center"/>
        <w:rPr>
          <w:rFonts w:ascii="Arial" w:hAnsi="Arial" w:cs="Arial"/>
        </w:rPr>
      </w:pPr>
    </w:p>
    <w:p w:rsidR="006F004E" w:rsidRDefault="006F004E" w:rsidP="000C6A67">
      <w:pPr>
        <w:spacing w:after="0" w:line="240" w:lineRule="auto"/>
        <w:jc w:val="center"/>
        <w:rPr>
          <w:rFonts w:ascii="Arial" w:hAnsi="Arial" w:cs="Arial"/>
        </w:rPr>
      </w:pPr>
    </w:p>
    <w:p w:rsidR="006F004E" w:rsidRDefault="006F004E" w:rsidP="000C6A67">
      <w:pPr>
        <w:spacing w:after="0" w:line="240" w:lineRule="auto"/>
        <w:jc w:val="center"/>
        <w:rPr>
          <w:rFonts w:ascii="Arial" w:hAnsi="Arial" w:cs="Arial"/>
        </w:rPr>
      </w:pPr>
    </w:p>
    <w:p w:rsidR="00CC0DB8" w:rsidRDefault="00CC0DB8" w:rsidP="000C6A67">
      <w:pPr>
        <w:spacing w:after="0" w:line="240" w:lineRule="auto"/>
        <w:jc w:val="center"/>
        <w:rPr>
          <w:rFonts w:ascii="Arial" w:hAnsi="Arial" w:cs="Arial"/>
        </w:rPr>
      </w:pPr>
    </w:p>
    <w:p w:rsidR="00CC0DB8" w:rsidRDefault="00CC0DB8" w:rsidP="000C6A67">
      <w:pPr>
        <w:spacing w:after="0" w:line="240" w:lineRule="auto"/>
        <w:jc w:val="center"/>
        <w:rPr>
          <w:rFonts w:ascii="Arial" w:hAnsi="Arial" w:cs="Arial"/>
        </w:rPr>
      </w:pPr>
    </w:p>
    <w:p w:rsidR="001E39F2" w:rsidRPr="008C756B" w:rsidRDefault="001E39F2" w:rsidP="000C6A67">
      <w:pPr>
        <w:spacing w:after="0" w:line="240" w:lineRule="auto"/>
        <w:jc w:val="center"/>
        <w:rPr>
          <w:rFonts w:ascii="Arial" w:hAnsi="Arial" w:cs="Arial"/>
          <w:color w:val="00B050"/>
        </w:rPr>
      </w:pPr>
      <w:r w:rsidRPr="008C756B">
        <w:rPr>
          <w:rFonts w:ascii="Arial" w:hAnsi="Arial" w:cs="Arial"/>
        </w:rPr>
        <w:t>Figura 2</w:t>
      </w:r>
      <w:r w:rsidR="009D0DF8">
        <w:rPr>
          <w:rFonts w:ascii="Arial" w:hAnsi="Arial" w:cs="Arial"/>
        </w:rPr>
        <w:t>4</w:t>
      </w:r>
      <w:r w:rsidRPr="008C756B">
        <w:rPr>
          <w:rFonts w:ascii="Arial" w:hAnsi="Arial" w:cs="Arial"/>
        </w:rPr>
        <w:t>.</w:t>
      </w:r>
    </w:p>
    <w:p w:rsidR="007A1DC7" w:rsidRPr="00FE5530" w:rsidRDefault="007A1DC7" w:rsidP="000C6A67">
      <w:pPr>
        <w:spacing w:after="0" w:line="240" w:lineRule="auto"/>
        <w:jc w:val="both"/>
        <w:rPr>
          <w:b/>
          <w:color w:val="00B050"/>
        </w:rPr>
      </w:pPr>
      <w:r w:rsidRPr="00926F15">
        <w:rPr>
          <w:b/>
          <w:noProof/>
          <w:color w:val="00B050"/>
          <w:bdr w:val="single" w:sz="4" w:space="0" w:color="auto"/>
          <w:lang w:val="en-US"/>
        </w:rPr>
        <w:drawing>
          <wp:inline distT="0" distB="0" distL="0" distR="0">
            <wp:extent cx="5803613" cy="1704914"/>
            <wp:effectExtent l="19050" t="0" r="25687" b="0"/>
            <wp:docPr id="35" name="Diagramă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7A1DC7" w:rsidRPr="008C756B" w:rsidRDefault="001E39F2" w:rsidP="000C6A67">
      <w:pPr>
        <w:spacing w:after="0" w:line="240" w:lineRule="auto"/>
        <w:jc w:val="center"/>
        <w:rPr>
          <w:rFonts w:ascii="Arial" w:hAnsi="Arial" w:cs="Arial"/>
          <w:color w:val="00B050"/>
        </w:rPr>
      </w:pPr>
      <w:r w:rsidRPr="008C756B">
        <w:rPr>
          <w:rFonts w:ascii="Arial" w:eastAsia="Times New Roman" w:hAnsi="Arial" w:cs="Arial"/>
          <w:bCs/>
          <w:lang w:val="en-US"/>
        </w:rPr>
        <w:t>Sursa datelor: INS</w:t>
      </w:r>
    </w:p>
    <w:p w:rsidR="000F2D34" w:rsidRDefault="000F2D34" w:rsidP="000C6A67">
      <w:pPr>
        <w:spacing w:after="0" w:line="240" w:lineRule="auto"/>
        <w:jc w:val="both"/>
        <w:rPr>
          <w:rFonts w:ascii="Arial" w:eastAsia="Times New Roman" w:hAnsi="Arial" w:cs="Arial"/>
          <w:sz w:val="24"/>
          <w:szCs w:val="24"/>
          <w:lang w:val="en-US"/>
        </w:rPr>
      </w:pPr>
    </w:p>
    <w:p w:rsidR="007A1DC7" w:rsidRPr="006F431B" w:rsidRDefault="007A1DC7" w:rsidP="000C6A67">
      <w:pPr>
        <w:spacing w:after="0" w:line="240" w:lineRule="auto"/>
        <w:jc w:val="both"/>
        <w:rPr>
          <w:rFonts w:ascii="Arial" w:eastAsia="Times New Roman" w:hAnsi="Arial" w:cs="Arial"/>
          <w:sz w:val="24"/>
          <w:szCs w:val="24"/>
          <w:lang w:val="en-US"/>
        </w:rPr>
      </w:pPr>
      <w:r w:rsidRPr="006F431B">
        <w:rPr>
          <w:rFonts w:ascii="Arial" w:eastAsia="Times New Roman" w:hAnsi="Arial" w:cs="Arial"/>
          <w:sz w:val="24"/>
          <w:szCs w:val="24"/>
          <w:lang w:val="en-US"/>
        </w:rPr>
        <w:t>Tendinţe similare se constată atât în cazul populaţiei feminine, cât şi masculine, diferenţa pe sexe fiind mai mare în cazul  fetelor (6,9% fete, respectiv 5,6% băieți).</w:t>
      </w:r>
      <w:r w:rsidRPr="006F431B">
        <w:rPr>
          <w:rFonts w:ascii="Arial" w:hAnsi="Arial" w:cs="Arial"/>
          <w:sz w:val="24"/>
          <w:szCs w:val="24"/>
        </w:rPr>
        <w:t xml:space="preserve"> </w:t>
      </w:r>
      <w:r w:rsidRPr="006F431B">
        <w:rPr>
          <w:rFonts w:ascii="Arial" w:eastAsia="Times New Roman" w:hAnsi="Arial" w:cs="Arial"/>
          <w:sz w:val="24"/>
          <w:szCs w:val="24"/>
          <w:lang w:val="en-US"/>
        </w:rPr>
        <w:t>De-a lungul perioadei analizate, rata netă de cuprindere în învățământul obligatoriu a înregistrat ușoare diferențe pe sexe, în favoarea fetelor, în primii doi ani, apoi diferențele pe sexe au fost puțin mai ridicate în favoarea băieților.</w:t>
      </w:r>
    </w:p>
    <w:p w:rsidR="00DA5493" w:rsidRDefault="007A1DC7" w:rsidP="00DA5493">
      <w:pPr>
        <w:spacing w:after="0" w:line="240" w:lineRule="auto"/>
        <w:jc w:val="both"/>
        <w:rPr>
          <w:rFonts w:ascii="Arial" w:hAnsi="Arial" w:cs="Arial"/>
        </w:rPr>
      </w:pPr>
      <w:r w:rsidRPr="006F431B">
        <w:rPr>
          <w:rFonts w:ascii="Arial" w:eastAsia="Times New Roman" w:hAnsi="Arial" w:cs="Arial"/>
          <w:sz w:val="24"/>
          <w:szCs w:val="24"/>
          <w:lang w:val="en-US"/>
        </w:rPr>
        <w:t>Diferen</w:t>
      </w:r>
      <w:r w:rsidR="008C756B">
        <w:rPr>
          <w:rFonts w:ascii="Arial" w:eastAsia="Times New Roman" w:hAnsi="Arial" w:cs="Arial"/>
          <w:sz w:val="24"/>
          <w:szCs w:val="24"/>
          <w:lang w:val="en-US"/>
        </w:rPr>
        <w:t xml:space="preserve">ţe mai importante, care tind să </w:t>
      </w:r>
      <w:r w:rsidRPr="006F431B">
        <w:rPr>
          <w:rFonts w:ascii="Arial" w:eastAsia="Times New Roman" w:hAnsi="Arial" w:cs="Arial"/>
          <w:sz w:val="24"/>
          <w:szCs w:val="24"/>
          <w:lang w:val="en-US"/>
        </w:rPr>
        <w:t>se accentueze, se constată pe medii de rezidenţă, în defavoarea mediului rural. Dacă valoarea indicatorului pentru mediul urban a scăzut din 2007-2008 până în 2015-2016 cu 1,2 puncte procentuale, în mediul rural rata a avut o tendință de scădere mai mare  de 10,4 puncte procentuale. Discrepanțele pe medii de rezidență au crescut continuu, iar în anul școlar 2015-2016 s-a înregistrat cea mai mare diferență: 27 puncte procentuale (93,7% în urban, respectiv 66,7% în rural)</w:t>
      </w:r>
      <w:r w:rsidR="00DA5493" w:rsidRPr="00DA5493">
        <w:rPr>
          <w:rFonts w:ascii="Arial" w:hAnsi="Arial" w:cs="Arial"/>
        </w:rPr>
        <w:t xml:space="preserve"> </w:t>
      </w:r>
    </w:p>
    <w:p w:rsidR="00DA5493" w:rsidRDefault="00DA5493" w:rsidP="00DA5493">
      <w:pPr>
        <w:spacing w:after="0" w:line="240" w:lineRule="auto"/>
        <w:jc w:val="center"/>
        <w:rPr>
          <w:rFonts w:ascii="Arial" w:hAnsi="Arial" w:cs="Arial"/>
        </w:rPr>
      </w:pPr>
    </w:p>
    <w:p w:rsidR="007A1DC7" w:rsidRPr="00DA5493" w:rsidRDefault="00DA5493" w:rsidP="00DA5493">
      <w:pPr>
        <w:spacing w:after="0" w:line="240" w:lineRule="auto"/>
        <w:jc w:val="center"/>
        <w:rPr>
          <w:rFonts w:ascii="Arial" w:hAnsi="Arial" w:cs="Arial"/>
          <w:color w:val="00B050"/>
        </w:rPr>
      </w:pPr>
      <w:r w:rsidRPr="008C756B">
        <w:rPr>
          <w:rFonts w:ascii="Arial" w:hAnsi="Arial" w:cs="Arial"/>
        </w:rPr>
        <w:t>Figura 2</w:t>
      </w:r>
      <w:r>
        <w:rPr>
          <w:rFonts w:ascii="Arial" w:hAnsi="Arial" w:cs="Arial"/>
        </w:rPr>
        <w:t>5</w:t>
      </w:r>
      <w:r w:rsidRPr="008C756B">
        <w:rPr>
          <w:rFonts w:ascii="Arial" w:hAnsi="Arial" w:cs="Arial"/>
        </w:rPr>
        <w:t>.</w:t>
      </w:r>
    </w:p>
    <w:p w:rsidR="0056611C" w:rsidRDefault="0056611C" w:rsidP="000C6A67">
      <w:pPr>
        <w:spacing w:after="0" w:line="240" w:lineRule="auto"/>
        <w:jc w:val="both"/>
        <w:rPr>
          <w:rFonts w:ascii="Arial" w:eastAsia="Times New Roman" w:hAnsi="Arial" w:cs="Arial"/>
          <w:sz w:val="24"/>
          <w:szCs w:val="24"/>
          <w:lang w:val="en-US"/>
        </w:rPr>
      </w:pPr>
    </w:p>
    <w:p w:rsidR="008C756B" w:rsidRDefault="001E39F2" w:rsidP="008C756B">
      <w:pPr>
        <w:spacing w:after="0" w:line="240" w:lineRule="auto"/>
        <w:jc w:val="center"/>
        <w:rPr>
          <w:rFonts w:eastAsia="Times New Roman"/>
          <w:color w:val="00B050"/>
          <w:lang w:val="en-US"/>
        </w:rPr>
      </w:pPr>
      <w:r w:rsidRPr="00187D63">
        <w:rPr>
          <w:rFonts w:ascii="Arial" w:eastAsia="Times New Roman" w:hAnsi="Arial" w:cs="Arial"/>
          <w:bCs/>
          <w:sz w:val="20"/>
          <w:szCs w:val="20"/>
          <w:lang w:val="en-US"/>
        </w:rPr>
        <w:t>Sursa datelor: INS</w:t>
      </w:r>
      <w:r w:rsidRPr="00FE5530">
        <w:rPr>
          <w:rFonts w:eastAsia="Times New Roman"/>
          <w:noProof/>
          <w:color w:val="00B050"/>
          <w:lang w:val="en-US"/>
        </w:rPr>
        <w:t xml:space="preserve"> </w:t>
      </w:r>
      <w:r w:rsidR="007A1DC7" w:rsidRPr="00FE5530">
        <w:rPr>
          <w:rFonts w:eastAsia="Times New Roman"/>
          <w:noProof/>
          <w:color w:val="00B050"/>
          <w:lang w:val="en-US"/>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5966841" cy="2473579"/>
            <wp:effectExtent l="19050" t="0" r="14859" b="2921"/>
            <wp:wrapSquare wrapText="bothSides"/>
            <wp:docPr id="36" name="Diagramă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anchor>
        </w:drawing>
      </w:r>
    </w:p>
    <w:p w:rsidR="008C756B" w:rsidRDefault="008C756B" w:rsidP="008C756B">
      <w:pPr>
        <w:spacing w:after="0" w:line="240" w:lineRule="auto"/>
        <w:jc w:val="center"/>
        <w:rPr>
          <w:rFonts w:eastAsia="Times New Roman"/>
          <w:color w:val="00B050"/>
          <w:lang w:val="en-US"/>
        </w:rPr>
      </w:pPr>
    </w:p>
    <w:p w:rsidR="007A1DC7" w:rsidRPr="008C756B" w:rsidRDefault="007A1DC7" w:rsidP="008C756B">
      <w:pPr>
        <w:spacing w:after="0" w:line="240" w:lineRule="auto"/>
        <w:jc w:val="both"/>
        <w:rPr>
          <w:rFonts w:eastAsia="Times New Roman"/>
          <w:color w:val="00B050"/>
          <w:lang w:val="en-US"/>
        </w:rPr>
      </w:pPr>
      <w:r w:rsidRPr="006F431B">
        <w:rPr>
          <w:rFonts w:ascii="Arial" w:eastAsia="Times New Roman" w:hAnsi="Arial" w:cs="Arial"/>
          <w:sz w:val="24"/>
          <w:szCs w:val="24"/>
          <w:lang w:val="en-US"/>
        </w:rPr>
        <w:t xml:space="preserve">Deși tendințele sunt similar la nivelul județelor regiunii, există diferențe între valorile acestui indicator, care necesită o analiză atentă a cauzelor acestui fenomen. </w:t>
      </w:r>
    </w:p>
    <w:p w:rsidR="007A1DC7" w:rsidRPr="000B599F" w:rsidRDefault="00F029F0" w:rsidP="008C756B">
      <w:pPr>
        <w:spacing w:after="0" w:line="240" w:lineRule="auto"/>
        <w:jc w:val="both"/>
        <w:rPr>
          <w:rFonts w:ascii="Times New Roman" w:hAnsi="Times New Roman" w:cs="Times New Roman"/>
          <w:b/>
          <w:color w:val="00B050"/>
          <w:sz w:val="24"/>
          <w:szCs w:val="24"/>
        </w:rPr>
      </w:pPr>
      <w:r w:rsidRPr="008C756B">
        <w:rPr>
          <w:rFonts w:ascii="Arial" w:hAnsi="Arial" w:cs="Arial"/>
          <w:i/>
          <w:sz w:val="24"/>
          <w:szCs w:val="24"/>
        </w:rPr>
        <w:t>6.1.3.d. Rata netă</w:t>
      </w:r>
      <w:r w:rsidR="007A1DC7" w:rsidRPr="008C756B">
        <w:rPr>
          <w:rFonts w:ascii="Arial" w:hAnsi="Arial" w:cs="Arial"/>
          <w:i/>
          <w:sz w:val="24"/>
          <w:szCs w:val="24"/>
        </w:rPr>
        <w:t xml:space="preserve"> de cuprindere în învă</w:t>
      </w:r>
      <w:r w:rsidR="008C756B">
        <w:rPr>
          <w:rFonts w:ascii="Arial" w:hAnsi="Arial" w:cs="Arial"/>
          <w:i/>
          <w:sz w:val="24"/>
          <w:szCs w:val="24"/>
        </w:rPr>
        <w:t xml:space="preserve">ţământul secundar superior </w:t>
      </w:r>
      <w:r w:rsidR="007A1DC7" w:rsidRPr="008C756B">
        <w:rPr>
          <w:rFonts w:ascii="Arial" w:hAnsi="Arial" w:cs="Arial"/>
          <w:i/>
          <w:sz w:val="24"/>
          <w:szCs w:val="24"/>
        </w:rPr>
        <w:t>elevi 15-18 ani</w:t>
      </w:r>
      <w:r w:rsidR="008C756B">
        <w:rPr>
          <w:rFonts w:ascii="Arial" w:hAnsi="Arial" w:cs="Arial"/>
          <w:i/>
          <w:sz w:val="24"/>
          <w:szCs w:val="24"/>
        </w:rPr>
        <w:t xml:space="preserve">. </w:t>
      </w:r>
      <w:r w:rsidR="007A1DC7" w:rsidRPr="00693026">
        <w:rPr>
          <w:rFonts w:ascii="Arial" w:hAnsi="Arial" w:cs="Arial"/>
          <w:sz w:val="24"/>
          <w:szCs w:val="24"/>
        </w:rPr>
        <w:t xml:space="preserve">La nivel național, pe parcursul perioadei analizate, rata netă de cuprindere în învățământul secundar superior a avut o </w:t>
      </w:r>
      <w:r w:rsidR="007A1DC7" w:rsidRPr="000B599F">
        <w:rPr>
          <w:rFonts w:ascii="Arial" w:hAnsi="Arial" w:cs="Arial"/>
          <w:b/>
          <w:sz w:val="24"/>
          <w:szCs w:val="24"/>
        </w:rPr>
        <w:t>evoluție ascendentă: de la 67,4% în anul școlar 2007-2008 la 70,4% în anul școlar 2015-2016</w:t>
      </w:r>
      <w:r w:rsidR="007A1DC7" w:rsidRPr="00693026">
        <w:rPr>
          <w:rFonts w:ascii="Arial" w:hAnsi="Arial" w:cs="Arial"/>
          <w:sz w:val="24"/>
          <w:szCs w:val="24"/>
        </w:rPr>
        <w:t xml:space="preserve">. Din analiza datelor se constată că la nivelul regiunilor rata netă de cuprindere a crescut cu valori cuprinse între 1,2 puncte </w:t>
      </w:r>
      <w:r w:rsidR="007A1DC7" w:rsidRPr="00693026">
        <w:rPr>
          <w:rFonts w:ascii="Arial" w:hAnsi="Arial" w:cs="Arial"/>
          <w:sz w:val="24"/>
          <w:szCs w:val="24"/>
        </w:rPr>
        <w:lastRenderedPageBreak/>
        <w:t xml:space="preserve">procentuale (Regiunea Sud-Vest Oltenia) și 10,3 puncte procentuale (București Ilfov) cu o excepție, Regiunea Sud-Muntenia unde acest indicator a scăzut cu 1 punct procentual. </w:t>
      </w:r>
    </w:p>
    <w:p w:rsidR="007A1DC7" w:rsidRPr="000B599F" w:rsidRDefault="007A1DC7" w:rsidP="008C756B">
      <w:pPr>
        <w:spacing w:after="0" w:line="240" w:lineRule="auto"/>
        <w:jc w:val="both"/>
        <w:rPr>
          <w:rFonts w:ascii="Arial" w:hAnsi="Arial" w:cs="Arial"/>
          <w:b/>
          <w:sz w:val="24"/>
          <w:szCs w:val="24"/>
        </w:rPr>
      </w:pPr>
      <w:r w:rsidRPr="000B599F">
        <w:rPr>
          <w:rFonts w:ascii="Arial" w:hAnsi="Arial" w:cs="Arial"/>
          <w:b/>
          <w:sz w:val="24"/>
          <w:szCs w:val="24"/>
        </w:rPr>
        <w:t xml:space="preserve">În Regiunea Vest, </w:t>
      </w:r>
      <w:r w:rsidRPr="000B599F">
        <w:rPr>
          <w:rFonts w:ascii="Arial" w:eastAsia="Times New Roman" w:hAnsi="Arial" w:cs="Arial"/>
          <w:b/>
          <w:sz w:val="24"/>
          <w:szCs w:val="24"/>
          <w:lang w:val="en-US"/>
        </w:rPr>
        <w:t xml:space="preserve">valoarea ratei brute de cuprindere </w:t>
      </w:r>
      <w:r w:rsidRPr="000B599F">
        <w:rPr>
          <w:rFonts w:ascii="Arial" w:hAnsi="Arial" w:cs="Arial"/>
          <w:b/>
          <w:sz w:val="24"/>
          <w:szCs w:val="24"/>
        </w:rPr>
        <w:t>în învățământul secundar superior,</w:t>
      </w:r>
      <w:r w:rsidRPr="000B599F">
        <w:rPr>
          <w:rFonts w:ascii="Arial" w:eastAsia="Times New Roman" w:hAnsi="Arial" w:cs="Arial"/>
          <w:b/>
          <w:sz w:val="24"/>
          <w:szCs w:val="24"/>
          <w:lang w:val="en-US"/>
        </w:rPr>
        <w:t xml:space="preserve">în perioada analizată, a manifestat o tendință de creștere de la 68,3% </w:t>
      </w:r>
      <w:r w:rsidRPr="000B599F">
        <w:rPr>
          <w:rFonts w:ascii="Arial" w:hAnsi="Arial" w:cs="Arial"/>
          <w:b/>
          <w:sz w:val="24"/>
          <w:szCs w:val="24"/>
        </w:rPr>
        <w:t>(în anul 2007-2008) la 70,9% (în 2015-2016).</w:t>
      </w:r>
    </w:p>
    <w:p w:rsidR="007A1DC7" w:rsidRPr="00693026" w:rsidRDefault="007A1DC7" w:rsidP="008C756B">
      <w:pPr>
        <w:spacing w:after="0" w:line="240" w:lineRule="auto"/>
        <w:jc w:val="both"/>
        <w:rPr>
          <w:rFonts w:ascii="Arial" w:hAnsi="Arial" w:cs="Arial"/>
          <w:sz w:val="24"/>
          <w:szCs w:val="24"/>
        </w:rPr>
      </w:pPr>
      <w:r w:rsidRPr="00693026">
        <w:rPr>
          <w:rFonts w:ascii="Arial" w:hAnsi="Arial" w:cs="Arial"/>
          <w:sz w:val="24"/>
          <w:szCs w:val="24"/>
        </w:rPr>
        <w:t>Pe sexe, în perioada analizată, rata brută de cuprindere se menţine constant mai ridicată în cazul fetelor decât în cazul băieţilor. În cazul fetelor, creșterea ratei de absolvire este mai mica decât cea a băieților (1,1% - fete și 3,9% - baieți).</w:t>
      </w:r>
    </w:p>
    <w:p w:rsidR="007A1DC7" w:rsidRPr="008C756B" w:rsidRDefault="007A1DC7" w:rsidP="008C756B">
      <w:pPr>
        <w:spacing w:after="0" w:line="240" w:lineRule="auto"/>
        <w:jc w:val="both"/>
        <w:rPr>
          <w:rFonts w:ascii="Arial" w:hAnsi="Arial" w:cs="Arial"/>
          <w:b/>
          <w:sz w:val="24"/>
          <w:szCs w:val="24"/>
        </w:rPr>
      </w:pPr>
      <w:r w:rsidRPr="00693026">
        <w:rPr>
          <w:rFonts w:ascii="Arial" w:eastAsia="Times New Roman" w:hAnsi="Arial" w:cs="Arial"/>
          <w:sz w:val="24"/>
          <w:szCs w:val="24"/>
          <w:lang w:val="en-US"/>
        </w:rPr>
        <w:t>Diferența între mediul urban şi rural se menţine la un nivel ridicat în favoarea mediului urban.</w:t>
      </w:r>
      <w:r w:rsidRPr="00693026">
        <w:rPr>
          <w:rFonts w:ascii="Arial" w:hAnsi="Arial" w:cs="Arial"/>
          <w:b/>
          <w:sz w:val="24"/>
          <w:szCs w:val="24"/>
        </w:rPr>
        <w:t xml:space="preserve"> </w:t>
      </w:r>
    </w:p>
    <w:p w:rsidR="007A1DC7" w:rsidRPr="00693026" w:rsidRDefault="007A1DC7" w:rsidP="008C756B">
      <w:pPr>
        <w:spacing w:after="0" w:line="240" w:lineRule="auto"/>
        <w:jc w:val="both"/>
        <w:rPr>
          <w:rFonts w:ascii="Arial" w:hAnsi="Arial" w:cs="Arial"/>
          <w:sz w:val="24"/>
          <w:szCs w:val="24"/>
        </w:rPr>
      </w:pPr>
      <w:r w:rsidRPr="008C756B">
        <w:rPr>
          <w:rFonts w:ascii="Arial" w:hAnsi="Arial" w:cs="Arial"/>
          <w:i/>
          <w:sz w:val="24"/>
          <w:szCs w:val="24"/>
        </w:rPr>
        <w:t>6.1.3.e. Rata neta de cuprindere în învăţământul secundar superior  clasele IX-X (anul I-II)</w:t>
      </w:r>
      <w:r w:rsidR="008C756B">
        <w:rPr>
          <w:rFonts w:ascii="Arial" w:hAnsi="Arial" w:cs="Arial"/>
          <w:i/>
          <w:sz w:val="24"/>
          <w:szCs w:val="24"/>
        </w:rPr>
        <w:t xml:space="preserve">. </w:t>
      </w:r>
      <w:r>
        <w:rPr>
          <w:rFonts w:ascii="Arial" w:hAnsi="Arial" w:cs="Arial"/>
          <w:b/>
          <w:sz w:val="24"/>
          <w:szCs w:val="24"/>
        </w:rPr>
        <w:t xml:space="preserve"> </w:t>
      </w:r>
      <w:r w:rsidRPr="00693026">
        <w:rPr>
          <w:rFonts w:ascii="Arial" w:hAnsi="Arial" w:cs="Arial"/>
          <w:sz w:val="24"/>
          <w:szCs w:val="24"/>
        </w:rPr>
        <w:t>De-a lungul intervalului analizat, la nivel național, rata netă de cuprindere a scăzut de la 72,2% (în 2007-2008) la 67,8% (în 2015-2016). Evoluția a fost oscilantă cu creșteri sau scăderi de la un an la altul. Potrivit datelor analizate, în toate regiunile rata netă de cuprindere a scăzut cu valori cuprinse între 0,2% (în București-Ilfov) și 10,7% (Regiunea Sud-Muntenia).</w:t>
      </w:r>
    </w:p>
    <w:p w:rsidR="007A1DC7" w:rsidRPr="000B599F" w:rsidRDefault="007A1DC7" w:rsidP="000C6A67">
      <w:pPr>
        <w:autoSpaceDE w:val="0"/>
        <w:autoSpaceDN w:val="0"/>
        <w:adjustRightInd w:val="0"/>
        <w:spacing w:after="0" w:line="240" w:lineRule="auto"/>
        <w:jc w:val="both"/>
        <w:rPr>
          <w:rFonts w:ascii="Arial" w:hAnsi="Arial" w:cs="Arial"/>
          <w:b/>
          <w:sz w:val="24"/>
          <w:szCs w:val="24"/>
        </w:rPr>
      </w:pPr>
      <w:r w:rsidRPr="000B599F">
        <w:rPr>
          <w:rFonts w:ascii="Arial" w:hAnsi="Arial" w:cs="Arial"/>
          <w:b/>
          <w:sz w:val="24"/>
          <w:szCs w:val="24"/>
        </w:rPr>
        <w:t>Analiza valorilor ratei nete de cuprindere la acest nivel de învăţământ, în Regiunea Vest,  evidenţiază o creştere de la un an la altul, în anul școlar 2012-2013 valoarea fiind de 78%. In anul școlar următor valoarea acestui indicator înregistrează cea mai mare scădere 7,2% (70,8%). Evoluția oscilantă continuă cu o creștere de 0,5% (71,3% în 2014-2015) urmată de o nouă scădere cu 3,8% (67,5% în 2015-2016).</w:t>
      </w:r>
    </w:p>
    <w:p w:rsidR="007A1DC7" w:rsidRPr="001E39F2" w:rsidRDefault="001E39F2" w:rsidP="000C6A67">
      <w:pPr>
        <w:spacing w:after="0" w:line="240" w:lineRule="auto"/>
        <w:jc w:val="center"/>
        <w:rPr>
          <w:rFonts w:ascii="Arial" w:eastAsia="Times New Roman" w:hAnsi="Arial" w:cs="Arial"/>
          <w:lang w:val="en-US"/>
        </w:rPr>
      </w:pPr>
      <w:r w:rsidRPr="001E39F2">
        <w:rPr>
          <w:rFonts w:ascii="Arial" w:eastAsia="Times New Roman" w:hAnsi="Arial" w:cs="Arial"/>
          <w:lang w:val="en-US"/>
        </w:rPr>
        <w:t>Figura 2</w:t>
      </w:r>
      <w:r w:rsidR="009D0DF8">
        <w:rPr>
          <w:rFonts w:ascii="Arial" w:eastAsia="Times New Roman" w:hAnsi="Arial" w:cs="Arial"/>
          <w:lang w:val="en-US"/>
        </w:rPr>
        <w:t>6</w:t>
      </w:r>
      <w:r w:rsidRPr="001E39F2">
        <w:rPr>
          <w:rFonts w:ascii="Arial" w:eastAsia="Times New Roman" w:hAnsi="Arial" w:cs="Arial"/>
          <w:lang w:val="en-US"/>
        </w:rPr>
        <w:t>.</w:t>
      </w:r>
    </w:p>
    <w:p w:rsidR="007A1DC7" w:rsidRDefault="007A1DC7" w:rsidP="000C6A67">
      <w:pPr>
        <w:spacing w:after="0" w:line="240" w:lineRule="auto"/>
        <w:jc w:val="both"/>
        <w:rPr>
          <w:rFonts w:eastAsia="Times New Roman"/>
          <w:color w:val="00B050"/>
          <w:lang w:val="en-US"/>
        </w:rPr>
      </w:pPr>
      <w:r w:rsidRPr="00926F15">
        <w:rPr>
          <w:rFonts w:eastAsia="Times New Roman"/>
          <w:noProof/>
          <w:color w:val="00B050"/>
          <w:bdr w:val="single" w:sz="4" w:space="0" w:color="auto"/>
          <w:lang w:val="en-US"/>
        </w:rPr>
        <w:drawing>
          <wp:inline distT="0" distB="0" distL="0" distR="0">
            <wp:extent cx="5964555" cy="2359660"/>
            <wp:effectExtent l="19050" t="0" r="17145" b="2540"/>
            <wp:docPr id="22" name="Diagramă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1E39F2" w:rsidRPr="00FE5530" w:rsidRDefault="001E39F2" w:rsidP="000C6A67">
      <w:pPr>
        <w:spacing w:after="0" w:line="240" w:lineRule="auto"/>
        <w:jc w:val="center"/>
        <w:rPr>
          <w:rFonts w:eastAsia="Times New Roman"/>
          <w:color w:val="00B050"/>
          <w:lang w:val="en-US"/>
        </w:rPr>
      </w:pPr>
      <w:r w:rsidRPr="00187D63">
        <w:rPr>
          <w:rFonts w:ascii="Arial" w:eastAsia="Times New Roman" w:hAnsi="Arial" w:cs="Arial"/>
          <w:bCs/>
          <w:sz w:val="20"/>
          <w:szCs w:val="20"/>
          <w:lang w:val="en-US"/>
        </w:rPr>
        <w:t>Sursa datelor: INS</w:t>
      </w:r>
    </w:p>
    <w:p w:rsidR="001E39F2" w:rsidRPr="00693026" w:rsidRDefault="001E39F2" w:rsidP="000C6A67">
      <w:pPr>
        <w:autoSpaceDE w:val="0"/>
        <w:autoSpaceDN w:val="0"/>
        <w:adjustRightInd w:val="0"/>
        <w:spacing w:after="0" w:line="240" w:lineRule="auto"/>
        <w:jc w:val="both"/>
        <w:rPr>
          <w:rFonts w:ascii="Arial" w:hAnsi="Arial" w:cs="Arial"/>
          <w:sz w:val="24"/>
          <w:szCs w:val="24"/>
        </w:rPr>
      </w:pPr>
      <w:r w:rsidRPr="00693026">
        <w:rPr>
          <w:rFonts w:ascii="Arial" w:hAnsi="Arial" w:cs="Arial"/>
          <w:sz w:val="24"/>
          <w:szCs w:val="24"/>
        </w:rPr>
        <w:t>În perioada analizată, atât populația masculină cât și cea feminină înregistrează o scădere, mai accentuată în rândul fetelor (4,4% - fete față de 0,7% - băieți)</w:t>
      </w:r>
    </w:p>
    <w:p w:rsidR="001E39F2" w:rsidRPr="00693026" w:rsidRDefault="001E39F2" w:rsidP="000C6A67">
      <w:pPr>
        <w:spacing w:after="0" w:line="240" w:lineRule="auto"/>
        <w:jc w:val="both"/>
        <w:rPr>
          <w:rFonts w:ascii="Arial" w:eastAsia="Times New Roman" w:hAnsi="Arial" w:cs="Arial"/>
          <w:sz w:val="24"/>
          <w:szCs w:val="24"/>
          <w:lang w:val="en-US"/>
        </w:rPr>
      </w:pPr>
      <w:r w:rsidRPr="00693026">
        <w:rPr>
          <w:rFonts w:ascii="Arial" w:hAnsi="Arial" w:cs="Arial"/>
          <w:sz w:val="24"/>
          <w:szCs w:val="24"/>
        </w:rPr>
        <w:t xml:space="preserve">Diferențe semnificative se înregistrează în favoarea mediului urban: majoritatea liceelor funcționează în orașe. </w:t>
      </w:r>
      <w:r w:rsidRPr="00693026">
        <w:rPr>
          <w:rFonts w:ascii="Arial" w:eastAsia="Times New Roman" w:hAnsi="Arial" w:cs="Arial"/>
          <w:sz w:val="24"/>
          <w:szCs w:val="24"/>
          <w:lang w:val="en-US"/>
        </w:rPr>
        <w:t>Valoarea ratei nete de cuprindere pentru mediul urban a crescut din 2007-2008 (108,4%) până în 2015-2016 (119,8%) cu 11,4 puncte procentuale, în mediul rural rata a avut o tendință de scădere cu 0,9 puncte procentuale (de la 9,1 în 2007-2008 la 8,2% în 2015-2016).</w:t>
      </w:r>
    </w:p>
    <w:p w:rsidR="007A1DC7" w:rsidRPr="008C756B" w:rsidRDefault="001E39F2" w:rsidP="000C6A67">
      <w:pPr>
        <w:spacing w:after="0" w:line="240" w:lineRule="auto"/>
        <w:jc w:val="both"/>
        <w:rPr>
          <w:rFonts w:ascii="Arial" w:eastAsia="Times New Roman" w:hAnsi="Arial" w:cs="Arial"/>
          <w:b/>
          <w:sz w:val="24"/>
          <w:szCs w:val="24"/>
          <w:lang w:val="en-US"/>
        </w:rPr>
      </w:pPr>
      <w:r w:rsidRPr="000B599F">
        <w:rPr>
          <w:rFonts w:ascii="Arial" w:eastAsia="Times New Roman" w:hAnsi="Arial" w:cs="Arial"/>
          <w:b/>
          <w:sz w:val="24"/>
          <w:szCs w:val="24"/>
          <w:lang w:val="en-US"/>
        </w:rPr>
        <w:t xml:space="preserve">Fenomenul de scădere a valorii acestui indicator după 2012 trebuie analizat, pentru identificarea soluțiilor de stopare a descreșterii care s-a înregistrat în fiecare județ al regiunii, cu excepția județului Hunedoara. </w:t>
      </w:r>
    </w:p>
    <w:p w:rsidR="007A1DC7" w:rsidRPr="00693026" w:rsidRDefault="007A1DC7" w:rsidP="000C6A67">
      <w:pPr>
        <w:spacing w:after="0" w:line="240" w:lineRule="auto"/>
        <w:jc w:val="both"/>
        <w:rPr>
          <w:rFonts w:ascii="Arial" w:hAnsi="Arial" w:cs="Arial"/>
          <w:sz w:val="24"/>
          <w:szCs w:val="24"/>
        </w:rPr>
      </w:pPr>
      <w:r w:rsidRPr="008C756B">
        <w:rPr>
          <w:rFonts w:ascii="Arial" w:hAnsi="Arial" w:cs="Arial"/>
          <w:i/>
          <w:sz w:val="24"/>
          <w:szCs w:val="24"/>
        </w:rPr>
        <w:t xml:space="preserve">6.1.3.f. </w:t>
      </w:r>
      <w:r w:rsidRPr="008C756B">
        <w:rPr>
          <w:rFonts w:ascii="Arial" w:eastAsia="Times New Roman" w:hAnsi="Arial" w:cs="Arial"/>
          <w:i/>
          <w:sz w:val="24"/>
          <w:szCs w:val="24"/>
          <w:lang w:val="en-US"/>
        </w:rPr>
        <w:t>Rata netă de cuprindere în învățământul secundar superior, clasele XI-XII, anul III   - elevi 17-18 ani</w:t>
      </w:r>
      <w:r w:rsidR="008C756B">
        <w:rPr>
          <w:rFonts w:ascii="Arial" w:eastAsia="Times New Roman" w:hAnsi="Arial" w:cs="Arial"/>
          <w:i/>
          <w:sz w:val="24"/>
          <w:szCs w:val="24"/>
          <w:lang w:val="en-US"/>
        </w:rPr>
        <w:t>.</w:t>
      </w:r>
      <w:r>
        <w:rPr>
          <w:rFonts w:ascii="Arial" w:eastAsia="Times New Roman" w:hAnsi="Arial" w:cs="Arial"/>
          <w:b/>
          <w:sz w:val="24"/>
          <w:szCs w:val="24"/>
          <w:lang w:val="en-US"/>
        </w:rPr>
        <w:t xml:space="preserve">  </w:t>
      </w:r>
      <w:r w:rsidRPr="00693026">
        <w:rPr>
          <w:rFonts w:ascii="Arial" w:hAnsi="Arial" w:cs="Arial"/>
          <w:sz w:val="24"/>
          <w:szCs w:val="24"/>
        </w:rPr>
        <w:t xml:space="preserve">Din punct de vedere al evoluţiei, în perioada analizată, tendința de creștere a </w:t>
      </w:r>
      <w:r w:rsidRPr="00693026">
        <w:rPr>
          <w:rFonts w:ascii="Arial" w:eastAsia="Times New Roman" w:hAnsi="Arial" w:cs="Arial"/>
          <w:sz w:val="24"/>
          <w:szCs w:val="24"/>
          <w:lang w:val="en-US"/>
        </w:rPr>
        <w:t>ratei nete de cuprindere în învățământul secundar superior, clasele XI-XII, anul III</w:t>
      </w:r>
      <w:r w:rsidRPr="00693026">
        <w:rPr>
          <w:rFonts w:ascii="Arial" w:eastAsia="Times New Roman" w:hAnsi="Arial" w:cs="Arial"/>
          <w:b/>
          <w:sz w:val="24"/>
          <w:szCs w:val="24"/>
          <w:lang w:val="en-US"/>
        </w:rPr>
        <w:t xml:space="preserve"> </w:t>
      </w:r>
      <w:r w:rsidRPr="00693026">
        <w:rPr>
          <w:rFonts w:ascii="Arial" w:hAnsi="Arial" w:cs="Arial"/>
          <w:sz w:val="24"/>
          <w:szCs w:val="24"/>
        </w:rPr>
        <w:t>s-a manifestat atât la nivel național (de la 54,8% în 2007-2008 la 58,5 în 2015-</w:t>
      </w:r>
      <w:r w:rsidRPr="00693026">
        <w:rPr>
          <w:rFonts w:ascii="Arial" w:hAnsi="Arial" w:cs="Arial"/>
          <w:sz w:val="24"/>
          <w:szCs w:val="24"/>
        </w:rPr>
        <w:lastRenderedPageBreak/>
        <w:t>2016) cât și la nivelul regiunilor (cu valori cuprinse între 0,9% (Regiunea Vest) și 12% (București - Ilfov).</w:t>
      </w:r>
    </w:p>
    <w:p w:rsidR="001A3C6B" w:rsidRPr="006F004E" w:rsidRDefault="007A1DC7" w:rsidP="006F004E">
      <w:pPr>
        <w:spacing w:after="0" w:line="240" w:lineRule="auto"/>
        <w:jc w:val="both"/>
        <w:rPr>
          <w:rFonts w:ascii="Arial" w:eastAsia="Times New Roman" w:hAnsi="Arial" w:cs="Arial"/>
          <w:sz w:val="24"/>
          <w:szCs w:val="24"/>
          <w:lang w:val="en-US"/>
        </w:rPr>
      </w:pPr>
      <w:r w:rsidRPr="000B599F">
        <w:rPr>
          <w:rFonts w:ascii="Arial" w:hAnsi="Arial" w:cs="Arial"/>
          <w:b/>
          <w:sz w:val="24"/>
          <w:szCs w:val="24"/>
        </w:rPr>
        <w:t xml:space="preserve"> In perioada analizată, </w:t>
      </w:r>
      <w:r w:rsidRPr="000B599F">
        <w:rPr>
          <w:rFonts w:ascii="Arial" w:eastAsia="Times New Roman" w:hAnsi="Arial" w:cs="Arial"/>
          <w:b/>
          <w:sz w:val="24"/>
          <w:szCs w:val="24"/>
          <w:lang w:val="en-US"/>
        </w:rPr>
        <w:t>rata netă de cuprindere în învățământul secundar superior, clasele XI-XII, anul III, în Regiunea Vest, a înregistrat o creștere cu 0,9 puncte procentuale de la 58% la 58,9%.</w:t>
      </w:r>
      <w:r>
        <w:rPr>
          <w:rFonts w:ascii="Arial" w:eastAsia="Times New Roman" w:hAnsi="Arial" w:cs="Arial"/>
          <w:b/>
          <w:sz w:val="24"/>
          <w:szCs w:val="24"/>
          <w:lang w:val="en-US"/>
        </w:rPr>
        <w:t xml:space="preserve"> </w:t>
      </w:r>
      <w:r w:rsidRPr="000B599F">
        <w:rPr>
          <w:rFonts w:ascii="Arial" w:eastAsia="Times New Roman" w:hAnsi="Arial" w:cs="Arial"/>
          <w:b/>
          <w:sz w:val="24"/>
          <w:szCs w:val="24"/>
          <w:lang w:val="en-US"/>
        </w:rPr>
        <w:t>Se poate observa că valorile acestui indicator sunt peste valoarea națională pentru fiecare județ, și pentru întreaga perioadă, cu excepția județului Caraș Severin, cu valori mai mici, relative.</w:t>
      </w:r>
    </w:p>
    <w:p w:rsidR="001A3C6B" w:rsidRDefault="001A3C6B" w:rsidP="000C6A67">
      <w:pPr>
        <w:spacing w:after="0" w:line="240" w:lineRule="auto"/>
        <w:jc w:val="center"/>
        <w:rPr>
          <w:rFonts w:ascii="Arial" w:eastAsia="Times New Roman" w:hAnsi="Arial" w:cs="Arial"/>
          <w:lang w:val="en-US"/>
        </w:rPr>
      </w:pPr>
    </w:p>
    <w:p w:rsidR="007A1DC7" w:rsidRPr="001E39F2" w:rsidRDefault="001E39F2" w:rsidP="000C6A67">
      <w:pPr>
        <w:spacing w:after="0" w:line="240" w:lineRule="auto"/>
        <w:jc w:val="center"/>
        <w:rPr>
          <w:rFonts w:ascii="Arial" w:eastAsia="Times New Roman" w:hAnsi="Arial" w:cs="Arial"/>
          <w:lang w:val="en-US"/>
        </w:rPr>
      </w:pPr>
      <w:r w:rsidRPr="001E39F2">
        <w:rPr>
          <w:rFonts w:ascii="Arial" w:eastAsia="Times New Roman" w:hAnsi="Arial" w:cs="Arial"/>
          <w:lang w:val="en-US"/>
        </w:rPr>
        <w:t>Figura 2</w:t>
      </w:r>
      <w:r w:rsidR="009D0DF8">
        <w:rPr>
          <w:rFonts w:ascii="Arial" w:eastAsia="Times New Roman" w:hAnsi="Arial" w:cs="Arial"/>
          <w:lang w:val="en-US"/>
        </w:rPr>
        <w:t>7</w:t>
      </w:r>
      <w:r w:rsidRPr="001E39F2">
        <w:rPr>
          <w:rFonts w:ascii="Arial" w:eastAsia="Times New Roman" w:hAnsi="Arial" w:cs="Arial"/>
          <w:lang w:val="en-US"/>
        </w:rPr>
        <w:t>.</w:t>
      </w:r>
    </w:p>
    <w:p w:rsidR="007A1DC7" w:rsidRPr="00FE5530" w:rsidRDefault="007A1DC7" w:rsidP="000C6A67">
      <w:pPr>
        <w:spacing w:after="0" w:line="240" w:lineRule="auto"/>
        <w:ind w:firstLine="180"/>
        <w:jc w:val="both"/>
        <w:rPr>
          <w:rFonts w:eastAsia="Times New Roman"/>
          <w:color w:val="00B050"/>
          <w:lang w:val="en-US"/>
        </w:rPr>
      </w:pPr>
      <w:r w:rsidRPr="00926F15">
        <w:rPr>
          <w:rFonts w:eastAsia="Times New Roman"/>
          <w:noProof/>
          <w:color w:val="00B050"/>
          <w:bdr w:val="single" w:sz="4" w:space="0" w:color="auto"/>
          <w:lang w:val="en-US"/>
        </w:rPr>
        <w:drawing>
          <wp:inline distT="0" distB="0" distL="0" distR="0">
            <wp:extent cx="5964555" cy="2477770"/>
            <wp:effectExtent l="19050" t="0" r="17145" b="0"/>
            <wp:docPr id="37" name="Diagramă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7A1DC7" w:rsidRPr="00FE5530" w:rsidRDefault="001E39F2" w:rsidP="000C6A67">
      <w:pPr>
        <w:spacing w:after="0" w:line="240" w:lineRule="auto"/>
        <w:jc w:val="center"/>
        <w:rPr>
          <w:bCs/>
          <w:color w:val="00B050"/>
          <w:lang w:val="en-US"/>
        </w:rPr>
      </w:pPr>
      <w:r w:rsidRPr="00187D63">
        <w:rPr>
          <w:rFonts w:ascii="Arial" w:eastAsia="Times New Roman" w:hAnsi="Arial" w:cs="Arial"/>
          <w:bCs/>
          <w:sz w:val="20"/>
          <w:szCs w:val="20"/>
          <w:lang w:val="en-US"/>
        </w:rPr>
        <w:t>Sursa datelor: INS</w:t>
      </w:r>
    </w:p>
    <w:p w:rsidR="007A1DC7" w:rsidRDefault="007A1DC7" w:rsidP="000C6A67">
      <w:pPr>
        <w:spacing w:after="0" w:line="240" w:lineRule="auto"/>
        <w:jc w:val="both"/>
        <w:rPr>
          <w:bCs/>
          <w:color w:val="00B050"/>
          <w:lang w:val="en-US"/>
        </w:rPr>
      </w:pPr>
      <w:r w:rsidRPr="00FE5530">
        <w:rPr>
          <w:bCs/>
          <w:color w:val="00B050"/>
          <w:lang w:val="en-US"/>
        </w:rPr>
        <w:tab/>
      </w:r>
    </w:p>
    <w:p w:rsidR="007A1DC7" w:rsidRDefault="007A1DC7" w:rsidP="000C6A67">
      <w:pPr>
        <w:spacing w:after="0" w:line="240" w:lineRule="auto"/>
        <w:jc w:val="both"/>
        <w:rPr>
          <w:rFonts w:ascii="Arial" w:hAnsi="Arial" w:cs="Arial"/>
          <w:bCs/>
          <w:sz w:val="24"/>
          <w:szCs w:val="24"/>
          <w:lang w:val="en-US"/>
        </w:rPr>
      </w:pPr>
      <w:r w:rsidRPr="00693026">
        <w:rPr>
          <w:rFonts w:ascii="Arial" w:hAnsi="Arial" w:cs="Arial"/>
          <w:bCs/>
          <w:sz w:val="24"/>
          <w:szCs w:val="24"/>
          <w:lang w:val="en-US"/>
        </w:rPr>
        <w:t>In ceea ce privește diferența pe genuri, se constată că ratele nete de cuprindere, în perioada analizată, sunt mult mai scăzute pentru populația de gen masculin față de populația de gen feminin.</w:t>
      </w:r>
    </w:p>
    <w:p w:rsidR="007A1DC7" w:rsidRPr="00693026" w:rsidRDefault="007A1DC7" w:rsidP="000C6A67">
      <w:pPr>
        <w:spacing w:after="0" w:line="240" w:lineRule="auto"/>
        <w:jc w:val="both"/>
        <w:rPr>
          <w:rFonts w:ascii="Arial" w:hAnsi="Arial" w:cs="Arial"/>
          <w:bCs/>
          <w:sz w:val="24"/>
          <w:szCs w:val="24"/>
          <w:lang w:val="en-US"/>
        </w:rPr>
      </w:pPr>
      <w:r w:rsidRPr="00693026">
        <w:rPr>
          <w:rFonts w:ascii="Arial" w:hAnsi="Arial" w:cs="Arial"/>
          <w:bCs/>
          <w:sz w:val="24"/>
          <w:szCs w:val="24"/>
          <w:lang w:val="en-US"/>
        </w:rPr>
        <w:t xml:space="preserve">Datele statistice evidențiază diferențe semnificative între mediile de rezidență: rata netă de cuprindere în cazul elevilor din mediul urban este net mai mare decât a celor din rural. De-a lungul perioadei analizate, această diferență a crescut semnificativ înregistrând cea mai mare valoare de 104,5 puncte procentuale în anul școlar 2014-2015 iar în anul școlar următor a scazut cu 12,6 puncte procentuale (91,9%). </w:t>
      </w:r>
    </w:p>
    <w:p w:rsidR="001937AF" w:rsidRPr="001937AF" w:rsidRDefault="001937AF" w:rsidP="000C6A67">
      <w:pPr>
        <w:spacing w:after="0" w:line="240" w:lineRule="auto"/>
        <w:jc w:val="both"/>
        <w:rPr>
          <w:rFonts w:ascii="Arial" w:hAnsi="Arial" w:cs="Arial"/>
          <w:sz w:val="24"/>
          <w:szCs w:val="24"/>
          <w:lang w:eastAsia="ro-RO"/>
        </w:rPr>
      </w:pPr>
    </w:p>
    <w:p w:rsidR="00406DCE" w:rsidRPr="008C756B" w:rsidRDefault="00DA2E62" w:rsidP="000C6A67">
      <w:pPr>
        <w:pStyle w:val="Heading3"/>
        <w:spacing w:before="0" w:line="240" w:lineRule="auto"/>
        <w:jc w:val="both"/>
        <w:rPr>
          <w:rFonts w:ascii="Arial" w:hAnsi="Arial" w:cs="Arial"/>
          <w:b w:val="0"/>
          <w:i/>
          <w:color w:val="auto"/>
          <w:sz w:val="24"/>
          <w:szCs w:val="24"/>
          <w:lang w:eastAsia="ro-RO"/>
        </w:rPr>
      </w:pPr>
      <w:bookmarkStart w:id="90" w:name="_Toc488066061"/>
      <w:r w:rsidRPr="008C756B">
        <w:rPr>
          <w:rFonts w:ascii="Arial" w:hAnsi="Arial" w:cs="Arial"/>
          <w:b w:val="0"/>
          <w:i/>
          <w:color w:val="auto"/>
          <w:sz w:val="24"/>
          <w:szCs w:val="24"/>
          <w:lang w:eastAsia="ro-RO"/>
        </w:rPr>
        <w:t>6.1</w:t>
      </w:r>
      <w:r w:rsidR="00406DCE" w:rsidRPr="008C756B">
        <w:rPr>
          <w:rFonts w:ascii="Arial" w:hAnsi="Arial" w:cs="Arial"/>
          <w:b w:val="0"/>
          <w:i/>
          <w:color w:val="auto"/>
          <w:sz w:val="24"/>
          <w:szCs w:val="24"/>
          <w:lang w:eastAsia="ro-RO"/>
        </w:rPr>
        <w:t xml:space="preserve">.4. Oferta unităţilor şcolare  din ÎPT - Evoluţia </w:t>
      </w:r>
      <w:r w:rsidR="00F94754" w:rsidRPr="008C756B">
        <w:rPr>
          <w:rFonts w:ascii="Arial" w:hAnsi="Arial" w:cs="Arial"/>
          <w:b w:val="0"/>
          <w:i/>
          <w:color w:val="auto"/>
          <w:sz w:val="24"/>
          <w:szCs w:val="24"/>
          <w:lang w:eastAsia="ro-RO"/>
        </w:rPr>
        <w:t>elevilor cuprinşi în învăţământul liceal tehnologic şi învăţământul profesional</w:t>
      </w:r>
      <w:r w:rsidR="00F94754" w:rsidRPr="008C756B">
        <w:rPr>
          <w:rStyle w:val="FootnoteReference"/>
          <w:rFonts w:ascii="Arial" w:hAnsi="Arial" w:cs="Arial"/>
          <w:b w:val="0"/>
          <w:i/>
          <w:color w:val="auto"/>
          <w:sz w:val="24"/>
          <w:szCs w:val="24"/>
          <w:lang w:eastAsia="ro-RO"/>
        </w:rPr>
        <w:footnoteReference w:id="48"/>
      </w:r>
      <w:bookmarkEnd w:id="90"/>
    </w:p>
    <w:p w:rsidR="005D4920" w:rsidRPr="008C756B" w:rsidRDefault="005D4920" w:rsidP="000C6A67">
      <w:pPr>
        <w:spacing w:after="0" w:line="240" w:lineRule="auto"/>
        <w:jc w:val="both"/>
        <w:rPr>
          <w:rFonts w:ascii="Arial" w:eastAsia="Times New Roman" w:hAnsi="Arial" w:cs="Arial"/>
          <w:bCs/>
          <w:i/>
          <w:sz w:val="24"/>
          <w:szCs w:val="24"/>
          <w:lang w:val="en-US"/>
        </w:rPr>
      </w:pPr>
      <w:r w:rsidRPr="008C756B">
        <w:rPr>
          <w:rFonts w:ascii="Arial" w:eastAsia="Times New Roman" w:hAnsi="Arial" w:cs="Arial"/>
          <w:bCs/>
          <w:i/>
          <w:sz w:val="24"/>
          <w:szCs w:val="24"/>
          <w:lang w:val="en-US"/>
        </w:rPr>
        <w:t>6.1.4.1.</w:t>
      </w:r>
      <w:r w:rsidRPr="008C756B">
        <w:rPr>
          <w:rFonts w:ascii="Arial" w:hAnsi="Arial" w:cs="Arial"/>
          <w:i/>
        </w:rPr>
        <w:t xml:space="preserve"> </w:t>
      </w:r>
      <w:r w:rsidRPr="008C756B">
        <w:rPr>
          <w:rFonts w:ascii="Arial" w:eastAsia="Times New Roman" w:hAnsi="Arial" w:cs="Arial"/>
          <w:bCs/>
          <w:i/>
          <w:sz w:val="24"/>
          <w:szCs w:val="24"/>
          <w:lang w:val="en-US"/>
        </w:rPr>
        <w:t xml:space="preserve">Situaţia elevilor înscrişi la începutul anului şcolar </w:t>
      </w:r>
    </w:p>
    <w:p w:rsidR="005D4920" w:rsidRPr="00F0053D" w:rsidRDefault="005D4920" w:rsidP="000C6A67">
      <w:pPr>
        <w:spacing w:after="0" w:line="240" w:lineRule="auto"/>
        <w:jc w:val="both"/>
        <w:rPr>
          <w:rFonts w:ascii="Arial" w:eastAsia="Times New Roman" w:hAnsi="Arial" w:cs="Arial"/>
          <w:bCs/>
          <w:sz w:val="24"/>
          <w:szCs w:val="24"/>
          <w:lang w:val="en-US"/>
        </w:rPr>
      </w:pPr>
      <w:r w:rsidRPr="00F0053D">
        <w:rPr>
          <w:rFonts w:ascii="Arial" w:eastAsia="Times New Roman" w:hAnsi="Arial" w:cs="Arial"/>
          <w:bCs/>
          <w:sz w:val="24"/>
          <w:szCs w:val="24"/>
          <w:lang w:val="en-US"/>
        </w:rPr>
        <w:t>Urmărind evoluția elevilor înscrişi la începutul anului şcolar în unităţile de învăţământ propri</w:t>
      </w:r>
      <w:r w:rsidR="008C756B">
        <w:rPr>
          <w:rFonts w:ascii="Arial" w:eastAsia="Times New Roman" w:hAnsi="Arial" w:cs="Arial"/>
          <w:bCs/>
          <w:sz w:val="24"/>
          <w:szCs w:val="24"/>
          <w:lang w:val="en-US"/>
        </w:rPr>
        <w:t>etate publică, în perioada 2004–</w:t>
      </w:r>
      <w:r w:rsidRPr="00F0053D">
        <w:rPr>
          <w:rFonts w:ascii="Arial" w:eastAsia="Times New Roman" w:hAnsi="Arial" w:cs="Arial"/>
          <w:bCs/>
          <w:sz w:val="24"/>
          <w:szCs w:val="24"/>
          <w:lang w:val="en-US"/>
        </w:rPr>
        <w:t xml:space="preserve">2016, se observă o scădere semnificativă a numărului acestora atât la nivel național cât și la nivelul Regiunii Vest. La nivel național, populația școlară </w:t>
      </w:r>
      <w:r w:rsidRPr="00F0053D">
        <w:rPr>
          <w:rFonts w:ascii="Arial" w:eastAsia="Times New Roman" w:hAnsi="Arial" w:cs="Arial"/>
          <w:bCs/>
          <w:sz w:val="24"/>
          <w:szCs w:val="24"/>
        </w:rPr>
        <w:t>î</w:t>
      </w:r>
      <w:r w:rsidRPr="00F0053D">
        <w:rPr>
          <w:rFonts w:ascii="Arial" w:eastAsia="Times New Roman" w:hAnsi="Arial" w:cs="Arial"/>
          <w:bCs/>
          <w:sz w:val="24"/>
          <w:szCs w:val="24"/>
          <w:lang w:val="en-US"/>
        </w:rPr>
        <w:t xml:space="preserve">nregistrează, în anul școlar 2015- 2016 un număr de 729.859 elevi față de 1.050.032 elevi în anul școlar 2004-2005. </w:t>
      </w:r>
      <w:r w:rsidRPr="000B599F">
        <w:rPr>
          <w:rFonts w:ascii="Arial" w:eastAsia="Times New Roman" w:hAnsi="Arial" w:cs="Arial"/>
          <w:b/>
          <w:bCs/>
          <w:sz w:val="24"/>
          <w:szCs w:val="24"/>
          <w:lang w:val="en-US"/>
        </w:rPr>
        <w:t>La nivelul Regiunii Vest populația școlară se diminuează în același interval de la valoarea de 94.240 elevi la 66.079 elevi. Această scădere de 28.161 elevi are o distribuție puternic dezechilibrată între formele de învățământ liceu tehnologic, afectat cu o scădere de 24.325 elevi, în timp ce învățământul teoretic și vocațional împreună înregistrează o scădere de 3.836 de elevi</w:t>
      </w:r>
      <w:r w:rsidRPr="00F0053D">
        <w:rPr>
          <w:rFonts w:ascii="Arial" w:eastAsia="Times New Roman" w:hAnsi="Arial" w:cs="Arial"/>
          <w:bCs/>
          <w:sz w:val="24"/>
          <w:szCs w:val="24"/>
          <w:lang w:val="en-US"/>
        </w:rPr>
        <w:t>.</w:t>
      </w:r>
      <w:r w:rsidRPr="000B599F">
        <w:rPr>
          <w:rFonts w:ascii="Arial" w:eastAsia="Times New Roman" w:hAnsi="Arial" w:cs="Arial"/>
          <w:b/>
          <w:bCs/>
          <w:sz w:val="24"/>
          <w:szCs w:val="24"/>
          <w:lang w:val="en-US"/>
        </w:rPr>
        <w:t xml:space="preserve"> Această diminuare puternică a ofertei educaționale prin învățământ profesional și tehnic (ÎPT) este și mai vizibilă dacă comparăm ponderea acestor forme de învățământ. La începutul perioadei de referință, anul școlar 2004-2005 valorile acestor ponderi sunt de 63% pentru ÎPT  față de 37% pentru învățământul </w:t>
      </w:r>
      <w:r w:rsidRPr="000B599F">
        <w:rPr>
          <w:rFonts w:ascii="Arial" w:eastAsia="Times New Roman" w:hAnsi="Arial" w:cs="Arial"/>
          <w:b/>
          <w:bCs/>
          <w:sz w:val="24"/>
          <w:szCs w:val="24"/>
          <w:lang w:val="en-US"/>
        </w:rPr>
        <w:lastRenderedPageBreak/>
        <w:t>teoretic și vocațional (ÎTV). Valorile ponderilor se modifică, astfel încât în anul școlar 2015-2016 ÎPT ajunge la 53,1% iar ÎTV crește la 46,9%.</w:t>
      </w:r>
    </w:p>
    <w:p w:rsidR="005D4920" w:rsidRPr="00F0053D" w:rsidRDefault="005D4920" w:rsidP="000C6A67">
      <w:pPr>
        <w:spacing w:after="0" w:line="240" w:lineRule="auto"/>
        <w:jc w:val="both"/>
        <w:rPr>
          <w:rFonts w:ascii="Arial" w:eastAsia="Times New Roman" w:hAnsi="Arial" w:cs="Arial"/>
          <w:bCs/>
          <w:sz w:val="24"/>
          <w:szCs w:val="24"/>
          <w:lang w:val="en-US"/>
        </w:rPr>
      </w:pPr>
      <w:r w:rsidRPr="00F0053D">
        <w:rPr>
          <w:rFonts w:ascii="Arial" w:eastAsia="Times New Roman" w:hAnsi="Arial" w:cs="Arial"/>
          <w:bCs/>
          <w:sz w:val="24"/>
          <w:szCs w:val="24"/>
          <w:lang w:val="en-US"/>
        </w:rPr>
        <w:t xml:space="preserve">După cum se poate observa din datele supuse analizei, Regiunea Vest are cel mai mic număr de elevi înscriși la începutul anului școlar în unitățile de învățământ proprietate publică: 94.240 elevi la începutul perioadei analizate (8,97% din numărul elevilor înregistrați la nivel național)  și 66.079 elevi la sfârșitul perioadei analizate (9,05% din numărul elevilor înregistrați la nivel național). </w:t>
      </w:r>
    </w:p>
    <w:p w:rsidR="005D4920" w:rsidRPr="008C756B" w:rsidRDefault="005D4920" w:rsidP="000C6A67">
      <w:pPr>
        <w:spacing w:after="0" w:line="240" w:lineRule="auto"/>
        <w:jc w:val="both"/>
        <w:rPr>
          <w:rFonts w:ascii="Arial" w:eastAsia="Times New Roman" w:hAnsi="Arial" w:cs="Arial"/>
          <w:b/>
          <w:bCs/>
          <w:sz w:val="24"/>
          <w:szCs w:val="24"/>
          <w:u w:val="single"/>
          <w:lang w:val="en-US"/>
        </w:rPr>
      </w:pPr>
      <w:r>
        <w:rPr>
          <w:rFonts w:ascii="Arial" w:eastAsia="Times New Roman" w:hAnsi="Arial" w:cs="Arial"/>
          <w:bCs/>
          <w:sz w:val="24"/>
          <w:szCs w:val="24"/>
          <w:lang w:val="en-US"/>
        </w:rPr>
        <w:t>E</w:t>
      </w:r>
      <w:r w:rsidRPr="00F0053D">
        <w:rPr>
          <w:rFonts w:ascii="Arial" w:eastAsia="Times New Roman" w:hAnsi="Arial" w:cs="Arial"/>
          <w:bCs/>
          <w:sz w:val="24"/>
          <w:szCs w:val="24"/>
          <w:lang w:val="en-US"/>
        </w:rPr>
        <w:t>voluția numărului elevilor înscrişi la începutul anului şcolar în unităţile de învăţământ proprietate publică la nivelul județelor este, asemănătoare evoluției din regiune, ca tendință: în județul Arad numărul total al elevilor scade cu 4.472 elevi iar în învățământul profesional și tehnic cu 4.210 elevi (94%); în județul Hunedoara scăderea numărului total de elevi este de 9.235 elevi iar în învățământul profesional și tehnic de 7.124 elevi (77%); în județul Timiș se înregistrează o scădere cu 10.530 a numărului total de elevi și cu 10.395 (98%) elevi în învățământul profesional și tehnic; în județul Caraș - Severin numărul total al elevilor înscriși la începutul anului școlar scade cu 3.924 elevi iar în învățământul profesional și tehnic se înregistrează o scădere de 2.596 elevi (66%)</w:t>
      </w:r>
      <w:r w:rsidR="008C756B">
        <w:rPr>
          <w:rFonts w:ascii="Arial" w:eastAsia="Times New Roman" w:hAnsi="Arial" w:cs="Arial"/>
          <w:bCs/>
          <w:sz w:val="24"/>
          <w:szCs w:val="24"/>
          <w:lang w:val="en-US"/>
        </w:rPr>
        <w:t xml:space="preserve">. </w:t>
      </w:r>
      <w:r w:rsidRPr="000B599F">
        <w:rPr>
          <w:rFonts w:ascii="Arial" w:eastAsia="Times New Roman" w:hAnsi="Arial" w:cs="Arial"/>
          <w:b/>
          <w:bCs/>
          <w:sz w:val="24"/>
          <w:szCs w:val="24"/>
          <w:u w:val="single"/>
          <w:lang w:val="en-US"/>
        </w:rPr>
        <w:t xml:space="preserve">Se poate observa însă diferența dintre măsura în care scăderea populației școlare a afectat în mai mare măsură ÎPT: în județul Caraș Severin scăderea numărului de elevi în ÎPT reprezintă 66% din total diminuare efective școlare, urmat de județul Hunedoara cu 77%, Arad cu 94% și Timiș unde 98% din diminuare s-a realizat pe seama ÎPT, și în favoarea ÎTV. </w:t>
      </w:r>
    </w:p>
    <w:p w:rsidR="005D4920" w:rsidRPr="00F0053D" w:rsidRDefault="005D4920" w:rsidP="000C6A67">
      <w:pPr>
        <w:spacing w:after="0" w:line="240" w:lineRule="auto"/>
        <w:jc w:val="both"/>
        <w:rPr>
          <w:rFonts w:ascii="Arial" w:eastAsia="Times New Roman" w:hAnsi="Arial" w:cs="Arial"/>
          <w:bCs/>
          <w:sz w:val="24"/>
          <w:szCs w:val="24"/>
          <w:lang w:val="en-US"/>
        </w:rPr>
      </w:pPr>
      <w:r w:rsidRPr="00F0053D">
        <w:rPr>
          <w:rFonts w:ascii="Arial" w:eastAsia="Times New Roman" w:hAnsi="Arial" w:cs="Arial"/>
          <w:bCs/>
          <w:sz w:val="24"/>
          <w:szCs w:val="24"/>
          <w:lang w:val="en-US"/>
        </w:rPr>
        <w:t>În perioada supusă analizei au avut loc mai multe decizii după cum urmează: generalizarea învățământului obligatoriu de 10 ani (2003-2004); în anul școlar 2003-2004 a fost coborâtă vârsta de debut școlar la 6 ani în clasa I; desființarea Școlii de Arte și Meserii (2009-2010); reînființarea claselor de învățământ profesional începând cu clasa a X-a (2011-2012); au fost</w:t>
      </w:r>
      <w:r w:rsidRPr="00F0053D">
        <w:rPr>
          <w:rFonts w:ascii="Arial" w:eastAsia="Times New Roman" w:hAnsi="Arial" w:cs="Arial"/>
          <w:sz w:val="24"/>
          <w:szCs w:val="24"/>
          <w:lang w:val="en-US"/>
        </w:rPr>
        <w:t xml:space="preserve"> introduse stagii de pregătire practică cu durata de 6 luni pentru elevii care finalizau clasa a X-a în cadrul învățământului liceal și doreau dobândirea unei calificării profesionale de nivel 2; </w:t>
      </w:r>
      <w:r w:rsidRPr="00F0053D">
        <w:rPr>
          <w:rFonts w:ascii="Arial" w:eastAsia="Times New Roman" w:hAnsi="Arial" w:cs="Arial"/>
          <w:bCs/>
          <w:sz w:val="24"/>
          <w:szCs w:val="24"/>
          <w:lang w:val="en-US"/>
        </w:rPr>
        <w:t>reînființarea claselor de învățământ profesional de 3 ani (2014-2015), după finalizarea clasei a VIII-a, cu influențe și asupra</w:t>
      </w:r>
      <w:r w:rsidR="001E39F2">
        <w:rPr>
          <w:rFonts w:ascii="Arial" w:eastAsia="Times New Roman" w:hAnsi="Arial" w:cs="Arial"/>
          <w:bCs/>
          <w:sz w:val="24"/>
          <w:szCs w:val="24"/>
          <w:lang w:val="en-US"/>
        </w:rPr>
        <w:t xml:space="preserve"> altor indicatori din educație.</w:t>
      </w:r>
    </w:p>
    <w:p w:rsidR="005D4920" w:rsidRPr="00BF41E1" w:rsidRDefault="005D4920" w:rsidP="000C6A67">
      <w:pPr>
        <w:spacing w:after="0" w:line="240" w:lineRule="auto"/>
        <w:jc w:val="both"/>
        <w:rPr>
          <w:rFonts w:ascii="Arial" w:eastAsia="Times New Roman" w:hAnsi="Arial" w:cs="Arial"/>
          <w:bCs/>
          <w:i/>
          <w:sz w:val="24"/>
          <w:szCs w:val="24"/>
          <w:lang w:val="en-US"/>
        </w:rPr>
      </w:pPr>
      <w:r w:rsidRPr="00BF41E1">
        <w:rPr>
          <w:rFonts w:ascii="Arial" w:eastAsia="Times New Roman" w:hAnsi="Arial" w:cs="Arial"/>
          <w:bCs/>
          <w:i/>
          <w:sz w:val="24"/>
          <w:szCs w:val="24"/>
          <w:lang w:val="en-US"/>
        </w:rPr>
        <w:t>6.1.4.2. Evoluția ponderi ÎPT – public și privat</w:t>
      </w:r>
    </w:p>
    <w:p w:rsidR="005D4920" w:rsidRPr="0064775F" w:rsidRDefault="005D4920" w:rsidP="000C6A67">
      <w:pPr>
        <w:spacing w:after="0" w:line="240" w:lineRule="auto"/>
        <w:jc w:val="both"/>
        <w:rPr>
          <w:rFonts w:ascii="Arial" w:hAnsi="Arial" w:cs="Arial"/>
          <w:sz w:val="24"/>
          <w:szCs w:val="24"/>
        </w:rPr>
      </w:pPr>
      <w:r w:rsidRPr="0064775F">
        <w:rPr>
          <w:rFonts w:ascii="Arial" w:hAnsi="Arial" w:cs="Arial"/>
          <w:sz w:val="24"/>
          <w:szCs w:val="24"/>
        </w:rPr>
        <w:t>La nivel național, ponderea ÎPT din total a avut următoarea evoluție : public și privat a înregistrat o scădere (de 10,4%) de la 60% în 2004-2005 la 49,6% în 2015-2016; ponderea învățământului public prezintă o scădere (de 10,1%) de la 59,9% în 2004-2005 la 49,8% în 2015-2016.</w:t>
      </w:r>
    </w:p>
    <w:p w:rsidR="005D4920" w:rsidRPr="001A3C6B" w:rsidRDefault="005D4920" w:rsidP="000C6A67">
      <w:pPr>
        <w:spacing w:after="0" w:line="240" w:lineRule="auto"/>
        <w:jc w:val="both"/>
        <w:rPr>
          <w:rFonts w:ascii="Arial" w:hAnsi="Arial" w:cs="Arial"/>
          <w:sz w:val="24"/>
          <w:szCs w:val="24"/>
        </w:rPr>
      </w:pPr>
      <w:r w:rsidRPr="0064775F">
        <w:rPr>
          <w:rFonts w:ascii="Arial" w:hAnsi="Arial" w:cs="Arial"/>
          <w:sz w:val="24"/>
          <w:szCs w:val="24"/>
        </w:rPr>
        <w:t>La nivel regional, din punct de vedere al evoluției, ponderea ÎPT public și privat și cea a învățământului public a scăzut cu aceeași valoare 9,9 puncte procentuale. Ambele ponderi au avut o evoluție oscilantă cu o valoare maximă înregistrată în anul 2007-2008 (65,7% – învățământ public și privat; 65,3% – învățământ public). In general, ponderile înregistrate la nivelul Regiunii Vest sunt mai ridicate decât cele de la nivel național.</w:t>
      </w:r>
    </w:p>
    <w:p w:rsidR="005D4920" w:rsidRPr="001A3C6B" w:rsidRDefault="005D4920" w:rsidP="000C6A67">
      <w:pPr>
        <w:spacing w:after="0" w:line="240" w:lineRule="auto"/>
        <w:jc w:val="both"/>
        <w:rPr>
          <w:rFonts w:ascii="Arial" w:eastAsia="Times New Roman" w:hAnsi="Arial" w:cs="Arial"/>
          <w:bCs/>
          <w:i/>
          <w:sz w:val="24"/>
          <w:szCs w:val="24"/>
          <w:lang w:val="en-US"/>
        </w:rPr>
      </w:pPr>
      <w:r w:rsidRPr="001A3C6B">
        <w:rPr>
          <w:rFonts w:ascii="Arial" w:eastAsia="Times New Roman" w:hAnsi="Arial" w:cs="Arial"/>
          <w:bCs/>
          <w:i/>
          <w:sz w:val="24"/>
          <w:szCs w:val="24"/>
          <w:lang w:val="en-US"/>
        </w:rPr>
        <w:t xml:space="preserve">6.1.4.3. Evoluția ponderi ÎPT – public </w:t>
      </w:r>
    </w:p>
    <w:p w:rsidR="001A3C6B" w:rsidRPr="001A3C6B" w:rsidRDefault="005D4920" w:rsidP="001A3C6B">
      <w:pPr>
        <w:spacing w:after="0" w:line="240" w:lineRule="auto"/>
        <w:jc w:val="both"/>
        <w:rPr>
          <w:rFonts w:ascii="Arial" w:hAnsi="Arial" w:cs="Arial"/>
          <w:sz w:val="24"/>
          <w:szCs w:val="24"/>
        </w:rPr>
      </w:pPr>
      <w:r w:rsidRPr="0064775F">
        <w:rPr>
          <w:rFonts w:ascii="Arial" w:eastAsia="Times New Roman" w:hAnsi="Arial" w:cs="Arial"/>
          <w:bCs/>
          <w:sz w:val="24"/>
          <w:szCs w:val="24"/>
          <w:lang w:val="en-US"/>
        </w:rPr>
        <w:t xml:space="preserve">Analizând evoluția ponderii învățământului profesional și tehnic public, la nivel național, în perioada 2004/2005 – 2015/2016 se observă ca aceasta are o tendință de descreștere cu 10,1 % de la 59,9 % (2004-2005) la 49,8% (2015-2016). Din datele prezentate spre a fi analizate se observă că tendința de scădere a ponderii se înregistrează în Regiunea București-Ilfov (cu 14,7%), urmată de Regiunea Sud-Est (cu 12,4%) și Regiunea Nord-Vest (cu 11,3%) iar la polul opus se află Regiunea Sud-Muntenia (cu 7,1%). </w:t>
      </w:r>
    </w:p>
    <w:p w:rsidR="001A3C6B" w:rsidRDefault="001A3C6B" w:rsidP="000C6A67">
      <w:pPr>
        <w:spacing w:after="0" w:line="240" w:lineRule="auto"/>
        <w:jc w:val="center"/>
        <w:rPr>
          <w:rFonts w:ascii="Arial" w:eastAsia="Times New Roman" w:hAnsi="Arial" w:cs="Arial"/>
          <w:bCs/>
          <w:sz w:val="24"/>
          <w:szCs w:val="24"/>
          <w:lang w:val="en-US"/>
        </w:rPr>
      </w:pPr>
    </w:p>
    <w:p w:rsidR="006F004E" w:rsidRDefault="006F004E" w:rsidP="000C6A67">
      <w:pPr>
        <w:spacing w:after="0" w:line="240" w:lineRule="auto"/>
        <w:jc w:val="center"/>
        <w:rPr>
          <w:rFonts w:ascii="Arial" w:eastAsia="Times New Roman" w:hAnsi="Arial" w:cs="Arial"/>
          <w:bCs/>
          <w:sz w:val="24"/>
          <w:szCs w:val="24"/>
          <w:lang w:val="en-US"/>
        </w:rPr>
      </w:pPr>
    </w:p>
    <w:p w:rsidR="0065493B" w:rsidRDefault="0065493B" w:rsidP="000C6A67">
      <w:pPr>
        <w:spacing w:after="0" w:line="240" w:lineRule="auto"/>
        <w:jc w:val="center"/>
        <w:rPr>
          <w:rFonts w:ascii="Arial" w:eastAsia="Times New Roman" w:hAnsi="Arial" w:cs="Arial"/>
          <w:bCs/>
          <w:sz w:val="24"/>
          <w:szCs w:val="24"/>
          <w:lang w:val="en-US"/>
        </w:rPr>
      </w:pPr>
    </w:p>
    <w:p w:rsidR="006F004E" w:rsidRDefault="006F004E" w:rsidP="000C6A67">
      <w:pPr>
        <w:spacing w:after="0" w:line="240" w:lineRule="auto"/>
        <w:jc w:val="center"/>
        <w:rPr>
          <w:rFonts w:ascii="Arial" w:eastAsia="Times New Roman" w:hAnsi="Arial" w:cs="Arial"/>
          <w:bCs/>
          <w:sz w:val="24"/>
          <w:szCs w:val="24"/>
          <w:lang w:val="en-US"/>
        </w:rPr>
      </w:pPr>
    </w:p>
    <w:p w:rsidR="005D4920" w:rsidRPr="003529D4" w:rsidRDefault="008910A2" w:rsidP="000C6A67">
      <w:pPr>
        <w:spacing w:after="0" w:line="240" w:lineRule="auto"/>
        <w:jc w:val="center"/>
        <w:rPr>
          <w:rFonts w:ascii="Arial" w:eastAsia="Times New Roman" w:hAnsi="Arial" w:cs="Arial"/>
          <w:bCs/>
          <w:lang w:val="en-US"/>
        </w:rPr>
      </w:pPr>
      <w:r w:rsidRPr="003529D4">
        <w:rPr>
          <w:rFonts w:ascii="Arial" w:eastAsia="Times New Roman" w:hAnsi="Arial" w:cs="Arial"/>
          <w:bCs/>
          <w:lang w:val="en-US"/>
        </w:rPr>
        <w:lastRenderedPageBreak/>
        <w:t>Figura 2</w:t>
      </w:r>
      <w:r w:rsidR="009D0DF8">
        <w:rPr>
          <w:rFonts w:ascii="Arial" w:eastAsia="Times New Roman" w:hAnsi="Arial" w:cs="Arial"/>
          <w:bCs/>
          <w:lang w:val="en-US"/>
        </w:rPr>
        <w:t>8</w:t>
      </w:r>
      <w:r w:rsidRPr="003529D4">
        <w:rPr>
          <w:rFonts w:ascii="Arial" w:eastAsia="Times New Roman" w:hAnsi="Arial" w:cs="Arial"/>
          <w:bCs/>
          <w:lang w:val="en-US"/>
        </w:rPr>
        <w:t>.</w:t>
      </w:r>
    </w:p>
    <w:p w:rsidR="005D4920" w:rsidRPr="00D84071" w:rsidRDefault="005D4920" w:rsidP="00926F15">
      <w:pPr>
        <w:spacing w:after="0" w:line="240" w:lineRule="auto"/>
        <w:jc w:val="center"/>
        <w:rPr>
          <w:color w:val="00B050"/>
        </w:rPr>
      </w:pPr>
      <w:r w:rsidRPr="00E05CF0">
        <w:rPr>
          <w:noProof/>
          <w:color w:val="00B050"/>
          <w:bdr w:val="single" w:sz="4" w:space="0" w:color="auto"/>
          <w:lang w:val="en-US"/>
        </w:rPr>
        <w:drawing>
          <wp:inline distT="0" distB="0" distL="0" distR="0">
            <wp:extent cx="5439410" cy="3571875"/>
            <wp:effectExtent l="19050" t="0" r="27940" b="0"/>
            <wp:docPr id="38" name="Diagramă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5D4920" w:rsidRDefault="005D4920" w:rsidP="000C6A67">
      <w:pPr>
        <w:spacing w:after="0" w:line="240" w:lineRule="auto"/>
        <w:jc w:val="center"/>
        <w:rPr>
          <w:rFonts w:ascii="Arial" w:hAnsi="Arial" w:cs="Arial"/>
        </w:rPr>
      </w:pPr>
      <w:r w:rsidRPr="008910A2">
        <w:rPr>
          <w:rFonts w:ascii="Arial" w:hAnsi="Arial" w:cs="Arial"/>
        </w:rPr>
        <w:t xml:space="preserve">Sursa datelor: Calculat pe baza datelor din Caiete statistice </w:t>
      </w:r>
      <w:r w:rsidR="003529D4">
        <w:rPr>
          <w:rFonts w:ascii="Arial" w:hAnsi="Arial" w:cs="Arial"/>
        </w:rPr>
        <w:t>–</w:t>
      </w:r>
      <w:r w:rsidRPr="008910A2">
        <w:rPr>
          <w:rFonts w:ascii="Arial" w:hAnsi="Arial" w:cs="Arial"/>
        </w:rPr>
        <w:t xml:space="preserve"> INS</w:t>
      </w:r>
    </w:p>
    <w:p w:rsidR="003529D4" w:rsidRPr="008910A2" w:rsidRDefault="003529D4" w:rsidP="000C6A67">
      <w:pPr>
        <w:spacing w:after="0" w:line="240" w:lineRule="auto"/>
        <w:jc w:val="center"/>
        <w:rPr>
          <w:rFonts w:ascii="Arial" w:hAnsi="Arial" w:cs="Arial"/>
        </w:rPr>
      </w:pPr>
    </w:p>
    <w:p w:rsidR="008910A2" w:rsidRPr="008910A2" w:rsidRDefault="008910A2" w:rsidP="000C6A67">
      <w:pPr>
        <w:spacing w:after="0" w:line="240" w:lineRule="auto"/>
        <w:jc w:val="both"/>
        <w:rPr>
          <w:rFonts w:ascii="Arial" w:hAnsi="Arial" w:cs="Arial"/>
          <w:sz w:val="24"/>
          <w:szCs w:val="24"/>
        </w:rPr>
      </w:pPr>
      <w:r w:rsidRPr="0064775F">
        <w:rPr>
          <w:rFonts w:ascii="Arial" w:eastAsia="Times New Roman" w:hAnsi="Arial" w:cs="Arial"/>
          <w:bCs/>
          <w:sz w:val="24"/>
          <w:szCs w:val="24"/>
          <w:lang w:val="en-US"/>
        </w:rPr>
        <w:t xml:space="preserve">Din punct de vedere al evoluției, în perioada analizată, tendința de scădere s-a manifestat și la nivelul Regiunii Vest: cu 9,9% de la 63% (2004-2005) la 53,1% (2015-2016). </w:t>
      </w:r>
      <w:r w:rsidRPr="0064775F">
        <w:rPr>
          <w:rFonts w:ascii="Arial" w:hAnsi="Arial" w:cs="Arial"/>
          <w:bCs/>
          <w:sz w:val="24"/>
          <w:szCs w:val="24"/>
          <w:lang w:val="en-US"/>
        </w:rPr>
        <w:t>Atât evoluția la nivel național cât și cea de la nivel regional a fost una oscilantă cu un maxim în anul școlar 2007-2008 (60,3% - nivel național; 65,3% - nivel regional).</w:t>
      </w:r>
      <w:r w:rsidRPr="0064775F">
        <w:rPr>
          <w:rFonts w:ascii="Arial" w:hAnsi="Arial" w:cs="Arial"/>
          <w:sz w:val="24"/>
          <w:szCs w:val="24"/>
        </w:rPr>
        <w:t xml:space="preserve"> Menționăm că, în general, ponderea acestui indicator  se păstrează peste valorile naționale pe întreaga perioadă analizată. </w:t>
      </w:r>
      <w:r w:rsidRPr="0064775F">
        <w:rPr>
          <w:rFonts w:ascii="Arial" w:eastAsia="Times New Roman" w:hAnsi="Arial" w:cs="Arial"/>
          <w:bCs/>
          <w:sz w:val="24"/>
          <w:szCs w:val="24"/>
          <w:lang w:val="en-US"/>
        </w:rPr>
        <w:t xml:space="preserve">Raportându-ne la nivelul județelor </w:t>
      </w:r>
      <w:r w:rsidRPr="0064775F">
        <w:rPr>
          <w:rFonts w:ascii="Arial" w:hAnsi="Arial" w:cs="Arial"/>
          <w:sz w:val="24"/>
          <w:szCs w:val="24"/>
        </w:rPr>
        <w:t xml:space="preserve">se poate observa faptul că </w:t>
      </w:r>
      <w:r w:rsidRPr="0064775F">
        <w:rPr>
          <w:rFonts w:ascii="Arial" w:eastAsia="Times New Roman" w:hAnsi="Arial" w:cs="Arial"/>
          <w:bCs/>
          <w:sz w:val="24"/>
          <w:szCs w:val="24"/>
          <w:lang w:val="en-US"/>
        </w:rPr>
        <w:t>ponderea învățământului profesional și tehnic public</w:t>
      </w:r>
      <w:r w:rsidRPr="0064775F">
        <w:rPr>
          <w:rFonts w:ascii="Arial" w:hAnsi="Arial" w:cs="Arial"/>
          <w:sz w:val="24"/>
          <w:szCs w:val="24"/>
        </w:rPr>
        <w:t xml:space="preserve"> înregistrează cea mai mare scădere de 14,7% în județul Timiș (cu 4,8 puncte procentuale peste ponderea regională) iar la polul opus se plasează județul Caraș-Severin (1,8%).</w:t>
      </w:r>
    </w:p>
    <w:p w:rsidR="005D4920" w:rsidRPr="008C756B" w:rsidRDefault="005D4920" w:rsidP="000C6A67">
      <w:pPr>
        <w:spacing w:after="0" w:line="240" w:lineRule="auto"/>
        <w:jc w:val="both"/>
        <w:rPr>
          <w:rFonts w:ascii="Arial" w:eastAsia="Times New Roman" w:hAnsi="Arial" w:cs="Arial"/>
          <w:bCs/>
          <w:i/>
          <w:sz w:val="24"/>
          <w:szCs w:val="24"/>
          <w:lang w:val="en-US"/>
        </w:rPr>
      </w:pPr>
      <w:r w:rsidRPr="008C756B">
        <w:rPr>
          <w:rFonts w:ascii="Arial" w:eastAsia="Times New Roman" w:hAnsi="Arial" w:cs="Arial"/>
          <w:bCs/>
          <w:i/>
          <w:sz w:val="24"/>
          <w:szCs w:val="24"/>
          <w:lang w:val="en-US"/>
        </w:rPr>
        <w:t>6.1.4.4. Evoluţia ponderilor elevilor înscrişi la începutul anului şcolar în învăţământul secundar superior, în unităţi de învăţământ proprietate publică – Regiunea Vest</w:t>
      </w:r>
    </w:p>
    <w:p w:rsidR="005D4920" w:rsidRPr="000B599F" w:rsidRDefault="005D4920" w:rsidP="000C6A67">
      <w:pPr>
        <w:spacing w:after="0" w:line="240" w:lineRule="auto"/>
        <w:jc w:val="both"/>
        <w:rPr>
          <w:rFonts w:ascii="Arial" w:eastAsia="Times New Roman" w:hAnsi="Arial" w:cs="Arial"/>
          <w:bCs/>
          <w:sz w:val="24"/>
          <w:szCs w:val="24"/>
          <w:lang w:val="en-US"/>
        </w:rPr>
      </w:pPr>
      <w:r w:rsidRPr="00DD2414">
        <w:rPr>
          <w:rFonts w:ascii="Arial" w:eastAsia="Times New Roman" w:hAnsi="Arial" w:cs="Arial"/>
          <w:bCs/>
          <w:sz w:val="24"/>
          <w:szCs w:val="24"/>
          <w:lang w:val="en-US"/>
        </w:rPr>
        <w:t>In perioada analizată, la n</w:t>
      </w:r>
      <w:r>
        <w:rPr>
          <w:rFonts w:ascii="Arial" w:eastAsia="Times New Roman" w:hAnsi="Arial" w:cs="Arial"/>
          <w:bCs/>
          <w:sz w:val="24"/>
          <w:szCs w:val="24"/>
          <w:lang w:val="en-US"/>
        </w:rPr>
        <w:t>ivelul Regiunii Vest, ponderea</w:t>
      </w:r>
      <w:r w:rsidRPr="00DD2414">
        <w:rPr>
          <w:rFonts w:ascii="Arial" w:eastAsia="Times New Roman" w:hAnsi="Arial" w:cs="Arial"/>
          <w:bCs/>
          <w:sz w:val="24"/>
          <w:szCs w:val="24"/>
          <w:lang w:val="en-US"/>
        </w:rPr>
        <w:t xml:space="preserve"> elevilor înscrişi la începutul anului şcolar în învăţământul secundar superior, în unităţi de învăţământ proprietate publică au înregistrat în unele cazuri creșteri iar în altele scăderi accentuate. Ponderea elevilor din învățământul profesional scade cu 18,1% de la 25,7% în anul școlar 2004 – 2005 la 7,6% în anul școlar 2015- 2016. Evoluția acestui indicator, prezintă o scădere ajungând la o valoare minimă de 0,8% în anul școlar 2011-2012.</w:t>
      </w:r>
      <w:r w:rsidRPr="00DD2414">
        <w:rPr>
          <w:rFonts w:ascii="Arial" w:hAnsi="Arial" w:cs="Arial"/>
          <w:sz w:val="24"/>
          <w:szCs w:val="24"/>
        </w:rPr>
        <w:t xml:space="preserve"> </w:t>
      </w:r>
      <w:r w:rsidRPr="00DD2414">
        <w:rPr>
          <w:rFonts w:ascii="Arial" w:eastAsia="Times New Roman" w:hAnsi="Arial" w:cs="Arial"/>
          <w:sz w:val="24"/>
          <w:szCs w:val="24"/>
          <w:lang w:val="en-US"/>
        </w:rPr>
        <w:t xml:space="preserve">Măsurile de revigorare a învățământului profesional au determinat orientarea mai multor elevi către această formă de calificare și în perioada 2012-2016 înregistrează o creștere cu 6,8 puncte procentuale.  Ponderea elevilor înscriși la începutul anului, în învățământul profesional are pentru fiecare județ, în perioada 2004-2012, o evoluție descrescătoare. Cea mai scazută pondere se înregistrează la începutul anului 2011-2012 astfel: 0,2% în Hunedoara și 0,4% în Timiș, valori sub ponderea înregistrată la nivel regional iar în Arad (1,5%) valori peste ponderea națională. In județul Caraș - Severin cea mai scazută pondere a acestui indicator (1,2%) se înregistrează la nivelul anului 2012-2013, valoare peste ponderea regională. Până la sfârșitul perioadei analizate, anul școlar 2015-2016 cea mai mare creștere a ponderii acestui indicator, peste ponderea regională, este în județul Hunedoara (cu 0,8%) urmat de județul Timiș (cu 0,3%) și județul Arad (cu 0,1%). În județul Caraș-Severin ponderea înregistrată este </w:t>
      </w:r>
      <w:r w:rsidR="008910A2">
        <w:rPr>
          <w:rFonts w:ascii="Arial" w:eastAsia="Times New Roman" w:hAnsi="Arial" w:cs="Arial"/>
          <w:sz w:val="24"/>
          <w:szCs w:val="24"/>
          <w:lang w:val="en-US"/>
        </w:rPr>
        <w:t xml:space="preserve">cu 1,9 % sub ponderea regional. </w:t>
      </w:r>
    </w:p>
    <w:p w:rsidR="001A3C6B" w:rsidRDefault="001A3C6B" w:rsidP="000C6A67">
      <w:pPr>
        <w:spacing w:after="0" w:line="240" w:lineRule="auto"/>
        <w:jc w:val="center"/>
        <w:rPr>
          <w:rFonts w:ascii="Arial" w:eastAsia="Times New Roman" w:hAnsi="Arial" w:cs="Arial"/>
          <w:lang w:val="en-US"/>
        </w:rPr>
      </w:pPr>
    </w:p>
    <w:p w:rsidR="005D4920" w:rsidRPr="008910A2" w:rsidRDefault="008910A2" w:rsidP="000C6A67">
      <w:pPr>
        <w:spacing w:after="0" w:line="240" w:lineRule="auto"/>
        <w:jc w:val="center"/>
        <w:rPr>
          <w:rFonts w:ascii="Arial" w:eastAsia="Times New Roman" w:hAnsi="Arial" w:cs="Arial"/>
          <w:lang w:val="en-US"/>
        </w:rPr>
      </w:pPr>
      <w:r w:rsidRPr="008910A2">
        <w:rPr>
          <w:rFonts w:ascii="Arial" w:eastAsia="Times New Roman" w:hAnsi="Arial" w:cs="Arial"/>
          <w:lang w:val="en-US"/>
        </w:rPr>
        <w:t>Figura 2</w:t>
      </w:r>
      <w:r w:rsidR="009D0DF8">
        <w:rPr>
          <w:rFonts w:ascii="Arial" w:eastAsia="Times New Roman" w:hAnsi="Arial" w:cs="Arial"/>
          <w:lang w:val="en-US"/>
        </w:rPr>
        <w:t>9</w:t>
      </w:r>
      <w:r w:rsidRPr="008910A2">
        <w:rPr>
          <w:rFonts w:ascii="Arial" w:eastAsia="Times New Roman" w:hAnsi="Arial" w:cs="Arial"/>
          <w:lang w:val="en-US"/>
        </w:rPr>
        <w:t>.</w:t>
      </w:r>
    </w:p>
    <w:p w:rsidR="005D4920" w:rsidRPr="00DD2414" w:rsidRDefault="005D4920" w:rsidP="000C6A67">
      <w:pPr>
        <w:spacing w:after="0" w:line="240" w:lineRule="auto"/>
        <w:jc w:val="both"/>
        <w:rPr>
          <w:rFonts w:ascii="Arial" w:eastAsia="Times New Roman" w:hAnsi="Arial" w:cs="Arial"/>
          <w:color w:val="FF0000"/>
          <w:sz w:val="24"/>
          <w:szCs w:val="24"/>
          <w:lang w:val="en-US"/>
        </w:rPr>
      </w:pPr>
      <w:r w:rsidRPr="00E05CF0">
        <w:rPr>
          <w:rFonts w:ascii="Arial" w:eastAsia="Times New Roman" w:hAnsi="Arial" w:cs="Arial"/>
          <w:noProof/>
          <w:color w:val="FF0000"/>
          <w:sz w:val="24"/>
          <w:szCs w:val="24"/>
          <w:bdr w:val="single" w:sz="4" w:space="0" w:color="auto"/>
          <w:lang w:val="en-US"/>
        </w:rPr>
        <w:drawing>
          <wp:inline distT="0" distB="0" distL="0" distR="0">
            <wp:extent cx="5964555" cy="2505075"/>
            <wp:effectExtent l="19050" t="0" r="17145" b="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5D4920" w:rsidRPr="00242657" w:rsidRDefault="005D4920" w:rsidP="000C6A67">
      <w:pPr>
        <w:tabs>
          <w:tab w:val="left" w:pos="1137"/>
        </w:tabs>
        <w:spacing w:after="0" w:line="240" w:lineRule="auto"/>
        <w:jc w:val="center"/>
        <w:rPr>
          <w:rFonts w:ascii="Arial" w:eastAsia="Times New Roman" w:hAnsi="Arial" w:cs="Arial"/>
          <w:bCs/>
          <w:lang w:val="en-US"/>
        </w:rPr>
      </w:pPr>
      <w:r w:rsidRPr="00242657">
        <w:rPr>
          <w:rFonts w:ascii="Arial" w:eastAsia="Times New Roman" w:hAnsi="Arial" w:cs="Arial"/>
          <w:bCs/>
          <w:lang w:val="en-US"/>
        </w:rPr>
        <w:t>Sursa datelor: INS Caiet statistic</w:t>
      </w:r>
    </w:p>
    <w:p w:rsidR="008C756B" w:rsidRDefault="008C756B" w:rsidP="000C6A67">
      <w:pPr>
        <w:spacing w:after="0" w:line="240" w:lineRule="auto"/>
        <w:jc w:val="both"/>
        <w:rPr>
          <w:rFonts w:ascii="Arial" w:eastAsia="Times New Roman" w:hAnsi="Arial" w:cs="Arial"/>
          <w:sz w:val="24"/>
          <w:szCs w:val="24"/>
          <w:lang w:val="en-US"/>
        </w:rPr>
      </w:pPr>
    </w:p>
    <w:p w:rsidR="005D4920" w:rsidRPr="008C756B" w:rsidRDefault="008910A2" w:rsidP="000C6A67">
      <w:pPr>
        <w:spacing w:after="0" w:line="240" w:lineRule="auto"/>
        <w:jc w:val="both"/>
        <w:rPr>
          <w:rFonts w:ascii="Arial" w:eastAsia="Times New Roman" w:hAnsi="Arial" w:cs="Arial"/>
          <w:sz w:val="24"/>
          <w:szCs w:val="24"/>
          <w:lang w:val="en-US"/>
        </w:rPr>
      </w:pPr>
      <w:r w:rsidRPr="00DD2414">
        <w:rPr>
          <w:rFonts w:ascii="Arial" w:eastAsia="Times New Roman" w:hAnsi="Arial" w:cs="Arial"/>
          <w:sz w:val="24"/>
          <w:szCs w:val="24"/>
          <w:lang w:val="en-US"/>
        </w:rPr>
        <w:t>Analizând ponderea elevilor înscriși la începutul anului în învățământul liceal teoretic și vocațional, în perioada analizată, se observă o creștere de: 9,6% în județul Arad, 9,2% în județul Hunedoara, 14,7% în județul Timiș și 1,8% în județul Caraș-Severin. Evoluția ponderii acestui indicator a fost una oscilantă în fiecare județ.</w:t>
      </w:r>
    </w:p>
    <w:p w:rsidR="005D4920" w:rsidRPr="008C756B" w:rsidRDefault="005D4920" w:rsidP="000C6A67">
      <w:pPr>
        <w:spacing w:after="0" w:line="240" w:lineRule="auto"/>
        <w:jc w:val="both"/>
        <w:rPr>
          <w:rFonts w:ascii="Arial" w:eastAsia="Times New Roman" w:hAnsi="Arial" w:cs="Arial"/>
          <w:bCs/>
          <w:i/>
          <w:sz w:val="24"/>
          <w:szCs w:val="24"/>
          <w:lang w:val="en-US"/>
        </w:rPr>
      </w:pPr>
      <w:r w:rsidRPr="008C756B">
        <w:rPr>
          <w:rFonts w:ascii="Arial" w:eastAsia="Times New Roman" w:hAnsi="Arial" w:cs="Arial"/>
          <w:bCs/>
          <w:i/>
          <w:sz w:val="24"/>
          <w:szCs w:val="24"/>
          <w:lang w:val="en-US"/>
        </w:rPr>
        <w:t>6.1.4.5. Ponderea elevilor înscrişi în învăţământul secundar superior, la începutul anului şcolar 2015-2016, în unităţi de învăţământ proprietate publică</w:t>
      </w:r>
    </w:p>
    <w:p w:rsidR="005D4920" w:rsidRPr="00DD2414" w:rsidRDefault="005D4920" w:rsidP="000C6A67">
      <w:pPr>
        <w:spacing w:after="0" w:line="240" w:lineRule="auto"/>
        <w:jc w:val="both"/>
        <w:rPr>
          <w:rFonts w:ascii="Arial" w:eastAsia="Times New Roman" w:hAnsi="Arial" w:cs="Arial"/>
          <w:sz w:val="24"/>
          <w:szCs w:val="24"/>
          <w:lang w:val="en-US"/>
        </w:rPr>
      </w:pPr>
      <w:r w:rsidRPr="00DD2414">
        <w:rPr>
          <w:rFonts w:ascii="Arial" w:eastAsia="Times New Roman" w:hAnsi="Arial" w:cs="Arial"/>
          <w:sz w:val="24"/>
          <w:szCs w:val="24"/>
          <w:lang w:val="en-US"/>
        </w:rPr>
        <w:t>Cu o pondere de 7,6%  a elevilor înscriși în învățământul profesional Regiunea Vest se plasează pe locul cinci la nivel național, (cu 1,6 puncte procentuale sub ponderea națională) pe ultimul loc situându-se București-Ilfov (2,4%). Menționăm că cea mai mare pondere a acestui indicator este înregistrată în Regiunea Centru (13,9%) cu 4,7 puncte procentuale peste ponderea națională, urmată de Regiunea Nord –Est (13%) și Regiunea Nord-Vest (11,3%).</w:t>
      </w:r>
    </w:p>
    <w:p w:rsidR="005D4920" w:rsidRPr="00DD2414" w:rsidRDefault="005D4920" w:rsidP="000C6A67">
      <w:pPr>
        <w:spacing w:after="0" w:line="240" w:lineRule="auto"/>
        <w:jc w:val="both"/>
        <w:rPr>
          <w:rFonts w:ascii="Arial" w:hAnsi="Arial" w:cs="Arial"/>
          <w:bCs/>
          <w:sz w:val="24"/>
          <w:szCs w:val="24"/>
        </w:rPr>
      </w:pPr>
      <w:r w:rsidRPr="00DD2414">
        <w:rPr>
          <w:rFonts w:ascii="Arial" w:eastAsia="Times New Roman" w:hAnsi="Arial" w:cs="Arial"/>
          <w:sz w:val="24"/>
          <w:szCs w:val="24"/>
          <w:lang w:val="en-US"/>
        </w:rPr>
        <w:t xml:space="preserve">În ceea ce privește ponderea în învățământul liceal tehnologic, cea mai mare valoare se înregistrează în </w:t>
      </w:r>
      <w:r w:rsidRPr="00DD2414">
        <w:rPr>
          <w:rFonts w:ascii="Arial" w:hAnsi="Arial" w:cs="Arial"/>
          <w:bCs/>
          <w:sz w:val="24"/>
          <w:szCs w:val="24"/>
        </w:rPr>
        <w:t>Regiunea Sud-Vest Oltenia (45,7%), cu 5,1 puncte procentuale peste ponderea națională (40,6%), urmată de Regiunea Vest (45,5%) și Regiunea Sud-Muntenia (43,3%). In regiunile București – Ilfov, Centru, Nord-Est și Sud-Vest ponderea înregistrează valori cuprinse între 1,4 și 7,4 puncte procentuale sub ponderea nașională.</w:t>
      </w:r>
    </w:p>
    <w:p w:rsidR="003529D4" w:rsidRDefault="003529D4" w:rsidP="000C6A67">
      <w:pPr>
        <w:spacing w:after="0" w:line="240" w:lineRule="auto"/>
        <w:jc w:val="center"/>
        <w:rPr>
          <w:rFonts w:ascii="Arial" w:eastAsia="Times New Roman" w:hAnsi="Arial" w:cs="Arial"/>
          <w:lang w:val="en-US"/>
        </w:rPr>
      </w:pPr>
    </w:p>
    <w:p w:rsidR="005D4920" w:rsidRPr="008910A2" w:rsidRDefault="008910A2" w:rsidP="000C6A67">
      <w:pPr>
        <w:spacing w:after="0" w:line="240" w:lineRule="auto"/>
        <w:jc w:val="center"/>
        <w:rPr>
          <w:rFonts w:ascii="Arial" w:eastAsia="Times New Roman" w:hAnsi="Arial" w:cs="Arial"/>
          <w:lang w:val="en-US"/>
        </w:rPr>
      </w:pPr>
      <w:r w:rsidRPr="008910A2">
        <w:rPr>
          <w:rFonts w:ascii="Arial" w:eastAsia="Times New Roman" w:hAnsi="Arial" w:cs="Arial"/>
          <w:lang w:val="en-US"/>
        </w:rPr>
        <w:t xml:space="preserve">Figura </w:t>
      </w:r>
      <w:r w:rsidR="009D0DF8">
        <w:rPr>
          <w:rFonts w:ascii="Arial" w:eastAsia="Times New Roman" w:hAnsi="Arial" w:cs="Arial"/>
          <w:lang w:val="en-US"/>
        </w:rPr>
        <w:t>30</w:t>
      </w:r>
      <w:r w:rsidRPr="008910A2">
        <w:rPr>
          <w:rFonts w:ascii="Arial" w:eastAsia="Times New Roman" w:hAnsi="Arial" w:cs="Arial"/>
          <w:lang w:val="en-US"/>
        </w:rPr>
        <w:t>.</w:t>
      </w:r>
    </w:p>
    <w:p w:rsidR="005D4920" w:rsidRPr="00B20969" w:rsidRDefault="005D4920" w:rsidP="000C6A67">
      <w:pPr>
        <w:spacing w:after="0" w:line="240" w:lineRule="auto"/>
        <w:jc w:val="both"/>
        <w:rPr>
          <w:rFonts w:eastAsia="Times New Roman"/>
          <w:bCs/>
          <w:color w:val="FF0000"/>
          <w:lang w:val="en-US"/>
        </w:rPr>
      </w:pPr>
      <w:r w:rsidRPr="00E05CF0">
        <w:rPr>
          <w:rFonts w:eastAsia="Times New Roman"/>
          <w:noProof/>
          <w:color w:val="FF0000"/>
          <w:bdr w:val="single" w:sz="4" w:space="0" w:color="auto"/>
          <w:lang w:val="en-US"/>
        </w:rPr>
        <w:drawing>
          <wp:inline distT="0" distB="0" distL="0" distR="0">
            <wp:extent cx="5722374" cy="1905492"/>
            <wp:effectExtent l="19050" t="0" r="11676" b="0"/>
            <wp:docPr id="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5D4920" w:rsidRPr="00AD4F1F" w:rsidRDefault="005D4920" w:rsidP="000C6A67">
      <w:pPr>
        <w:spacing w:after="0" w:line="240" w:lineRule="auto"/>
        <w:jc w:val="center"/>
        <w:rPr>
          <w:rFonts w:ascii="Arial" w:eastAsia="Times New Roman" w:hAnsi="Arial" w:cs="Arial"/>
          <w:bCs/>
          <w:lang w:val="en-US"/>
        </w:rPr>
      </w:pPr>
      <w:r w:rsidRPr="00AD4F1F">
        <w:rPr>
          <w:rFonts w:ascii="Arial" w:eastAsia="Times New Roman" w:hAnsi="Arial" w:cs="Arial"/>
          <w:bCs/>
          <w:lang w:val="en-US"/>
        </w:rPr>
        <w:t>Sursa datelor: INS Caiet statistic</w:t>
      </w:r>
    </w:p>
    <w:p w:rsidR="00E05CF0" w:rsidRPr="00DD2414" w:rsidRDefault="00E05CF0" w:rsidP="00E05CF0">
      <w:pPr>
        <w:spacing w:after="0" w:line="240" w:lineRule="auto"/>
        <w:jc w:val="both"/>
        <w:rPr>
          <w:rFonts w:ascii="Arial" w:hAnsi="Arial" w:cs="Arial"/>
          <w:bCs/>
          <w:sz w:val="24"/>
          <w:szCs w:val="24"/>
        </w:rPr>
      </w:pPr>
      <w:r w:rsidRPr="00DD2414">
        <w:rPr>
          <w:rFonts w:ascii="Arial" w:hAnsi="Arial" w:cs="Arial"/>
          <w:bCs/>
          <w:sz w:val="24"/>
          <w:szCs w:val="24"/>
        </w:rPr>
        <w:t xml:space="preserve">Ponderea în învățământul liceal teoretic și vocațional situează Regiunea Vest pe ultimul loc (46,9%) cu 3,3 puncte procentuale sub ponderea națională (50,2%). Cea mai </w:t>
      </w:r>
      <w:r w:rsidRPr="00DD2414">
        <w:rPr>
          <w:rFonts w:ascii="Arial" w:hAnsi="Arial" w:cs="Arial"/>
          <w:bCs/>
          <w:sz w:val="24"/>
          <w:szCs w:val="24"/>
        </w:rPr>
        <w:lastRenderedPageBreak/>
        <w:t>ridicată pondere a acestui indicator este în</w:t>
      </w:r>
      <w:r>
        <w:rPr>
          <w:rFonts w:ascii="Arial" w:hAnsi="Arial" w:cs="Arial"/>
          <w:bCs/>
          <w:sz w:val="24"/>
          <w:szCs w:val="24"/>
        </w:rPr>
        <w:t>registrat în Regiunea București</w:t>
      </w:r>
      <w:r w:rsidRPr="00DD2414">
        <w:rPr>
          <w:rFonts w:ascii="Arial" w:hAnsi="Arial" w:cs="Arial"/>
          <w:bCs/>
          <w:sz w:val="24"/>
          <w:szCs w:val="24"/>
        </w:rPr>
        <w:t xml:space="preserve">–Ilfov (64,4%) cu 14,2 puncte procentuale peste ponderea națională, urmată de Regiunea Nord-Vest (51,9%). </w:t>
      </w:r>
    </w:p>
    <w:p w:rsidR="00C86CD6" w:rsidRPr="00E05CF0" w:rsidRDefault="00C86CD6" w:rsidP="000C6A67">
      <w:pPr>
        <w:spacing w:after="0" w:line="240" w:lineRule="auto"/>
        <w:rPr>
          <w:b/>
          <w:lang w:eastAsia="ro-RO"/>
        </w:rPr>
      </w:pPr>
    </w:p>
    <w:p w:rsidR="005D4920" w:rsidRPr="008C756B" w:rsidRDefault="00297EE6" w:rsidP="000C6A67">
      <w:pPr>
        <w:pStyle w:val="Heading3"/>
        <w:spacing w:before="0" w:line="240" w:lineRule="auto"/>
        <w:jc w:val="both"/>
        <w:rPr>
          <w:rFonts w:ascii="Arial" w:hAnsi="Arial" w:cs="Arial"/>
          <w:b w:val="0"/>
          <w:i/>
          <w:color w:val="auto"/>
          <w:sz w:val="24"/>
          <w:szCs w:val="24"/>
          <w:lang w:eastAsia="ro-RO"/>
        </w:rPr>
      </w:pPr>
      <w:bookmarkStart w:id="91" w:name="_Toc488066062"/>
      <w:r w:rsidRPr="008C756B">
        <w:rPr>
          <w:rFonts w:ascii="Arial" w:hAnsi="Arial" w:cs="Arial"/>
          <w:b w:val="0"/>
          <w:i/>
          <w:color w:val="auto"/>
          <w:sz w:val="24"/>
          <w:szCs w:val="24"/>
          <w:lang w:eastAsia="ro-RO"/>
        </w:rPr>
        <w:t>6.1.5. Oferta unităţilor şcolare  din ÎPT - Evoluţia elevilor cuprinşi în învăţământul postliceal</w:t>
      </w:r>
      <w:r w:rsidR="00DF67CA" w:rsidRPr="008C756B">
        <w:rPr>
          <w:rStyle w:val="FootnoteReference"/>
          <w:rFonts w:ascii="Arial" w:hAnsi="Arial" w:cs="Arial"/>
          <w:b w:val="0"/>
          <w:i/>
          <w:color w:val="auto"/>
          <w:sz w:val="24"/>
          <w:szCs w:val="24"/>
          <w:lang w:eastAsia="ro-RO"/>
        </w:rPr>
        <w:footnoteReference w:id="49"/>
      </w:r>
      <w:bookmarkEnd w:id="91"/>
      <w:r w:rsidRPr="008C756B">
        <w:rPr>
          <w:rFonts w:ascii="Arial" w:hAnsi="Arial" w:cs="Arial"/>
          <w:b w:val="0"/>
          <w:i/>
          <w:color w:val="auto"/>
          <w:sz w:val="24"/>
          <w:szCs w:val="24"/>
          <w:lang w:eastAsia="ro-RO"/>
        </w:rPr>
        <w:t xml:space="preserve"> </w:t>
      </w:r>
    </w:p>
    <w:p w:rsidR="005D4920" w:rsidRDefault="005D4920" w:rsidP="008C756B">
      <w:pPr>
        <w:spacing w:after="0" w:line="240" w:lineRule="auto"/>
        <w:jc w:val="both"/>
        <w:rPr>
          <w:rFonts w:ascii="Arial" w:hAnsi="Arial" w:cs="Arial"/>
          <w:sz w:val="24"/>
          <w:szCs w:val="24"/>
          <w:lang w:eastAsia="ro-RO"/>
        </w:rPr>
      </w:pPr>
      <w:r w:rsidRPr="006A43DC">
        <w:rPr>
          <w:rFonts w:ascii="Arial" w:hAnsi="Arial" w:cs="Arial"/>
          <w:sz w:val="24"/>
          <w:szCs w:val="24"/>
          <w:lang w:eastAsia="ro-RO"/>
        </w:rPr>
        <w:t xml:space="preserve">Învățământul postliceal </w:t>
      </w:r>
      <w:r w:rsidR="006A43DC">
        <w:rPr>
          <w:rFonts w:ascii="Arial" w:hAnsi="Arial" w:cs="Arial"/>
          <w:sz w:val="24"/>
          <w:szCs w:val="24"/>
          <w:lang w:eastAsia="ro-RO"/>
        </w:rPr>
        <w:t>este o formă de calificare acce</w:t>
      </w:r>
      <w:r w:rsidRPr="006A43DC">
        <w:rPr>
          <w:rFonts w:ascii="Arial" w:hAnsi="Arial" w:cs="Arial"/>
          <w:sz w:val="24"/>
          <w:szCs w:val="24"/>
          <w:lang w:eastAsia="ro-RO"/>
        </w:rPr>
        <w:t xml:space="preserve">sibilă pentru absolvenții de 12 clase, și pentru cei care nu au obținut diplomă de bacalaureat. Se poate observa o distribuie regionala dezechilibrată chiar și în raport cu populația județelor, cu o ofertă semnificativă și cu tendință de creștere pentru județul Hunedoara. Această evoluție poate însemna existența unor rezerve și la nivelul celorlalte județe pentru a dezvolta ofeta de calificare și pentru acest nivel. </w:t>
      </w:r>
    </w:p>
    <w:p w:rsidR="00E05CF0" w:rsidRDefault="00E05CF0" w:rsidP="008C756B">
      <w:pPr>
        <w:spacing w:after="0" w:line="240" w:lineRule="auto"/>
        <w:jc w:val="both"/>
        <w:rPr>
          <w:rFonts w:ascii="Arial" w:hAnsi="Arial" w:cs="Arial"/>
          <w:sz w:val="24"/>
          <w:szCs w:val="24"/>
          <w:lang w:eastAsia="ro-RO"/>
        </w:rPr>
      </w:pPr>
    </w:p>
    <w:p w:rsidR="008910A2" w:rsidRPr="008C756B" w:rsidRDefault="008910A2" w:rsidP="000C6A67">
      <w:pPr>
        <w:spacing w:after="0" w:line="240" w:lineRule="auto"/>
        <w:jc w:val="center"/>
        <w:rPr>
          <w:rFonts w:ascii="Arial" w:hAnsi="Arial" w:cs="Arial"/>
          <w:lang w:eastAsia="ro-RO"/>
        </w:rPr>
      </w:pPr>
      <w:r w:rsidRPr="008C756B">
        <w:rPr>
          <w:rFonts w:ascii="Arial" w:hAnsi="Arial" w:cs="Arial"/>
          <w:lang w:eastAsia="ro-RO"/>
        </w:rPr>
        <w:t xml:space="preserve">Figura </w:t>
      </w:r>
      <w:r w:rsidR="006F004E">
        <w:rPr>
          <w:rFonts w:ascii="Arial" w:hAnsi="Arial" w:cs="Arial"/>
          <w:lang w:eastAsia="ro-RO"/>
        </w:rPr>
        <w:t>3</w:t>
      </w:r>
      <w:r w:rsidR="009D0DF8">
        <w:rPr>
          <w:rFonts w:ascii="Arial" w:hAnsi="Arial" w:cs="Arial"/>
          <w:lang w:eastAsia="ro-RO"/>
        </w:rPr>
        <w:t>1</w:t>
      </w:r>
      <w:r w:rsidRPr="008C756B">
        <w:rPr>
          <w:rFonts w:ascii="Arial" w:hAnsi="Arial" w:cs="Arial"/>
          <w:lang w:eastAsia="ro-RO"/>
        </w:rPr>
        <w:t>.</w:t>
      </w:r>
    </w:p>
    <w:p w:rsidR="00297EE6" w:rsidRDefault="005D4920" w:rsidP="000C6A67">
      <w:pPr>
        <w:spacing w:after="0" w:line="240" w:lineRule="auto"/>
        <w:rPr>
          <w:lang w:eastAsia="ro-RO"/>
        </w:rPr>
      </w:pPr>
      <w:r>
        <w:rPr>
          <w:noProof/>
          <w:lang w:val="en-US"/>
        </w:rPr>
        <w:drawing>
          <wp:inline distT="0" distB="0" distL="0" distR="0">
            <wp:extent cx="5994400" cy="3024554"/>
            <wp:effectExtent l="19050" t="0" r="25400" b="4396"/>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65493B" w:rsidRDefault="0065493B" w:rsidP="000C6A67">
      <w:pPr>
        <w:pStyle w:val="Heading3"/>
        <w:spacing w:before="0" w:line="240" w:lineRule="auto"/>
        <w:rPr>
          <w:rFonts w:ascii="Arial" w:hAnsi="Arial" w:cs="Arial"/>
          <w:b w:val="0"/>
          <w:i/>
          <w:color w:val="auto"/>
          <w:sz w:val="24"/>
          <w:szCs w:val="24"/>
          <w:lang w:eastAsia="ro-RO"/>
        </w:rPr>
      </w:pPr>
      <w:bookmarkStart w:id="92" w:name="_Toc488066063"/>
    </w:p>
    <w:p w:rsidR="00C86CD6" w:rsidRPr="00AE26F8" w:rsidRDefault="00297EE6" w:rsidP="000C6A67">
      <w:pPr>
        <w:pStyle w:val="Heading3"/>
        <w:spacing w:before="0" w:line="240" w:lineRule="auto"/>
        <w:rPr>
          <w:rFonts w:ascii="Arial" w:hAnsi="Arial" w:cs="Arial"/>
          <w:b w:val="0"/>
          <w:i/>
          <w:color w:val="auto"/>
          <w:sz w:val="24"/>
          <w:szCs w:val="24"/>
          <w:lang w:eastAsia="ro-RO"/>
        </w:rPr>
      </w:pPr>
      <w:r w:rsidRPr="00AE26F8">
        <w:rPr>
          <w:rFonts w:ascii="Arial" w:hAnsi="Arial" w:cs="Arial"/>
          <w:b w:val="0"/>
          <w:i/>
          <w:color w:val="auto"/>
          <w:sz w:val="24"/>
          <w:szCs w:val="24"/>
          <w:lang w:eastAsia="ro-RO"/>
        </w:rPr>
        <w:t>6.1.6</w:t>
      </w:r>
      <w:r w:rsidR="00C86CD6" w:rsidRPr="00AE26F8">
        <w:rPr>
          <w:rFonts w:ascii="Arial" w:hAnsi="Arial" w:cs="Arial"/>
          <w:b w:val="0"/>
          <w:i/>
          <w:color w:val="auto"/>
          <w:sz w:val="24"/>
          <w:szCs w:val="24"/>
          <w:lang w:eastAsia="ro-RO"/>
        </w:rPr>
        <w:t>. Oferta unităţilor şcolare  din ÎPT – Cuprinderea elevilor în învăţământul liceal tehnologic şi învăţământul profesional în anul şcolar 2016-2017</w:t>
      </w:r>
      <w:r w:rsidR="00C86CD6" w:rsidRPr="00AE26F8">
        <w:rPr>
          <w:rStyle w:val="FootnoteReference"/>
          <w:rFonts w:ascii="Arial" w:hAnsi="Arial" w:cs="Arial"/>
          <w:b w:val="0"/>
          <w:i/>
          <w:color w:val="auto"/>
          <w:sz w:val="24"/>
          <w:szCs w:val="24"/>
          <w:lang w:eastAsia="ro-RO"/>
        </w:rPr>
        <w:footnoteReference w:id="50"/>
      </w:r>
      <w:bookmarkEnd w:id="92"/>
      <w:r w:rsidR="00C86CD6" w:rsidRPr="00AE26F8">
        <w:rPr>
          <w:rFonts w:ascii="Arial" w:hAnsi="Arial" w:cs="Arial"/>
          <w:b w:val="0"/>
          <w:i/>
          <w:color w:val="auto"/>
          <w:sz w:val="24"/>
          <w:szCs w:val="24"/>
          <w:lang w:eastAsia="ro-RO"/>
        </w:rPr>
        <w:t xml:space="preserve"> </w:t>
      </w:r>
    </w:p>
    <w:p w:rsidR="003A66CC" w:rsidRPr="00AE26F8" w:rsidRDefault="003A66CC" w:rsidP="000C6A67">
      <w:pPr>
        <w:tabs>
          <w:tab w:val="left" w:pos="810"/>
          <w:tab w:val="left" w:pos="990"/>
          <w:tab w:val="left" w:pos="1170"/>
          <w:tab w:val="left" w:pos="1530"/>
          <w:tab w:val="left" w:pos="1815"/>
        </w:tabs>
        <w:spacing w:after="0" w:line="240" w:lineRule="auto"/>
        <w:jc w:val="both"/>
        <w:rPr>
          <w:rFonts w:ascii="Arial" w:eastAsia="Calibri" w:hAnsi="Arial" w:cs="Arial"/>
          <w:sz w:val="24"/>
          <w:szCs w:val="24"/>
        </w:rPr>
      </w:pPr>
      <w:r w:rsidRPr="00AE26F8">
        <w:rPr>
          <w:rFonts w:ascii="Arial" w:hAnsi="Arial" w:cs="Arial"/>
          <w:sz w:val="24"/>
          <w:szCs w:val="24"/>
        </w:rPr>
        <w:t>In</w:t>
      </w:r>
      <w:r w:rsidRPr="00AE26F8">
        <w:rPr>
          <w:rFonts w:ascii="Arial" w:eastAsia="Calibri" w:hAnsi="Arial" w:cs="Arial"/>
          <w:sz w:val="24"/>
          <w:szCs w:val="24"/>
        </w:rPr>
        <w:t xml:space="preserve"> unităţile şcolare din </w:t>
      </w:r>
      <w:r w:rsidRPr="00AE26F8">
        <w:rPr>
          <w:rFonts w:ascii="Arial" w:hAnsi="Arial" w:cs="Arial"/>
          <w:sz w:val="24"/>
          <w:szCs w:val="24"/>
        </w:rPr>
        <w:t>Regiunea Vest au fost cuprinși în clasa a IX-a zi în anul şcolar 2016-2017,  14.322</w:t>
      </w:r>
      <w:r w:rsidRPr="00AE26F8">
        <w:rPr>
          <w:rFonts w:ascii="Arial" w:eastAsia="Calibri" w:hAnsi="Arial" w:cs="Arial"/>
          <w:sz w:val="24"/>
          <w:szCs w:val="24"/>
        </w:rPr>
        <w:t xml:space="preserve"> de elevi, </w:t>
      </w:r>
      <w:r w:rsidRPr="00AE26F8">
        <w:rPr>
          <w:rFonts w:ascii="Arial" w:hAnsi="Arial" w:cs="Arial"/>
          <w:sz w:val="24"/>
          <w:szCs w:val="24"/>
        </w:rPr>
        <w:t>din care 7.350 elevi în învățământul liceal teoretic și vocaţional (51,3%) și 6.972 elevi în  învațământul liceal tehnologic și profesional.</w:t>
      </w:r>
    </w:p>
    <w:p w:rsidR="000C5E1A" w:rsidRPr="00AE26F8" w:rsidRDefault="003A66CC" w:rsidP="000C6A67">
      <w:pPr>
        <w:tabs>
          <w:tab w:val="left" w:pos="810"/>
          <w:tab w:val="left" w:pos="990"/>
          <w:tab w:val="left" w:pos="1170"/>
          <w:tab w:val="left" w:pos="1440"/>
          <w:tab w:val="left" w:pos="1800"/>
        </w:tabs>
        <w:spacing w:after="0" w:line="240" w:lineRule="auto"/>
        <w:jc w:val="both"/>
        <w:rPr>
          <w:rFonts w:ascii="Arial" w:hAnsi="Arial" w:cs="Arial"/>
          <w:sz w:val="24"/>
          <w:szCs w:val="24"/>
        </w:rPr>
      </w:pPr>
      <w:r w:rsidRPr="00AE26F8">
        <w:rPr>
          <w:rFonts w:ascii="Arial" w:eastAsia="Calibri" w:hAnsi="Arial" w:cs="Arial"/>
          <w:sz w:val="24"/>
          <w:szCs w:val="24"/>
        </w:rPr>
        <w:t xml:space="preserve">Analiza  planului  de școlarizare </w:t>
      </w:r>
      <w:r w:rsidRPr="00AE26F8">
        <w:rPr>
          <w:rFonts w:ascii="Arial" w:hAnsi="Arial" w:cs="Arial"/>
          <w:sz w:val="24"/>
          <w:szCs w:val="24"/>
        </w:rPr>
        <w:t xml:space="preserve">realizat la clasa </w:t>
      </w:r>
      <w:r w:rsidRPr="00AE26F8">
        <w:rPr>
          <w:rFonts w:ascii="Arial" w:hAnsi="Arial" w:cs="Arial"/>
          <w:b/>
          <w:sz w:val="24"/>
          <w:szCs w:val="24"/>
        </w:rPr>
        <w:t>a IX-a zi în anul şcolar 2016-2017</w:t>
      </w:r>
      <w:r w:rsidRPr="00AE26F8">
        <w:rPr>
          <w:rFonts w:ascii="Arial" w:hAnsi="Arial" w:cs="Arial"/>
          <w:sz w:val="24"/>
          <w:szCs w:val="24"/>
        </w:rPr>
        <w:t xml:space="preserve"> la nivelul regiunii  </w:t>
      </w:r>
      <w:r w:rsidRPr="00AE26F8">
        <w:rPr>
          <w:rFonts w:ascii="Arial" w:eastAsia="Calibri" w:hAnsi="Arial" w:cs="Arial"/>
          <w:sz w:val="24"/>
          <w:szCs w:val="24"/>
        </w:rPr>
        <w:t xml:space="preserve">scoate în evidență </w:t>
      </w:r>
      <w:r w:rsidRPr="00AE26F8">
        <w:rPr>
          <w:rFonts w:ascii="Arial" w:hAnsi="Arial" w:cs="Arial"/>
          <w:sz w:val="24"/>
          <w:szCs w:val="24"/>
        </w:rPr>
        <w:t xml:space="preserve">faptul </w:t>
      </w:r>
      <w:r w:rsidRPr="00AE26F8">
        <w:rPr>
          <w:rFonts w:ascii="Arial" w:eastAsia="Calibri" w:hAnsi="Arial" w:cs="Arial"/>
          <w:sz w:val="24"/>
          <w:szCs w:val="24"/>
        </w:rPr>
        <w:t xml:space="preserve">că în învățământul </w:t>
      </w:r>
      <w:r w:rsidRPr="00AE26F8">
        <w:rPr>
          <w:rFonts w:ascii="Arial" w:hAnsi="Arial" w:cs="Arial"/>
          <w:sz w:val="24"/>
          <w:szCs w:val="24"/>
        </w:rPr>
        <w:t xml:space="preserve">liceal tehnologic și profesional </w:t>
      </w:r>
      <w:r w:rsidRPr="00AE26F8">
        <w:rPr>
          <w:rFonts w:ascii="Arial" w:eastAsia="Calibri" w:hAnsi="Arial" w:cs="Arial"/>
          <w:sz w:val="24"/>
          <w:szCs w:val="24"/>
        </w:rPr>
        <w:t xml:space="preserve"> ponderea de </w:t>
      </w:r>
      <w:r w:rsidRPr="00AE26F8">
        <w:rPr>
          <w:rFonts w:ascii="Arial" w:eastAsia="Times New Roman" w:hAnsi="Arial" w:cs="Arial"/>
          <w:sz w:val="24"/>
          <w:szCs w:val="24"/>
          <w:lang w:val="en-US"/>
        </w:rPr>
        <w:t xml:space="preserve">48,7% </w:t>
      </w:r>
      <w:r w:rsidRPr="00AE26F8">
        <w:rPr>
          <w:rFonts w:ascii="Arial" w:eastAsia="Calibri" w:hAnsi="Arial" w:cs="Arial"/>
          <w:sz w:val="24"/>
          <w:szCs w:val="24"/>
        </w:rPr>
        <w:t>din totalul elevilor de clasa a IX-a, este distribuită astfel:</w:t>
      </w:r>
      <w:r w:rsidR="00D76ECC" w:rsidRPr="00AE26F8">
        <w:rPr>
          <w:rFonts w:ascii="Arial" w:eastAsia="Calibri" w:hAnsi="Arial" w:cs="Arial"/>
          <w:sz w:val="24"/>
          <w:szCs w:val="24"/>
        </w:rPr>
        <w:t xml:space="preserve"> </w:t>
      </w:r>
      <w:r w:rsidRPr="00AE26F8">
        <w:rPr>
          <w:rFonts w:ascii="Arial" w:eastAsia="Calibri" w:hAnsi="Arial" w:cs="Arial"/>
          <w:sz w:val="24"/>
          <w:szCs w:val="24"/>
        </w:rPr>
        <w:t>3</w:t>
      </w:r>
      <w:r w:rsidRPr="00AE26F8">
        <w:rPr>
          <w:rFonts w:ascii="Arial" w:hAnsi="Arial" w:cs="Arial"/>
          <w:sz w:val="24"/>
          <w:szCs w:val="24"/>
        </w:rPr>
        <w:t>2</w:t>
      </w:r>
      <w:r w:rsidRPr="00AE26F8">
        <w:rPr>
          <w:rFonts w:ascii="Arial" w:eastAsia="Calibri" w:hAnsi="Arial" w:cs="Arial"/>
          <w:sz w:val="24"/>
          <w:szCs w:val="24"/>
        </w:rPr>
        <w:t>,</w:t>
      </w:r>
      <w:r w:rsidRPr="00AE26F8">
        <w:rPr>
          <w:rFonts w:ascii="Arial" w:hAnsi="Arial" w:cs="Arial"/>
          <w:sz w:val="24"/>
          <w:szCs w:val="24"/>
        </w:rPr>
        <w:t>9</w:t>
      </w:r>
      <w:r w:rsidRPr="00AE26F8">
        <w:rPr>
          <w:rFonts w:ascii="Arial" w:eastAsia="Calibri" w:hAnsi="Arial" w:cs="Arial"/>
          <w:sz w:val="24"/>
          <w:szCs w:val="24"/>
        </w:rPr>
        <w:t xml:space="preserve">% în liceu filieră tehnologică și </w:t>
      </w:r>
      <w:r w:rsidRPr="00AE26F8">
        <w:rPr>
          <w:rFonts w:ascii="Arial" w:hAnsi="Arial" w:cs="Arial"/>
          <w:sz w:val="24"/>
          <w:szCs w:val="24"/>
        </w:rPr>
        <w:t>15,7</w:t>
      </w:r>
      <w:r w:rsidRPr="00AE26F8">
        <w:rPr>
          <w:rFonts w:ascii="Arial" w:eastAsia="Calibri" w:hAnsi="Arial" w:cs="Arial"/>
          <w:sz w:val="24"/>
          <w:szCs w:val="24"/>
        </w:rPr>
        <w:t xml:space="preserve">% </w:t>
      </w:r>
      <w:r w:rsidRPr="00AE26F8">
        <w:rPr>
          <w:rFonts w:ascii="Arial" w:hAnsi="Arial" w:cs="Arial"/>
          <w:sz w:val="24"/>
          <w:szCs w:val="24"/>
        </w:rPr>
        <w:t>î</w:t>
      </w:r>
      <w:r w:rsidRPr="00AE26F8">
        <w:rPr>
          <w:rFonts w:ascii="Arial" w:eastAsia="Calibri" w:hAnsi="Arial" w:cs="Arial"/>
          <w:sz w:val="24"/>
          <w:szCs w:val="24"/>
        </w:rPr>
        <w:t xml:space="preserve">n </w:t>
      </w:r>
      <w:r w:rsidRPr="00AE26F8">
        <w:rPr>
          <w:rFonts w:ascii="Arial" w:hAnsi="Arial" w:cs="Arial"/>
          <w:sz w:val="24"/>
          <w:szCs w:val="24"/>
        </w:rPr>
        <w:t>învățământul profesional</w:t>
      </w:r>
      <w:r w:rsidRPr="00AE26F8">
        <w:rPr>
          <w:rFonts w:ascii="Arial" w:eastAsia="Calibri" w:hAnsi="Arial" w:cs="Arial"/>
          <w:sz w:val="24"/>
          <w:szCs w:val="24"/>
        </w:rPr>
        <w:t>.</w:t>
      </w:r>
      <w:r w:rsidRPr="00AE26F8">
        <w:rPr>
          <w:rFonts w:ascii="Arial" w:hAnsi="Arial" w:cs="Arial"/>
          <w:sz w:val="24"/>
          <w:szCs w:val="24"/>
        </w:rPr>
        <w:t xml:space="preserve"> </w:t>
      </w:r>
    </w:p>
    <w:p w:rsidR="003A66CC" w:rsidRDefault="003A66CC" w:rsidP="000C6A67">
      <w:pPr>
        <w:spacing w:after="0" w:line="240" w:lineRule="auto"/>
        <w:jc w:val="both"/>
        <w:rPr>
          <w:rFonts w:ascii="Arial" w:hAnsi="Arial" w:cs="Arial"/>
          <w:sz w:val="24"/>
          <w:szCs w:val="24"/>
        </w:rPr>
      </w:pPr>
      <w:r w:rsidRPr="00AE26F8">
        <w:rPr>
          <w:rFonts w:ascii="Arial" w:hAnsi="Arial" w:cs="Arial"/>
          <w:sz w:val="24"/>
          <w:szCs w:val="24"/>
        </w:rPr>
        <w:t>În cele patru județe ale regiunii, propunerile privind proiectul planului de şcolarizare la clasa a IX-a zi pentru anul şcolar 2017-2018 în învațământul liceal tehnologic și profesional s-a realizat pe baza nevoilor pieței muncii și a tendințelor de dezvoltare, conform documentelor de planificare, precum și pe baza solicitarilor operatorilor economici.</w:t>
      </w:r>
    </w:p>
    <w:p w:rsidR="000C5E1A" w:rsidRPr="00AE26F8" w:rsidRDefault="000C5E1A" w:rsidP="000C6A67">
      <w:pPr>
        <w:spacing w:after="0" w:line="240" w:lineRule="auto"/>
        <w:jc w:val="both"/>
        <w:rPr>
          <w:rFonts w:ascii="Arial" w:hAnsi="Arial" w:cs="Arial"/>
          <w:sz w:val="24"/>
          <w:szCs w:val="24"/>
        </w:rPr>
      </w:pPr>
    </w:p>
    <w:p w:rsidR="000C5E1A" w:rsidRDefault="003A66CC" w:rsidP="000C6A67">
      <w:pPr>
        <w:spacing w:after="0" w:line="240" w:lineRule="auto"/>
        <w:jc w:val="both"/>
        <w:rPr>
          <w:rFonts w:ascii="Arial" w:hAnsi="Arial" w:cs="Arial"/>
          <w:sz w:val="24"/>
          <w:szCs w:val="24"/>
        </w:rPr>
      </w:pPr>
      <w:r w:rsidRPr="00AE26F8">
        <w:rPr>
          <w:rFonts w:ascii="Arial" w:eastAsia="Times New Roman" w:hAnsi="Arial" w:cs="Arial"/>
          <w:bCs/>
          <w:sz w:val="24"/>
          <w:szCs w:val="24"/>
          <w:lang w:val="en-US"/>
        </w:rPr>
        <w:lastRenderedPageBreak/>
        <w:t>La nivelul Regiunii Vest av</w:t>
      </w:r>
      <w:r w:rsidR="00F029F0" w:rsidRPr="00AE26F8">
        <w:rPr>
          <w:rFonts w:ascii="Arial" w:eastAsia="Times New Roman" w:hAnsi="Arial" w:cs="Arial"/>
          <w:bCs/>
          <w:sz w:val="24"/>
          <w:szCs w:val="24"/>
          <w:lang w:val="en-US"/>
        </w:rPr>
        <w:t>em o oferta cu ponderea de 50,7</w:t>
      </w:r>
      <w:r w:rsidRPr="00AE26F8">
        <w:rPr>
          <w:rFonts w:ascii="Arial" w:eastAsia="Times New Roman" w:hAnsi="Arial" w:cs="Arial"/>
          <w:bCs/>
          <w:sz w:val="24"/>
          <w:szCs w:val="24"/>
          <w:lang w:val="en-US"/>
        </w:rPr>
        <w:t xml:space="preserve">% </w:t>
      </w:r>
      <w:r w:rsidRPr="00AE26F8">
        <w:rPr>
          <w:rFonts w:ascii="Arial" w:hAnsi="Arial" w:cs="Arial"/>
          <w:sz w:val="24"/>
          <w:szCs w:val="24"/>
        </w:rPr>
        <w:t>(</w:t>
      </w:r>
      <w:r w:rsidRPr="00AE26F8">
        <w:rPr>
          <w:rFonts w:ascii="Arial" w:eastAsia="Times New Roman" w:hAnsi="Arial" w:cs="Arial"/>
          <w:bCs/>
          <w:sz w:val="24"/>
          <w:szCs w:val="24"/>
          <w:lang w:val="en-US"/>
        </w:rPr>
        <w:t>î</w:t>
      </w:r>
      <w:r w:rsidR="000C5E1A">
        <w:rPr>
          <w:rFonts w:ascii="Arial" w:eastAsia="Times New Roman" w:hAnsi="Arial" w:cs="Arial"/>
          <w:bCs/>
          <w:sz w:val="24"/>
          <w:szCs w:val="24"/>
          <w:lang w:val="en-US"/>
        </w:rPr>
        <w:t>nvăţământ liceal tehnologic și învăţământ profesional</w:t>
      </w:r>
      <w:r w:rsidR="000C5E1A">
        <w:rPr>
          <w:rFonts w:ascii="Arial" w:hAnsi="Arial" w:cs="Arial"/>
          <w:sz w:val="24"/>
          <w:szCs w:val="24"/>
        </w:rPr>
        <w:t xml:space="preserve">), </w:t>
      </w:r>
      <w:r w:rsidR="000C5E1A" w:rsidRPr="000C5E1A">
        <w:rPr>
          <w:rFonts w:ascii="Arial" w:hAnsi="Arial" w:cs="Arial"/>
          <w:b/>
          <w:sz w:val="24"/>
          <w:szCs w:val="24"/>
        </w:rPr>
        <w:t>față</w:t>
      </w:r>
      <w:r w:rsidRPr="000C5E1A">
        <w:rPr>
          <w:rFonts w:ascii="Arial" w:hAnsi="Arial" w:cs="Arial"/>
          <w:b/>
          <w:sz w:val="24"/>
          <w:szCs w:val="24"/>
        </w:rPr>
        <w:t xml:space="preserve"> de </w:t>
      </w:r>
      <w:r w:rsidR="00D76ECC" w:rsidRPr="000C5E1A">
        <w:rPr>
          <w:rFonts w:ascii="Arial" w:hAnsi="Arial" w:cs="Arial"/>
          <w:b/>
          <w:sz w:val="24"/>
          <w:szCs w:val="24"/>
        </w:rPr>
        <w:t>ț</w:t>
      </w:r>
      <w:r w:rsidRPr="000C5E1A">
        <w:rPr>
          <w:rFonts w:ascii="Arial" w:hAnsi="Arial" w:cs="Arial"/>
          <w:b/>
          <w:sz w:val="24"/>
          <w:szCs w:val="24"/>
        </w:rPr>
        <w:t>inta de 60%,</w:t>
      </w:r>
      <w:r w:rsidRPr="00AE26F8">
        <w:rPr>
          <w:rFonts w:ascii="Arial" w:hAnsi="Arial" w:cs="Arial"/>
          <w:sz w:val="24"/>
          <w:szCs w:val="24"/>
        </w:rPr>
        <w:t xml:space="preserve"> </w:t>
      </w:r>
      <w:r w:rsidR="00D76ECC" w:rsidRPr="00AE26F8">
        <w:rPr>
          <w:rFonts w:ascii="Arial" w:hAnsi="Arial" w:cs="Arial"/>
          <w:sz w:val="24"/>
          <w:szCs w:val="24"/>
        </w:rPr>
        <w:t>î</w:t>
      </w:r>
      <w:r w:rsidRPr="00AE26F8">
        <w:rPr>
          <w:rFonts w:ascii="Arial" w:hAnsi="Arial" w:cs="Arial"/>
          <w:sz w:val="24"/>
          <w:szCs w:val="24"/>
        </w:rPr>
        <w:t>nsemn</w:t>
      </w:r>
      <w:r w:rsidR="00D76ECC" w:rsidRPr="00AE26F8">
        <w:rPr>
          <w:rFonts w:ascii="Arial" w:hAnsi="Arial" w:cs="Arial"/>
          <w:sz w:val="24"/>
          <w:szCs w:val="24"/>
        </w:rPr>
        <w:t>â</w:t>
      </w:r>
      <w:r w:rsidRPr="00AE26F8">
        <w:rPr>
          <w:rFonts w:ascii="Arial" w:hAnsi="Arial" w:cs="Arial"/>
          <w:sz w:val="24"/>
          <w:szCs w:val="24"/>
        </w:rPr>
        <w:t>nd o diferen</w:t>
      </w:r>
      <w:r w:rsidR="00D76ECC" w:rsidRPr="00AE26F8">
        <w:rPr>
          <w:rFonts w:ascii="Arial" w:hAnsi="Arial" w:cs="Arial"/>
          <w:sz w:val="24"/>
          <w:szCs w:val="24"/>
        </w:rPr>
        <w:t>ță</w:t>
      </w:r>
      <w:r w:rsidRPr="00AE26F8">
        <w:rPr>
          <w:rFonts w:ascii="Arial" w:hAnsi="Arial" w:cs="Arial"/>
          <w:sz w:val="24"/>
          <w:szCs w:val="24"/>
        </w:rPr>
        <w:t xml:space="preserve"> de 9 puncte procentuale. </w:t>
      </w:r>
    </w:p>
    <w:p w:rsidR="003A66CC" w:rsidRDefault="003A66CC" w:rsidP="000C6A67">
      <w:pPr>
        <w:spacing w:after="0" w:line="240" w:lineRule="auto"/>
        <w:jc w:val="both"/>
        <w:rPr>
          <w:rFonts w:ascii="Arial" w:eastAsia="Calibri" w:hAnsi="Arial" w:cs="Arial"/>
          <w:b/>
          <w:sz w:val="24"/>
          <w:szCs w:val="24"/>
        </w:rPr>
      </w:pPr>
      <w:r w:rsidRPr="00AE26F8">
        <w:rPr>
          <w:rFonts w:ascii="Arial" w:hAnsi="Arial" w:cs="Arial"/>
          <w:sz w:val="24"/>
          <w:szCs w:val="24"/>
        </w:rPr>
        <w:t>Av</w:t>
      </w:r>
      <w:r w:rsidR="00D76ECC" w:rsidRPr="00AE26F8">
        <w:rPr>
          <w:rFonts w:ascii="Arial" w:hAnsi="Arial" w:cs="Arial"/>
          <w:sz w:val="24"/>
          <w:szCs w:val="24"/>
        </w:rPr>
        <w:t>â</w:t>
      </w:r>
      <w:r w:rsidRPr="00AE26F8">
        <w:rPr>
          <w:rFonts w:ascii="Arial" w:hAnsi="Arial" w:cs="Arial"/>
          <w:sz w:val="24"/>
          <w:szCs w:val="24"/>
        </w:rPr>
        <w:t xml:space="preserve">nd </w:t>
      </w:r>
      <w:r w:rsidR="00D76ECC" w:rsidRPr="00AE26F8">
        <w:rPr>
          <w:rFonts w:ascii="Arial" w:hAnsi="Arial" w:cs="Arial"/>
          <w:sz w:val="24"/>
          <w:szCs w:val="24"/>
        </w:rPr>
        <w:t>î</w:t>
      </w:r>
      <w:r w:rsidRPr="00AE26F8">
        <w:rPr>
          <w:rFonts w:ascii="Arial" w:hAnsi="Arial" w:cs="Arial"/>
          <w:sz w:val="24"/>
          <w:szCs w:val="24"/>
        </w:rPr>
        <w:t>n vedere faptul c</w:t>
      </w:r>
      <w:r w:rsidR="00D76ECC" w:rsidRPr="00AE26F8">
        <w:rPr>
          <w:rFonts w:ascii="Arial" w:hAnsi="Arial" w:cs="Arial"/>
          <w:sz w:val="24"/>
          <w:szCs w:val="24"/>
        </w:rPr>
        <w:t>ă</w:t>
      </w:r>
      <w:r w:rsidRPr="00AE26F8">
        <w:rPr>
          <w:rFonts w:ascii="Arial" w:hAnsi="Arial" w:cs="Arial"/>
          <w:sz w:val="24"/>
          <w:szCs w:val="24"/>
        </w:rPr>
        <w:t xml:space="preserve"> num</w:t>
      </w:r>
      <w:r w:rsidR="00D76ECC" w:rsidRPr="00AE26F8">
        <w:rPr>
          <w:rFonts w:ascii="Arial" w:hAnsi="Arial" w:cs="Arial"/>
          <w:sz w:val="24"/>
          <w:szCs w:val="24"/>
        </w:rPr>
        <w:t>ă</w:t>
      </w:r>
      <w:r w:rsidRPr="00AE26F8">
        <w:rPr>
          <w:rFonts w:ascii="Arial" w:hAnsi="Arial" w:cs="Arial"/>
          <w:sz w:val="24"/>
          <w:szCs w:val="24"/>
        </w:rPr>
        <w:t>rul total de elevi la nivel regional di</w:t>
      </w:r>
      <w:r w:rsidR="000C5E1A">
        <w:rPr>
          <w:rFonts w:ascii="Arial" w:hAnsi="Arial" w:cs="Arial"/>
          <w:sz w:val="24"/>
          <w:szCs w:val="24"/>
        </w:rPr>
        <w:t>n oferta pentru anul şcolar 2016-2017</w:t>
      </w:r>
      <w:r w:rsidRPr="00AE26F8">
        <w:rPr>
          <w:rFonts w:ascii="Arial" w:eastAsia="Calibri" w:hAnsi="Arial" w:cs="Arial"/>
          <w:sz w:val="24"/>
          <w:szCs w:val="24"/>
        </w:rPr>
        <w:t xml:space="preserve"> este de</w:t>
      </w:r>
      <w:r w:rsidR="000C5E1A">
        <w:rPr>
          <w:rFonts w:ascii="Arial" w:eastAsia="Calibri" w:hAnsi="Arial" w:cs="Arial"/>
          <w:sz w:val="24"/>
          <w:szCs w:val="24"/>
        </w:rPr>
        <w:t xml:space="preserve"> aproximativ</w:t>
      </w:r>
      <w:r w:rsidRPr="00AE26F8">
        <w:rPr>
          <w:rFonts w:ascii="Arial" w:eastAsia="Calibri" w:hAnsi="Arial" w:cs="Arial"/>
          <w:sz w:val="24"/>
          <w:szCs w:val="24"/>
        </w:rPr>
        <w:t xml:space="preserve"> 15</w:t>
      </w:r>
      <w:r w:rsidR="00D76ECC" w:rsidRPr="00AE26F8">
        <w:rPr>
          <w:rFonts w:ascii="Arial" w:eastAsia="Calibri" w:hAnsi="Arial" w:cs="Arial"/>
          <w:sz w:val="24"/>
          <w:szCs w:val="24"/>
        </w:rPr>
        <w:t>.</w:t>
      </w:r>
      <w:r w:rsidR="000C5E1A">
        <w:rPr>
          <w:rFonts w:ascii="Arial" w:eastAsia="Calibri" w:hAnsi="Arial" w:cs="Arial"/>
          <w:sz w:val="24"/>
          <w:szCs w:val="24"/>
        </w:rPr>
        <w:t>000 de</w:t>
      </w:r>
      <w:r w:rsidRPr="00AE26F8">
        <w:rPr>
          <w:rFonts w:ascii="Arial" w:eastAsia="Calibri" w:hAnsi="Arial" w:cs="Arial"/>
          <w:sz w:val="24"/>
          <w:szCs w:val="24"/>
        </w:rPr>
        <w:t xml:space="preserve"> elevi, echivalentul a 5</w:t>
      </w:r>
      <w:r w:rsidR="000C5E1A">
        <w:rPr>
          <w:rFonts w:ascii="Arial" w:eastAsia="Calibri" w:hAnsi="Arial" w:cs="Arial"/>
          <w:sz w:val="24"/>
          <w:szCs w:val="24"/>
        </w:rPr>
        <w:t>35</w:t>
      </w:r>
      <w:r w:rsidRPr="00AE26F8">
        <w:rPr>
          <w:rFonts w:ascii="Arial" w:eastAsia="Calibri" w:hAnsi="Arial" w:cs="Arial"/>
          <w:sz w:val="24"/>
          <w:szCs w:val="24"/>
        </w:rPr>
        <w:t xml:space="preserve"> de clase, cre</w:t>
      </w:r>
      <w:r w:rsidR="00D76ECC" w:rsidRPr="00AE26F8">
        <w:rPr>
          <w:rFonts w:ascii="Arial" w:eastAsia="Calibri" w:hAnsi="Arial" w:cs="Arial"/>
          <w:sz w:val="24"/>
          <w:szCs w:val="24"/>
        </w:rPr>
        <w:t>ș</w:t>
      </w:r>
      <w:r w:rsidRPr="00AE26F8">
        <w:rPr>
          <w:rFonts w:ascii="Arial" w:eastAsia="Calibri" w:hAnsi="Arial" w:cs="Arial"/>
          <w:sz w:val="24"/>
          <w:szCs w:val="24"/>
        </w:rPr>
        <w:t>terea dorit</w:t>
      </w:r>
      <w:r w:rsidR="00D76ECC" w:rsidRPr="00AE26F8">
        <w:rPr>
          <w:rFonts w:ascii="Arial" w:eastAsia="Calibri" w:hAnsi="Arial" w:cs="Arial"/>
          <w:sz w:val="24"/>
          <w:szCs w:val="24"/>
        </w:rPr>
        <w:t>ă</w:t>
      </w:r>
      <w:r w:rsidRPr="00AE26F8">
        <w:rPr>
          <w:rFonts w:ascii="Arial" w:eastAsia="Calibri" w:hAnsi="Arial" w:cs="Arial"/>
          <w:sz w:val="24"/>
          <w:szCs w:val="24"/>
        </w:rPr>
        <w:t xml:space="preserve"> pentru a atinge </w:t>
      </w:r>
      <w:r w:rsidR="00D76ECC" w:rsidRPr="00AE26F8">
        <w:rPr>
          <w:rFonts w:ascii="Arial" w:eastAsia="Calibri" w:hAnsi="Arial" w:cs="Arial"/>
          <w:sz w:val="24"/>
          <w:szCs w:val="24"/>
        </w:rPr>
        <w:t>ț</w:t>
      </w:r>
      <w:r w:rsidRPr="00AE26F8">
        <w:rPr>
          <w:rFonts w:ascii="Arial" w:eastAsia="Calibri" w:hAnsi="Arial" w:cs="Arial"/>
          <w:sz w:val="24"/>
          <w:szCs w:val="24"/>
        </w:rPr>
        <w:t>inta propus</w:t>
      </w:r>
      <w:r w:rsidR="00D76ECC" w:rsidRPr="00AE26F8">
        <w:rPr>
          <w:rFonts w:ascii="Arial" w:eastAsia="Calibri" w:hAnsi="Arial" w:cs="Arial"/>
          <w:sz w:val="24"/>
          <w:szCs w:val="24"/>
        </w:rPr>
        <w:t>ă</w:t>
      </w:r>
      <w:r w:rsidRPr="00AE26F8">
        <w:rPr>
          <w:rFonts w:ascii="Arial" w:eastAsia="Calibri" w:hAnsi="Arial" w:cs="Arial"/>
          <w:sz w:val="24"/>
          <w:szCs w:val="24"/>
        </w:rPr>
        <w:t xml:space="preserve">, </w:t>
      </w:r>
      <w:r w:rsidR="00D76ECC" w:rsidRPr="00AE26F8">
        <w:rPr>
          <w:rFonts w:ascii="Arial" w:eastAsia="Calibri" w:hAnsi="Arial" w:cs="Arial"/>
          <w:sz w:val="24"/>
          <w:szCs w:val="24"/>
        </w:rPr>
        <w:t>î</w:t>
      </w:r>
      <w:r w:rsidRPr="00AE26F8">
        <w:rPr>
          <w:rFonts w:ascii="Arial" w:eastAsia="Calibri" w:hAnsi="Arial" w:cs="Arial"/>
          <w:sz w:val="24"/>
          <w:szCs w:val="24"/>
        </w:rPr>
        <w:t>nseamn</w:t>
      </w:r>
      <w:r w:rsidR="00D76ECC" w:rsidRPr="00AE26F8">
        <w:rPr>
          <w:rFonts w:ascii="Arial" w:eastAsia="Calibri" w:hAnsi="Arial" w:cs="Arial"/>
          <w:sz w:val="24"/>
          <w:szCs w:val="24"/>
        </w:rPr>
        <w:t>ă</w:t>
      </w:r>
      <w:r w:rsidR="000C5E1A">
        <w:rPr>
          <w:rFonts w:ascii="Arial" w:eastAsia="Calibri" w:hAnsi="Arial" w:cs="Arial"/>
          <w:sz w:val="24"/>
          <w:szCs w:val="24"/>
        </w:rPr>
        <w:t xml:space="preserve"> peste</w:t>
      </w:r>
      <w:r w:rsidRPr="00AE26F8">
        <w:rPr>
          <w:rFonts w:ascii="Arial" w:eastAsia="Calibri" w:hAnsi="Arial" w:cs="Arial"/>
          <w:sz w:val="24"/>
          <w:szCs w:val="24"/>
        </w:rPr>
        <w:t xml:space="preserve"> </w:t>
      </w:r>
      <w:r w:rsidRPr="00AE26F8">
        <w:rPr>
          <w:rFonts w:ascii="Arial" w:eastAsia="Calibri" w:hAnsi="Arial" w:cs="Arial"/>
          <w:b/>
          <w:sz w:val="24"/>
          <w:szCs w:val="24"/>
        </w:rPr>
        <w:t xml:space="preserve">50 de clase, care ar trebui sa fie cuprinse </w:t>
      </w:r>
      <w:r w:rsidR="00D76ECC" w:rsidRPr="00AE26F8">
        <w:rPr>
          <w:rFonts w:ascii="Arial" w:eastAsia="Calibri" w:hAnsi="Arial" w:cs="Arial"/>
          <w:b/>
          <w:sz w:val="24"/>
          <w:szCs w:val="24"/>
        </w:rPr>
        <w:t>î</w:t>
      </w:r>
      <w:r w:rsidRPr="00AE26F8">
        <w:rPr>
          <w:rFonts w:ascii="Arial" w:eastAsia="Calibri" w:hAnsi="Arial" w:cs="Arial"/>
          <w:b/>
          <w:sz w:val="24"/>
          <w:szCs w:val="24"/>
        </w:rPr>
        <w:t>n oferta regiunii p</w:t>
      </w:r>
      <w:r w:rsidR="00F029F0" w:rsidRPr="00AE26F8">
        <w:rPr>
          <w:rFonts w:ascii="Arial" w:eastAsia="Calibri" w:hAnsi="Arial" w:cs="Arial"/>
          <w:b/>
          <w:sz w:val="24"/>
          <w:szCs w:val="24"/>
        </w:rPr>
        <w:t xml:space="preserve">entru ruta IPT, </w:t>
      </w:r>
      <w:r w:rsidR="00D76ECC" w:rsidRPr="00AE26F8">
        <w:rPr>
          <w:rFonts w:ascii="Arial" w:eastAsia="Calibri" w:hAnsi="Arial" w:cs="Arial"/>
          <w:b/>
          <w:sz w:val="24"/>
          <w:szCs w:val="24"/>
        </w:rPr>
        <w:t>î</w:t>
      </w:r>
      <w:r w:rsidR="00F029F0" w:rsidRPr="00AE26F8">
        <w:rPr>
          <w:rFonts w:ascii="Arial" w:eastAsia="Calibri" w:hAnsi="Arial" w:cs="Arial"/>
          <w:b/>
          <w:sz w:val="24"/>
          <w:szCs w:val="24"/>
        </w:rPr>
        <w:t>n defavoarea li</w:t>
      </w:r>
      <w:r w:rsidRPr="00AE26F8">
        <w:rPr>
          <w:rFonts w:ascii="Arial" w:eastAsia="Calibri" w:hAnsi="Arial" w:cs="Arial"/>
          <w:b/>
          <w:sz w:val="24"/>
          <w:szCs w:val="24"/>
        </w:rPr>
        <w:t xml:space="preserve">ceului teoretic </w:t>
      </w:r>
      <w:r w:rsidR="00D76ECC" w:rsidRPr="00AE26F8">
        <w:rPr>
          <w:rFonts w:ascii="Arial" w:eastAsia="Calibri" w:hAnsi="Arial" w:cs="Arial"/>
          <w:b/>
          <w:sz w:val="24"/>
          <w:szCs w:val="24"/>
        </w:rPr>
        <w:t>ș</w:t>
      </w:r>
      <w:r w:rsidRPr="00AE26F8">
        <w:rPr>
          <w:rFonts w:ascii="Arial" w:eastAsia="Calibri" w:hAnsi="Arial" w:cs="Arial"/>
          <w:b/>
          <w:sz w:val="24"/>
          <w:szCs w:val="24"/>
        </w:rPr>
        <w:t>i vocational.</w:t>
      </w:r>
      <w:r w:rsidR="00D76ECC" w:rsidRPr="00AE26F8">
        <w:rPr>
          <w:rFonts w:ascii="Arial" w:eastAsia="Calibri" w:hAnsi="Arial" w:cs="Arial"/>
          <w:sz w:val="24"/>
          <w:szCs w:val="24"/>
        </w:rPr>
        <w:t xml:space="preserve"> Aceste 50 de ”</w:t>
      </w:r>
      <w:r w:rsidRPr="00AE26F8">
        <w:rPr>
          <w:rFonts w:ascii="Arial" w:eastAsia="Calibri" w:hAnsi="Arial" w:cs="Arial"/>
          <w:sz w:val="24"/>
          <w:szCs w:val="24"/>
        </w:rPr>
        <w:t>clase lips</w:t>
      </w:r>
      <w:r w:rsidR="00D76ECC" w:rsidRPr="00AE26F8">
        <w:rPr>
          <w:rFonts w:ascii="Arial" w:eastAsia="Calibri" w:hAnsi="Arial" w:cs="Arial"/>
          <w:sz w:val="24"/>
          <w:szCs w:val="24"/>
        </w:rPr>
        <w:t>ă”</w:t>
      </w:r>
      <w:r w:rsidRPr="00AE26F8">
        <w:rPr>
          <w:rFonts w:ascii="Arial" w:eastAsia="Calibri" w:hAnsi="Arial" w:cs="Arial"/>
          <w:sz w:val="24"/>
          <w:szCs w:val="24"/>
        </w:rPr>
        <w:t xml:space="preserve"> din oferta regiunii au o distribu</w:t>
      </w:r>
      <w:r w:rsidR="00D76ECC" w:rsidRPr="00AE26F8">
        <w:rPr>
          <w:rFonts w:ascii="Arial" w:eastAsia="Calibri" w:hAnsi="Arial" w:cs="Arial"/>
          <w:sz w:val="24"/>
          <w:szCs w:val="24"/>
        </w:rPr>
        <w:t>ț</w:t>
      </w:r>
      <w:r w:rsidRPr="00AE26F8">
        <w:rPr>
          <w:rFonts w:ascii="Arial" w:eastAsia="Calibri" w:hAnsi="Arial" w:cs="Arial"/>
          <w:sz w:val="24"/>
          <w:szCs w:val="24"/>
        </w:rPr>
        <w:t>ie neuniforma pentru jude</w:t>
      </w:r>
      <w:r w:rsidR="00D76ECC" w:rsidRPr="00AE26F8">
        <w:rPr>
          <w:rFonts w:ascii="Arial" w:eastAsia="Calibri" w:hAnsi="Arial" w:cs="Arial"/>
          <w:sz w:val="24"/>
          <w:szCs w:val="24"/>
        </w:rPr>
        <w:t>ț</w:t>
      </w:r>
      <w:r w:rsidRPr="00AE26F8">
        <w:rPr>
          <w:rFonts w:ascii="Arial" w:eastAsia="Calibri" w:hAnsi="Arial" w:cs="Arial"/>
          <w:sz w:val="24"/>
          <w:szCs w:val="24"/>
        </w:rPr>
        <w:t>ele regiunii, pe de o parte din cauza num</w:t>
      </w:r>
      <w:r w:rsidR="00D76ECC" w:rsidRPr="00AE26F8">
        <w:rPr>
          <w:rFonts w:ascii="Arial" w:eastAsia="Calibri" w:hAnsi="Arial" w:cs="Arial"/>
          <w:sz w:val="24"/>
          <w:szCs w:val="24"/>
        </w:rPr>
        <w:t>ă</w:t>
      </w:r>
      <w:r w:rsidRPr="00AE26F8">
        <w:rPr>
          <w:rFonts w:ascii="Arial" w:eastAsia="Calibri" w:hAnsi="Arial" w:cs="Arial"/>
          <w:sz w:val="24"/>
          <w:szCs w:val="24"/>
        </w:rPr>
        <w:t>rului total de elevi din jude</w:t>
      </w:r>
      <w:r w:rsidR="00D76ECC" w:rsidRPr="00AE26F8">
        <w:rPr>
          <w:rFonts w:ascii="Arial" w:eastAsia="Calibri" w:hAnsi="Arial" w:cs="Arial"/>
          <w:sz w:val="24"/>
          <w:szCs w:val="24"/>
        </w:rPr>
        <w:t>ț</w:t>
      </w:r>
      <w:r w:rsidRPr="00AE26F8">
        <w:rPr>
          <w:rFonts w:ascii="Arial" w:eastAsia="Calibri" w:hAnsi="Arial" w:cs="Arial"/>
          <w:sz w:val="24"/>
          <w:szCs w:val="24"/>
        </w:rPr>
        <w:t xml:space="preserve"> pe de alta parte din cauza ponderilor diferite ale IPT </w:t>
      </w:r>
      <w:r w:rsidR="00D76ECC" w:rsidRPr="00AE26F8">
        <w:rPr>
          <w:rFonts w:ascii="Arial" w:eastAsia="Calibri" w:hAnsi="Arial" w:cs="Arial"/>
          <w:sz w:val="24"/>
          <w:szCs w:val="24"/>
        </w:rPr>
        <w:t>î</w:t>
      </w:r>
      <w:r w:rsidRPr="00AE26F8">
        <w:rPr>
          <w:rFonts w:ascii="Arial" w:eastAsia="Calibri" w:hAnsi="Arial" w:cs="Arial"/>
          <w:sz w:val="24"/>
          <w:szCs w:val="24"/>
        </w:rPr>
        <w:t>n oferta jude</w:t>
      </w:r>
      <w:r w:rsidR="00D76ECC" w:rsidRPr="00AE26F8">
        <w:rPr>
          <w:rFonts w:ascii="Arial" w:eastAsia="Calibri" w:hAnsi="Arial" w:cs="Arial"/>
          <w:sz w:val="24"/>
          <w:szCs w:val="24"/>
        </w:rPr>
        <w:t>ț</w:t>
      </w:r>
      <w:r w:rsidRPr="00AE26F8">
        <w:rPr>
          <w:rFonts w:ascii="Arial" w:eastAsia="Calibri" w:hAnsi="Arial" w:cs="Arial"/>
          <w:sz w:val="24"/>
          <w:szCs w:val="24"/>
        </w:rPr>
        <w:t xml:space="preserve">elor. In concluzie cele </w:t>
      </w:r>
      <w:r w:rsidRPr="00AE26F8">
        <w:rPr>
          <w:rFonts w:ascii="Arial" w:eastAsia="Calibri" w:hAnsi="Arial" w:cs="Arial"/>
          <w:b/>
          <w:sz w:val="24"/>
          <w:szCs w:val="24"/>
        </w:rPr>
        <w:t xml:space="preserve">50 de </w:t>
      </w:r>
      <w:r w:rsidR="00D76ECC" w:rsidRPr="00AE26F8">
        <w:rPr>
          <w:rFonts w:ascii="Arial" w:eastAsia="Calibri" w:hAnsi="Arial" w:cs="Arial"/>
          <w:b/>
          <w:sz w:val="24"/>
          <w:szCs w:val="24"/>
        </w:rPr>
        <w:t>”clase lipsă”</w:t>
      </w:r>
      <w:r w:rsidR="00D76ECC" w:rsidRPr="00AE26F8">
        <w:rPr>
          <w:rFonts w:ascii="Arial" w:eastAsia="Calibri" w:hAnsi="Arial" w:cs="Arial"/>
          <w:sz w:val="24"/>
          <w:szCs w:val="24"/>
        </w:rPr>
        <w:t xml:space="preserve"> </w:t>
      </w:r>
      <w:r w:rsidRPr="00AE26F8">
        <w:rPr>
          <w:rFonts w:ascii="Arial" w:eastAsia="Calibri" w:hAnsi="Arial" w:cs="Arial"/>
          <w:b/>
          <w:sz w:val="24"/>
          <w:szCs w:val="24"/>
        </w:rPr>
        <w:t>se distribuie astfel: Jude</w:t>
      </w:r>
      <w:r w:rsidR="00D76ECC" w:rsidRPr="00AE26F8">
        <w:rPr>
          <w:rFonts w:ascii="Arial" w:eastAsia="Calibri" w:hAnsi="Arial" w:cs="Arial"/>
          <w:b/>
          <w:sz w:val="24"/>
          <w:szCs w:val="24"/>
        </w:rPr>
        <w:t>ț</w:t>
      </w:r>
      <w:r w:rsidRPr="00AE26F8">
        <w:rPr>
          <w:rFonts w:ascii="Arial" w:eastAsia="Calibri" w:hAnsi="Arial" w:cs="Arial"/>
          <w:b/>
          <w:sz w:val="24"/>
          <w:szCs w:val="24"/>
        </w:rPr>
        <w:t>ul Arad 9 clase, Cara</w:t>
      </w:r>
      <w:r w:rsidR="00D76ECC" w:rsidRPr="00AE26F8">
        <w:rPr>
          <w:rFonts w:ascii="Arial" w:eastAsia="Calibri" w:hAnsi="Arial" w:cs="Arial"/>
          <w:b/>
          <w:sz w:val="24"/>
          <w:szCs w:val="24"/>
        </w:rPr>
        <w:t>ș-</w:t>
      </w:r>
      <w:r w:rsidRPr="00AE26F8">
        <w:rPr>
          <w:rFonts w:ascii="Arial" w:eastAsia="Calibri" w:hAnsi="Arial" w:cs="Arial"/>
          <w:b/>
          <w:sz w:val="24"/>
          <w:szCs w:val="24"/>
        </w:rPr>
        <w:t xml:space="preserve">Severin 5 clase, Hunedoara 12 clase </w:t>
      </w:r>
      <w:r w:rsidR="00D76ECC" w:rsidRPr="00AE26F8">
        <w:rPr>
          <w:rFonts w:ascii="Arial" w:eastAsia="Calibri" w:hAnsi="Arial" w:cs="Arial"/>
          <w:b/>
          <w:sz w:val="24"/>
          <w:szCs w:val="24"/>
        </w:rPr>
        <w:t>ș</w:t>
      </w:r>
      <w:r w:rsidRPr="00AE26F8">
        <w:rPr>
          <w:rFonts w:ascii="Arial" w:eastAsia="Calibri" w:hAnsi="Arial" w:cs="Arial"/>
          <w:b/>
          <w:sz w:val="24"/>
          <w:szCs w:val="24"/>
        </w:rPr>
        <w:t>i Timi</w:t>
      </w:r>
      <w:r w:rsidR="00D76ECC" w:rsidRPr="00AE26F8">
        <w:rPr>
          <w:rFonts w:ascii="Arial" w:eastAsia="Calibri" w:hAnsi="Arial" w:cs="Arial"/>
          <w:b/>
          <w:sz w:val="24"/>
          <w:szCs w:val="24"/>
        </w:rPr>
        <w:t>ș</w:t>
      </w:r>
      <w:r w:rsidRPr="00AE26F8">
        <w:rPr>
          <w:rFonts w:ascii="Arial" w:eastAsia="Calibri" w:hAnsi="Arial" w:cs="Arial"/>
          <w:b/>
          <w:sz w:val="24"/>
          <w:szCs w:val="24"/>
        </w:rPr>
        <w:t xml:space="preserve"> 25 de clase. </w:t>
      </w:r>
    </w:p>
    <w:p w:rsidR="000C5E1A" w:rsidRPr="00AE26F8" w:rsidRDefault="000C5E1A" w:rsidP="000C6A67">
      <w:pPr>
        <w:spacing w:after="0" w:line="240" w:lineRule="auto"/>
        <w:jc w:val="both"/>
        <w:rPr>
          <w:rFonts w:ascii="Arial" w:eastAsia="Times New Roman" w:hAnsi="Arial" w:cs="Arial"/>
          <w:bCs/>
          <w:sz w:val="24"/>
          <w:szCs w:val="24"/>
          <w:lang w:val="en-US"/>
        </w:rPr>
      </w:pPr>
    </w:p>
    <w:p w:rsidR="003A66CC" w:rsidRPr="00020E62" w:rsidRDefault="003A66CC" w:rsidP="000C6A67">
      <w:pPr>
        <w:spacing w:after="0" w:line="240" w:lineRule="auto"/>
        <w:jc w:val="both"/>
        <w:rPr>
          <w:rFonts w:ascii="Arial" w:hAnsi="Arial" w:cs="Arial"/>
          <w:sz w:val="24"/>
          <w:szCs w:val="24"/>
        </w:rPr>
      </w:pPr>
      <w:r w:rsidRPr="00020E62">
        <w:rPr>
          <w:rFonts w:ascii="Arial" w:hAnsi="Arial" w:cs="Arial"/>
          <w:sz w:val="24"/>
          <w:szCs w:val="24"/>
        </w:rPr>
        <w:t>Analiza planurilor de școlarizare</w:t>
      </w:r>
      <w:r w:rsidR="00921232" w:rsidRPr="00020E62">
        <w:rPr>
          <w:rFonts w:ascii="Arial" w:hAnsi="Arial" w:cs="Arial"/>
          <w:sz w:val="24"/>
          <w:szCs w:val="24"/>
        </w:rPr>
        <w:t xml:space="preserve"> –</w:t>
      </w:r>
      <w:r w:rsidR="00020E62" w:rsidRPr="00020E62">
        <w:rPr>
          <w:rFonts w:ascii="Arial" w:hAnsi="Arial" w:cs="Arial"/>
          <w:sz w:val="24"/>
          <w:szCs w:val="24"/>
        </w:rPr>
        <w:t xml:space="preserve"> „realizat în anul școlar</w:t>
      </w:r>
      <w:r w:rsidR="00921232" w:rsidRPr="00020E62">
        <w:rPr>
          <w:rFonts w:ascii="Arial" w:hAnsi="Arial" w:cs="Arial"/>
          <w:sz w:val="24"/>
          <w:szCs w:val="24"/>
        </w:rPr>
        <w:t xml:space="preserve"> 2016-2017„ </w:t>
      </w:r>
      <w:r w:rsidRPr="00020E62">
        <w:rPr>
          <w:rFonts w:ascii="Arial" w:hAnsi="Arial" w:cs="Arial"/>
          <w:sz w:val="24"/>
          <w:szCs w:val="24"/>
        </w:rPr>
        <w:t xml:space="preserve"> în județele regiunii față de țintele și recomandarile PRAI:</w:t>
      </w:r>
    </w:p>
    <w:p w:rsidR="00020E62" w:rsidRDefault="003A66CC" w:rsidP="000C6A67">
      <w:pPr>
        <w:spacing w:after="0" w:line="240" w:lineRule="auto"/>
        <w:jc w:val="both"/>
        <w:rPr>
          <w:rFonts w:ascii="Arial" w:hAnsi="Arial" w:cs="Arial"/>
          <w:sz w:val="24"/>
          <w:szCs w:val="24"/>
        </w:rPr>
      </w:pPr>
      <w:r w:rsidRPr="00AE26F8">
        <w:rPr>
          <w:rFonts w:ascii="Arial" w:hAnsi="Arial" w:cs="Arial"/>
          <w:sz w:val="24"/>
          <w:szCs w:val="24"/>
        </w:rPr>
        <w:tab/>
      </w:r>
    </w:p>
    <w:p w:rsidR="00921232" w:rsidRPr="003763E3" w:rsidRDefault="008910A2" w:rsidP="00020E62">
      <w:pPr>
        <w:spacing w:after="0" w:line="240" w:lineRule="auto"/>
        <w:jc w:val="center"/>
        <w:rPr>
          <w:rFonts w:ascii="Arial" w:hAnsi="Arial" w:cs="Arial"/>
        </w:rPr>
      </w:pPr>
      <w:r w:rsidRPr="003763E3">
        <w:rPr>
          <w:rFonts w:ascii="Arial" w:hAnsi="Arial" w:cs="Arial"/>
        </w:rPr>
        <w:t>Tabel nr.1</w:t>
      </w:r>
      <w:r w:rsidR="00AE26F8" w:rsidRPr="003763E3">
        <w:rPr>
          <w:rFonts w:ascii="Arial" w:hAnsi="Arial" w:cs="Arial"/>
        </w:rPr>
        <w:t>1</w:t>
      </w:r>
      <w:r w:rsidRPr="003763E3">
        <w:rPr>
          <w:rFonts w:ascii="Arial" w:hAnsi="Arial" w:cs="Arial"/>
        </w:rPr>
        <w:t xml:space="preserve"> </w:t>
      </w:r>
      <w:r w:rsidR="003A66CC" w:rsidRPr="003763E3">
        <w:rPr>
          <w:rFonts w:ascii="Arial" w:hAnsi="Arial" w:cs="Arial"/>
        </w:rPr>
        <w:t>Județul Arad</w:t>
      </w:r>
    </w:p>
    <w:tbl>
      <w:tblPr>
        <w:tblW w:w="75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0"/>
        <w:gridCol w:w="1671"/>
      </w:tblGrid>
      <w:tr w:rsidR="00921232" w:rsidRPr="00AE26F8" w:rsidTr="00020E62">
        <w:trPr>
          <w:trHeight w:val="280"/>
          <w:jc w:val="center"/>
        </w:trPr>
        <w:tc>
          <w:tcPr>
            <w:tcW w:w="5880" w:type="dxa"/>
            <w:shd w:val="clear" w:color="auto" w:fill="auto"/>
            <w:vAlign w:val="bottom"/>
            <w:hideMark/>
          </w:tcPr>
          <w:p w:rsidR="00921232" w:rsidRPr="00AE26F8" w:rsidRDefault="00921232" w:rsidP="00921232">
            <w:pPr>
              <w:spacing w:after="0" w:line="240" w:lineRule="auto"/>
              <w:rPr>
                <w:rFonts w:ascii="Arial" w:eastAsia="Times New Roman" w:hAnsi="Arial" w:cs="Arial"/>
                <w:lang w:val="en-US"/>
              </w:rPr>
            </w:pPr>
            <w:r w:rsidRPr="00AE26F8">
              <w:rPr>
                <w:rFonts w:ascii="Arial" w:eastAsia="Times New Roman" w:hAnsi="Arial" w:cs="Arial"/>
                <w:lang w:val="en-US"/>
              </w:rPr>
              <w:t>Liceal teoretic + vocaţional</w:t>
            </w:r>
          </w:p>
        </w:tc>
        <w:tc>
          <w:tcPr>
            <w:tcW w:w="1671" w:type="dxa"/>
            <w:shd w:val="clear" w:color="auto" w:fill="auto"/>
            <w:hideMark/>
          </w:tcPr>
          <w:p w:rsidR="00921232" w:rsidRPr="00AE26F8" w:rsidRDefault="00921232" w:rsidP="00921232">
            <w:pPr>
              <w:spacing w:after="0" w:line="240" w:lineRule="auto"/>
              <w:jc w:val="right"/>
              <w:rPr>
                <w:rFonts w:ascii="Arial" w:eastAsia="Times New Roman" w:hAnsi="Arial" w:cs="Arial"/>
                <w:lang w:val="en-US"/>
              </w:rPr>
            </w:pPr>
            <w:r w:rsidRPr="00AE26F8">
              <w:rPr>
                <w:rFonts w:ascii="Arial" w:eastAsia="Times New Roman" w:hAnsi="Arial" w:cs="Arial"/>
                <w:lang w:val="en-US"/>
              </w:rPr>
              <w:t>51,8%</w:t>
            </w:r>
          </w:p>
        </w:tc>
      </w:tr>
      <w:tr w:rsidR="00921232" w:rsidRPr="00AE26F8" w:rsidTr="00020E62">
        <w:trPr>
          <w:trHeight w:val="280"/>
          <w:jc w:val="center"/>
        </w:trPr>
        <w:tc>
          <w:tcPr>
            <w:tcW w:w="5880" w:type="dxa"/>
            <w:shd w:val="clear" w:color="auto" w:fill="auto"/>
            <w:vAlign w:val="bottom"/>
            <w:hideMark/>
          </w:tcPr>
          <w:p w:rsidR="00921232" w:rsidRPr="00AE26F8" w:rsidRDefault="00921232" w:rsidP="00921232">
            <w:pPr>
              <w:spacing w:after="0" w:line="240" w:lineRule="auto"/>
              <w:rPr>
                <w:rFonts w:ascii="Arial" w:eastAsia="Times New Roman" w:hAnsi="Arial" w:cs="Arial"/>
                <w:lang w:val="en-US"/>
              </w:rPr>
            </w:pPr>
            <w:r>
              <w:rPr>
                <w:rFonts w:ascii="Arial" w:eastAsia="Times New Roman" w:hAnsi="Arial" w:cs="Arial"/>
                <w:lang w:val="en-US"/>
              </w:rPr>
              <w:t xml:space="preserve">IPT </w:t>
            </w:r>
            <w:r w:rsidRPr="00AE26F8">
              <w:rPr>
                <w:rFonts w:ascii="Arial" w:eastAsia="Times New Roman" w:hAnsi="Arial" w:cs="Arial"/>
                <w:lang w:val="en-US"/>
              </w:rPr>
              <w:t xml:space="preserve"> </w:t>
            </w:r>
          </w:p>
        </w:tc>
        <w:tc>
          <w:tcPr>
            <w:tcW w:w="1671" w:type="dxa"/>
            <w:shd w:val="clear" w:color="auto" w:fill="auto"/>
            <w:hideMark/>
          </w:tcPr>
          <w:p w:rsidR="00921232" w:rsidRPr="00AE26F8" w:rsidRDefault="00921232" w:rsidP="00921232">
            <w:pPr>
              <w:spacing w:after="0" w:line="240" w:lineRule="auto"/>
              <w:jc w:val="right"/>
              <w:rPr>
                <w:rFonts w:ascii="Arial" w:eastAsia="Times New Roman" w:hAnsi="Arial" w:cs="Arial"/>
                <w:lang w:val="en-US"/>
              </w:rPr>
            </w:pPr>
            <w:r w:rsidRPr="00AE26F8">
              <w:rPr>
                <w:rFonts w:ascii="Arial" w:eastAsia="Times New Roman" w:hAnsi="Arial" w:cs="Arial"/>
                <w:lang w:val="en-US"/>
              </w:rPr>
              <w:t>48,2%</w:t>
            </w:r>
          </w:p>
        </w:tc>
      </w:tr>
      <w:tr w:rsidR="00921232" w:rsidRPr="00AE26F8" w:rsidTr="00020E62">
        <w:trPr>
          <w:trHeight w:val="270"/>
          <w:jc w:val="center"/>
        </w:trPr>
        <w:tc>
          <w:tcPr>
            <w:tcW w:w="5880" w:type="dxa"/>
            <w:shd w:val="clear" w:color="auto" w:fill="auto"/>
            <w:vAlign w:val="bottom"/>
            <w:hideMark/>
          </w:tcPr>
          <w:p w:rsidR="00921232" w:rsidRPr="00AE26F8" w:rsidRDefault="00921232" w:rsidP="00921232">
            <w:pPr>
              <w:spacing w:after="0" w:line="240" w:lineRule="auto"/>
              <w:rPr>
                <w:rFonts w:ascii="Arial" w:eastAsia="Times New Roman" w:hAnsi="Arial" w:cs="Arial"/>
                <w:lang w:val="en-US"/>
              </w:rPr>
            </w:pPr>
            <w:r>
              <w:rPr>
                <w:rFonts w:ascii="Arial" w:eastAsia="Times New Roman" w:hAnsi="Arial" w:cs="Arial"/>
                <w:lang w:val="en-US"/>
              </w:rPr>
              <w:t xml:space="preserve">Din care: </w:t>
            </w:r>
          </w:p>
        </w:tc>
        <w:tc>
          <w:tcPr>
            <w:tcW w:w="1671" w:type="dxa"/>
            <w:shd w:val="clear" w:color="auto" w:fill="auto"/>
            <w:hideMark/>
          </w:tcPr>
          <w:p w:rsidR="00921232" w:rsidRPr="00AE26F8" w:rsidRDefault="00921232" w:rsidP="00921232">
            <w:pPr>
              <w:spacing w:after="0" w:line="240" w:lineRule="auto"/>
              <w:jc w:val="right"/>
              <w:rPr>
                <w:rFonts w:ascii="Arial" w:eastAsia="Times New Roman" w:hAnsi="Arial" w:cs="Arial"/>
                <w:lang w:val="en-US"/>
              </w:rPr>
            </w:pPr>
          </w:p>
        </w:tc>
      </w:tr>
      <w:tr w:rsidR="00921232" w:rsidRPr="00AE26F8" w:rsidTr="00020E62">
        <w:trPr>
          <w:trHeight w:val="270"/>
          <w:jc w:val="center"/>
        </w:trPr>
        <w:tc>
          <w:tcPr>
            <w:tcW w:w="5880" w:type="dxa"/>
            <w:shd w:val="clear" w:color="auto" w:fill="auto"/>
            <w:vAlign w:val="bottom"/>
            <w:hideMark/>
          </w:tcPr>
          <w:p w:rsidR="00921232" w:rsidRPr="00AE26F8" w:rsidRDefault="00921232" w:rsidP="00921232">
            <w:pPr>
              <w:spacing w:after="0" w:line="240" w:lineRule="auto"/>
              <w:rPr>
                <w:rFonts w:ascii="Arial" w:eastAsia="Times New Roman" w:hAnsi="Arial" w:cs="Arial"/>
                <w:lang w:val="en-US"/>
              </w:rPr>
            </w:pPr>
            <w:r w:rsidRPr="00AE26F8">
              <w:rPr>
                <w:rFonts w:ascii="Arial" w:eastAsia="Times New Roman" w:hAnsi="Arial" w:cs="Arial"/>
                <w:lang w:val="en-US"/>
              </w:rPr>
              <w:t>Liceal tehnologic</w:t>
            </w:r>
          </w:p>
        </w:tc>
        <w:tc>
          <w:tcPr>
            <w:tcW w:w="1671" w:type="dxa"/>
            <w:shd w:val="clear" w:color="auto" w:fill="auto"/>
            <w:hideMark/>
          </w:tcPr>
          <w:p w:rsidR="00921232" w:rsidRPr="00AE26F8" w:rsidRDefault="00921232" w:rsidP="00921232">
            <w:pPr>
              <w:spacing w:after="0" w:line="240" w:lineRule="auto"/>
              <w:jc w:val="right"/>
              <w:rPr>
                <w:rFonts w:ascii="Arial" w:eastAsia="Times New Roman" w:hAnsi="Arial" w:cs="Arial"/>
                <w:lang w:val="en-US"/>
              </w:rPr>
            </w:pPr>
            <w:r w:rsidRPr="00AE26F8">
              <w:rPr>
                <w:rFonts w:ascii="Arial" w:eastAsia="Times New Roman" w:hAnsi="Arial" w:cs="Arial"/>
                <w:lang w:val="en-US"/>
              </w:rPr>
              <w:t>34,1%</w:t>
            </w:r>
          </w:p>
        </w:tc>
      </w:tr>
      <w:tr w:rsidR="00921232" w:rsidRPr="00AE26F8" w:rsidTr="00020E62">
        <w:trPr>
          <w:trHeight w:val="319"/>
          <w:jc w:val="center"/>
        </w:trPr>
        <w:tc>
          <w:tcPr>
            <w:tcW w:w="5880" w:type="dxa"/>
            <w:shd w:val="clear" w:color="auto" w:fill="auto"/>
            <w:vAlign w:val="bottom"/>
            <w:hideMark/>
          </w:tcPr>
          <w:p w:rsidR="00921232" w:rsidRPr="00AE26F8" w:rsidRDefault="00921232" w:rsidP="00921232">
            <w:pPr>
              <w:spacing w:after="0" w:line="240" w:lineRule="auto"/>
              <w:rPr>
                <w:rFonts w:ascii="Arial" w:eastAsia="Times New Roman" w:hAnsi="Arial" w:cs="Arial"/>
                <w:lang w:val="en-US"/>
              </w:rPr>
            </w:pPr>
            <w:r w:rsidRPr="00AE26F8">
              <w:rPr>
                <w:rFonts w:ascii="Arial" w:eastAsia="Times New Roman" w:hAnsi="Arial" w:cs="Arial"/>
                <w:lang w:val="en-US"/>
              </w:rPr>
              <w:t>Profesional</w:t>
            </w:r>
          </w:p>
        </w:tc>
        <w:tc>
          <w:tcPr>
            <w:tcW w:w="1671" w:type="dxa"/>
            <w:shd w:val="clear" w:color="auto" w:fill="auto"/>
            <w:hideMark/>
          </w:tcPr>
          <w:p w:rsidR="00921232" w:rsidRPr="00AE26F8" w:rsidRDefault="00921232" w:rsidP="00921232">
            <w:pPr>
              <w:spacing w:after="0" w:line="240" w:lineRule="auto"/>
              <w:jc w:val="right"/>
              <w:rPr>
                <w:rFonts w:ascii="Arial" w:eastAsia="Times New Roman" w:hAnsi="Arial" w:cs="Arial"/>
                <w:lang w:val="en-US"/>
              </w:rPr>
            </w:pPr>
            <w:r w:rsidRPr="00AE26F8">
              <w:rPr>
                <w:rFonts w:ascii="Arial" w:eastAsia="Times New Roman" w:hAnsi="Arial" w:cs="Arial"/>
                <w:lang w:val="en-US"/>
              </w:rPr>
              <w:t>14,0%</w:t>
            </w:r>
          </w:p>
        </w:tc>
      </w:tr>
    </w:tbl>
    <w:p w:rsidR="00921232" w:rsidRPr="00AE26F8" w:rsidRDefault="00921232" w:rsidP="000C6A67">
      <w:pPr>
        <w:spacing w:after="0" w:line="240" w:lineRule="auto"/>
        <w:jc w:val="both"/>
        <w:rPr>
          <w:rFonts w:ascii="Arial" w:hAnsi="Arial" w:cs="Arial"/>
          <w:b/>
          <w:sz w:val="24"/>
          <w:szCs w:val="24"/>
        </w:rPr>
      </w:pPr>
    </w:p>
    <w:p w:rsidR="003A66CC" w:rsidRPr="00AE26F8" w:rsidRDefault="003A66CC" w:rsidP="000C6A67">
      <w:pPr>
        <w:spacing w:after="0" w:line="240" w:lineRule="auto"/>
        <w:jc w:val="both"/>
        <w:rPr>
          <w:rFonts w:ascii="Arial" w:hAnsi="Arial" w:cs="Arial"/>
          <w:sz w:val="24"/>
          <w:szCs w:val="24"/>
        </w:rPr>
      </w:pPr>
      <w:r w:rsidRPr="00AE26F8">
        <w:rPr>
          <w:rFonts w:ascii="Arial" w:hAnsi="Arial" w:cs="Arial"/>
          <w:sz w:val="24"/>
          <w:szCs w:val="24"/>
        </w:rPr>
        <w:t xml:space="preserve"> </w:t>
      </w:r>
    </w:p>
    <w:p w:rsidR="00F029F0" w:rsidRDefault="00F029F0" w:rsidP="000C6A67">
      <w:pPr>
        <w:spacing w:after="0" w:line="240" w:lineRule="auto"/>
        <w:jc w:val="both"/>
        <w:rPr>
          <w:rFonts w:ascii="Arial" w:eastAsia="Times New Roman" w:hAnsi="Arial" w:cs="Arial"/>
          <w:sz w:val="24"/>
          <w:szCs w:val="24"/>
          <w:lang w:val="en-US"/>
        </w:rPr>
      </w:pPr>
      <w:r w:rsidRPr="00AE26F8">
        <w:rPr>
          <w:rFonts w:ascii="Arial" w:hAnsi="Arial" w:cs="Arial"/>
          <w:b/>
          <w:sz w:val="24"/>
          <w:szCs w:val="24"/>
        </w:rPr>
        <w:t>În anul școlar 2016-2017</w:t>
      </w:r>
      <w:r w:rsidRPr="00AE26F8">
        <w:rPr>
          <w:rFonts w:ascii="Arial" w:hAnsi="Arial" w:cs="Arial"/>
          <w:sz w:val="24"/>
          <w:szCs w:val="24"/>
        </w:rPr>
        <w:t xml:space="preserve"> raportul dintre  </w:t>
      </w:r>
      <w:r w:rsidRPr="00AE26F8">
        <w:rPr>
          <w:rFonts w:ascii="Arial" w:eastAsia="Times New Roman" w:hAnsi="Arial" w:cs="Arial"/>
          <w:sz w:val="24"/>
          <w:szCs w:val="24"/>
          <w:lang w:val="en-US"/>
        </w:rPr>
        <w:t xml:space="preserve">liceal teoretic + vocaţional și învăţământ liceal tehnologic+ profesional era de 51,8% față de 48,2%; aceasta valoare pentru învăţământ liceal tehnologic+ profesional rămane în urma țintei de 60%, cu 11,8%. </w:t>
      </w:r>
    </w:p>
    <w:p w:rsidR="009147D5" w:rsidRPr="00AE26F8" w:rsidRDefault="009147D5" w:rsidP="000C6A67">
      <w:pPr>
        <w:spacing w:after="0" w:line="240" w:lineRule="auto"/>
        <w:jc w:val="both"/>
        <w:rPr>
          <w:rFonts w:ascii="Arial" w:eastAsia="Times New Roman" w:hAnsi="Arial" w:cs="Arial"/>
          <w:sz w:val="24"/>
          <w:szCs w:val="24"/>
          <w:lang w:val="en-US"/>
        </w:rPr>
      </w:pPr>
    </w:p>
    <w:p w:rsidR="003A66CC" w:rsidRDefault="008910A2" w:rsidP="00020E62">
      <w:pPr>
        <w:spacing w:after="0" w:line="240" w:lineRule="auto"/>
        <w:jc w:val="center"/>
        <w:rPr>
          <w:rFonts w:ascii="Arial" w:eastAsia="Times New Roman" w:hAnsi="Arial" w:cs="Arial"/>
          <w:lang w:val="en-US"/>
        </w:rPr>
      </w:pPr>
      <w:r w:rsidRPr="00020E62">
        <w:rPr>
          <w:rFonts w:ascii="Arial" w:eastAsia="Times New Roman" w:hAnsi="Arial" w:cs="Arial"/>
          <w:lang w:val="en-US"/>
        </w:rPr>
        <w:t>Tabel nr.1</w:t>
      </w:r>
      <w:r w:rsidR="00AE26F8" w:rsidRPr="00020E62">
        <w:rPr>
          <w:rFonts w:ascii="Arial" w:eastAsia="Times New Roman" w:hAnsi="Arial" w:cs="Arial"/>
          <w:lang w:val="en-US"/>
        </w:rPr>
        <w:t>2</w:t>
      </w:r>
      <w:r w:rsidRPr="00020E62">
        <w:rPr>
          <w:rFonts w:ascii="Arial" w:eastAsia="Times New Roman" w:hAnsi="Arial" w:cs="Arial"/>
          <w:lang w:val="en-US"/>
        </w:rPr>
        <w:t xml:space="preserve"> </w:t>
      </w:r>
      <w:r w:rsidR="003A66CC" w:rsidRPr="00020E62">
        <w:rPr>
          <w:rFonts w:ascii="Arial" w:eastAsia="Times New Roman" w:hAnsi="Arial" w:cs="Arial"/>
          <w:lang w:val="en-US"/>
        </w:rPr>
        <w:t>Județul Caraș-Severin</w:t>
      </w:r>
    </w:p>
    <w:tbl>
      <w:tblPr>
        <w:tblW w:w="75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0"/>
        <w:gridCol w:w="1671"/>
      </w:tblGrid>
      <w:tr w:rsidR="00020E62" w:rsidRPr="00AE26F8" w:rsidTr="00020E62">
        <w:trPr>
          <w:trHeight w:val="280"/>
          <w:jc w:val="center"/>
        </w:trPr>
        <w:tc>
          <w:tcPr>
            <w:tcW w:w="5880" w:type="dxa"/>
            <w:shd w:val="clear" w:color="auto" w:fill="auto"/>
            <w:vAlign w:val="bottom"/>
            <w:hideMark/>
          </w:tcPr>
          <w:p w:rsidR="00020E62" w:rsidRPr="00AE26F8" w:rsidRDefault="00020E62" w:rsidP="006013D1">
            <w:pPr>
              <w:spacing w:after="0" w:line="240" w:lineRule="auto"/>
              <w:rPr>
                <w:rFonts w:ascii="Arial" w:eastAsia="Times New Roman" w:hAnsi="Arial" w:cs="Arial"/>
                <w:lang w:val="en-US"/>
              </w:rPr>
            </w:pPr>
            <w:r w:rsidRPr="00AE26F8">
              <w:rPr>
                <w:rFonts w:ascii="Arial" w:eastAsia="Times New Roman" w:hAnsi="Arial" w:cs="Arial"/>
                <w:lang w:val="en-US"/>
              </w:rPr>
              <w:t>Liceal teoretic + vocaţional</w:t>
            </w:r>
          </w:p>
        </w:tc>
        <w:tc>
          <w:tcPr>
            <w:tcW w:w="1671" w:type="dxa"/>
          </w:tcPr>
          <w:p w:rsidR="00020E62" w:rsidRPr="00AE26F8" w:rsidRDefault="00020E62" w:rsidP="006013D1">
            <w:pPr>
              <w:spacing w:after="0" w:line="240" w:lineRule="auto"/>
              <w:rPr>
                <w:rFonts w:ascii="Arial" w:eastAsia="Times New Roman" w:hAnsi="Arial" w:cs="Arial"/>
                <w:lang w:val="en-US"/>
              </w:rPr>
            </w:pPr>
            <w:r w:rsidRPr="00AE26F8">
              <w:rPr>
                <w:rFonts w:ascii="Arial" w:eastAsia="Times New Roman" w:hAnsi="Arial" w:cs="Arial"/>
                <w:lang w:val="en-US"/>
              </w:rPr>
              <w:t>48,3%</w:t>
            </w:r>
          </w:p>
        </w:tc>
      </w:tr>
      <w:tr w:rsidR="00020E62" w:rsidRPr="00AE26F8" w:rsidTr="00020E62">
        <w:trPr>
          <w:trHeight w:val="280"/>
          <w:jc w:val="center"/>
        </w:trPr>
        <w:tc>
          <w:tcPr>
            <w:tcW w:w="5880" w:type="dxa"/>
            <w:shd w:val="clear" w:color="auto" w:fill="auto"/>
            <w:vAlign w:val="bottom"/>
            <w:hideMark/>
          </w:tcPr>
          <w:p w:rsidR="00020E62" w:rsidRPr="00AE26F8" w:rsidRDefault="00020E62" w:rsidP="006013D1">
            <w:pPr>
              <w:spacing w:after="0" w:line="240" w:lineRule="auto"/>
              <w:rPr>
                <w:rFonts w:ascii="Arial" w:eastAsia="Times New Roman" w:hAnsi="Arial" w:cs="Arial"/>
                <w:lang w:val="en-US"/>
              </w:rPr>
            </w:pPr>
            <w:r>
              <w:rPr>
                <w:rFonts w:ascii="Arial" w:eastAsia="Times New Roman" w:hAnsi="Arial" w:cs="Arial"/>
                <w:lang w:val="en-US"/>
              </w:rPr>
              <w:t xml:space="preserve">IPT </w:t>
            </w:r>
            <w:r w:rsidRPr="00AE26F8">
              <w:rPr>
                <w:rFonts w:ascii="Arial" w:eastAsia="Times New Roman" w:hAnsi="Arial" w:cs="Arial"/>
                <w:lang w:val="en-US"/>
              </w:rPr>
              <w:t xml:space="preserve"> </w:t>
            </w:r>
          </w:p>
        </w:tc>
        <w:tc>
          <w:tcPr>
            <w:tcW w:w="1671" w:type="dxa"/>
          </w:tcPr>
          <w:p w:rsidR="00020E62" w:rsidRPr="00AE26F8" w:rsidRDefault="00020E62" w:rsidP="006013D1">
            <w:pPr>
              <w:spacing w:after="0" w:line="240" w:lineRule="auto"/>
              <w:rPr>
                <w:rFonts w:ascii="Arial" w:eastAsia="Times New Roman" w:hAnsi="Arial" w:cs="Arial"/>
                <w:lang w:val="en-US"/>
              </w:rPr>
            </w:pPr>
            <w:r w:rsidRPr="00AE26F8">
              <w:rPr>
                <w:rFonts w:ascii="Arial" w:eastAsia="Times New Roman" w:hAnsi="Arial" w:cs="Arial"/>
                <w:lang w:val="en-US"/>
              </w:rPr>
              <w:t>51,7%</w:t>
            </w:r>
          </w:p>
        </w:tc>
      </w:tr>
      <w:tr w:rsidR="00020E62" w:rsidRPr="00AE26F8" w:rsidTr="00020E62">
        <w:trPr>
          <w:trHeight w:val="270"/>
          <w:jc w:val="center"/>
        </w:trPr>
        <w:tc>
          <w:tcPr>
            <w:tcW w:w="5880" w:type="dxa"/>
            <w:shd w:val="clear" w:color="auto" w:fill="auto"/>
            <w:vAlign w:val="bottom"/>
            <w:hideMark/>
          </w:tcPr>
          <w:p w:rsidR="00020E62" w:rsidRPr="00AE26F8" w:rsidRDefault="00020E62" w:rsidP="006013D1">
            <w:pPr>
              <w:spacing w:after="0" w:line="240" w:lineRule="auto"/>
              <w:rPr>
                <w:rFonts w:ascii="Arial" w:eastAsia="Times New Roman" w:hAnsi="Arial" w:cs="Arial"/>
                <w:lang w:val="en-US"/>
              </w:rPr>
            </w:pPr>
            <w:r>
              <w:rPr>
                <w:rFonts w:ascii="Arial" w:eastAsia="Times New Roman" w:hAnsi="Arial" w:cs="Arial"/>
                <w:lang w:val="en-US"/>
              </w:rPr>
              <w:t xml:space="preserve">Din care: </w:t>
            </w:r>
          </w:p>
        </w:tc>
        <w:tc>
          <w:tcPr>
            <w:tcW w:w="1671" w:type="dxa"/>
          </w:tcPr>
          <w:p w:rsidR="00020E62" w:rsidRPr="00AE26F8" w:rsidRDefault="00020E62" w:rsidP="006013D1">
            <w:pPr>
              <w:spacing w:after="0" w:line="240" w:lineRule="auto"/>
              <w:rPr>
                <w:rFonts w:ascii="Arial" w:eastAsia="Times New Roman" w:hAnsi="Arial" w:cs="Arial"/>
                <w:lang w:val="en-US"/>
              </w:rPr>
            </w:pPr>
          </w:p>
        </w:tc>
      </w:tr>
      <w:tr w:rsidR="00020E62" w:rsidRPr="00AE26F8" w:rsidTr="00020E62">
        <w:trPr>
          <w:trHeight w:val="270"/>
          <w:jc w:val="center"/>
        </w:trPr>
        <w:tc>
          <w:tcPr>
            <w:tcW w:w="5880" w:type="dxa"/>
            <w:shd w:val="clear" w:color="auto" w:fill="auto"/>
            <w:vAlign w:val="bottom"/>
            <w:hideMark/>
          </w:tcPr>
          <w:p w:rsidR="00020E62" w:rsidRPr="00AE26F8" w:rsidRDefault="00020E62" w:rsidP="006013D1">
            <w:pPr>
              <w:spacing w:after="0" w:line="240" w:lineRule="auto"/>
              <w:rPr>
                <w:rFonts w:ascii="Arial" w:eastAsia="Times New Roman" w:hAnsi="Arial" w:cs="Arial"/>
                <w:lang w:val="en-US"/>
              </w:rPr>
            </w:pPr>
            <w:r w:rsidRPr="00AE26F8">
              <w:rPr>
                <w:rFonts w:ascii="Arial" w:eastAsia="Times New Roman" w:hAnsi="Arial" w:cs="Arial"/>
                <w:lang w:val="en-US"/>
              </w:rPr>
              <w:t>Liceal tehnologic</w:t>
            </w:r>
          </w:p>
        </w:tc>
        <w:tc>
          <w:tcPr>
            <w:tcW w:w="1671" w:type="dxa"/>
          </w:tcPr>
          <w:p w:rsidR="00020E62" w:rsidRPr="00AE26F8" w:rsidRDefault="00020E62" w:rsidP="006013D1">
            <w:pPr>
              <w:spacing w:after="0" w:line="240" w:lineRule="auto"/>
              <w:rPr>
                <w:rFonts w:ascii="Arial" w:eastAsia="Times New Roman" w:hAnsi="Arial" w:cs="Arial"/>
                <w:lang w:val="en-US"/>
              </w:rPr>
            </w:pPr>
            <w:r w:rsidRPr="00AE26F8">
              <w:rPr>
                <w:rFonts w:ascii="Arial" w:eastAsia="Times New Roman" w:hAnsi="Arial" w:cs="Arial"/>
                <w:lang w:val="en-US"/>
              </w:rPr>
              <w:t>37,6%</w:t>
            </w:r>
          </w:p>
        </w:tc>
      </w:tr>
      <w:tr w:rsidR="00020E62" w:rsidRPr="00AE26F8" w:rsidTr="00020E62">
        <w:trPr>
          <w:trHeight w:val="319"/>
          <w:jc w:val="center"/>
        </w:trPr>
        <w:tc>
          <w:tcPr>
            <w:tcW w:w="5880" w:type="dxa"/>
            <w:shd w:val="clear" w:color="auto" w:fill="auto"/>
            <w:vAlign w:val="bottom"/>
            <w:hideMark/>
          </w:tcPr>
          <w:p w:rsidR="00020E62" w:rsidRPr="00AE26F8" w:rsidRDefault="00020E62" w:rsidP="006013D1">
            <w:pPr>
              <w:spacing w:after="0" w:line="240" w:lineRule="auto"/>
              <w:rPr>
                <w:rFonts w:ascii="Arial" w:eastAsia="Times New Roman" w:hAnsi="Arial" w:cs="Arial"/>
                <w:lang w:val="en-US"/>
              </w:rPr>
            </w:pPr>
            <w:r w:rsidRPr="00AE26F8">
              <w:rPr>
                <w:rFonts w:ascii="Arial" w:eastAsia="Times New Roman" w:hAnsi="Arial" w:cs="Arial"/>
                <w:lang w:val="en-US"/>
              </w:rPr>
              <w:t>Profesional</w:t>
            </w:r>
          </w:p>
        </w:tc>
        <w:tc>
          <w:tcPr>
            <w:tcW w:w="1671" w:type="dxa"/>
          </w:tcPr>
          <w:p w:rsidR="00020E62" w:rsidRPr="00AE26F8" w:rsidRDefault="00020E62" w:rsidP="006013D1">
            <w:pPr>
              <w:spacing w:after="0" w:line="240" w:lineRule="auto"/>
              <w:rPr>
                <w:rFonts w:ascii="Arial" w:eastAsia="Times New Roman" w:hAnsi="Arial" w:cs="Arial"/>
                <w:lang w:val="en-US"/>
              </w:rPr>
            </w:pPr>
            <w:r w:rsidRPr="00AE26F8">
              <w:rPr>
                <w:rFonts w:ascii="Arial" w:eastAsia="Times New Roman" w:hAnsi="Arial" w:cs="Arial"/>
                <w:lang w:val="en-US"/>
              </w:rPr>
              <w:t>14,1%</w:t>
            </w:r>
          </w:p>
        </w:tc>
      </w:tr>
    </w:tbl>
    <w:p w:rsidR="00020E62" w:rsidRDefault="00020E62" w:rsidP="00020E62">
      <w:pPr>
        <w:spacing w:after="0" w:line="240" w:lineRule="auto"/>
        <w:jc w:val="center"/>
        <w:rPr>
          <w:rFonts w:ascii="Arial" w:eastAsia="Times New Roman" w:hAnsi="Arial" w:cs="Arial"/>
          <w:lang w:val="en-US"/>
        </w:rPr>
      </w:pPr>
    </w:p>
    <w:p w:rsidR="003A66CC" w:rsidRPr="00AE26F8" w:rsidRDefault="003A66CC" w:rsidP="000C6A67">
      <w:pPr>
        <w:spacing w:after="0" w:line="240" w:lineRule="auto"/>
        <w:jc w:val="both"/>
        <w:rPr>
          <w:rFonts w:ascii="Arial" w:hAnsi="Arial" w:cs="Arial"/>
          <w:sz w:val="24"/>
          <w:szCs w:val="24"/>
        </w:rPr>
      </w:pPr>
    </w:p>
    <w:p w:rsidR="00F029F0" w:rsidRPr="00AE26F8" w:rsidRDefault="00F029F0" w:rsidP="000C6A67">
      <w:pPr>
        <w:spacing w:after="0" w:line="240" w:lineRule="auto"/>
        <w:jc w:val="both"/>
        <w:rPr>
          <w:rFonts w:ascii="Arial" w:eastAsia="Times New Roman" w:hAnsi="Arial" w:cs="Arial"/>
          <w:sz w:val="24"/>
          <w:szCs w:val="24"/>
          <w:lang w:val="en-US"/>
        </w:rPr>
      </w:pPr>
      <w:r w:rsidRPr="00AE26F8">
        <w:rPr>
          <w:rFonts w:ascii="Arial" w:hAnsi="Arial" w:cs="Arial"/>
          <w:b/>
          <w:sz w:val="24"/>
          <w:szCs w:val="24"/>
        </w:rPr>
        <w:t>În anul școlar 2016-2017</w:t>
      </w:r>
      <w:r w:rsidRPr="00AE26F8">
        <w:rPr>
          <w:rFonts w:ascii="Arial" w:hAnsi="Arial" w:cs="Arial"/>
          <w:sz w:val="24"/>
          <w:szCs w:val="24"/>
        </w:rPr>
        <w:t xml:space="preserve"> raportul dintre  </w:t>
      </w:r>
      <w:r w:rsidRPr="00AE26F8">
        <w:rPr>
          <w:rFonts w:ascii="Arial" w:eastAsia="Times New Roman" w:hAnsi="Arial" w:cs="Arial"/>
          <w:sz w:val="24"/>
          <w:szCs w:val="24"/>
          <w:lang w:val="en-US"/>
        </w:rPr>
        <w:t>liceal teoretic + vocaţional și învăţământ liceal tehnologic</w:t>
      </w:r>
      <w:r w:rsidR="004C1A83" w:rsidRPr="00AE26F8">
        <w:rPr>
          <w:rFonts w:ascii="Arial" w:eastAsia="Times New Roman" w:hAnsi="Arial" w:cs="Arial"/>
          <w:sz w:val="24"/>
          <w:szCs w:val="24"/>
          <w:lang w:val="en-US"/>
        </w:rPr>
        <w:t xml:space="preserve"> </w:t>
      </w:r>
      <w:r w:rsidRPr="00AE26F8">
        <w:rPr>
          <w:rFonts w:ascii="Arial" w:eastAsia="Times New Roman" w:hAnsi="Arial" w:cs="Arial"/>
          <w:sz w:val="24"/>
          <w:szCs w:val="24"/>
          <w:lang w:val="en-US"/>
        </w:rPr>
        <w:t>+ profesional era de 48,3% față de 51,7%; această valoare pentru învăţământ liceal tehnologic</w:t>
      </w:r>
      <w:r w:rsidR="004C1A83" w:rsidRPr="00AE26F8">
        <w:rPr>
          <w:rFonts w:ascii="Arial" w:eastAsia="Times New Roman" w:hAnsi="Arial" w:cs="Arial"/>
          <w:sz w:val="24"/>
          <w:szCs w:val="24"/>
          <w:lang w:val="en-US"/>
        </w:rPr>
        <w:t xml:space="preserve"> </w:t>
      </w:r>
      <w:r w:rsidRPr="00AE26F8">
        <w:rPr>
          <w:rFonts w:ascii="Arial" w:eastAsia="Times New Roman" w:hAnsi="Arial" w:cs="Arial"/>
          <w:sz w:val="24"/>
          <w:szCs w:val="24"/>
          <w:lang w:val="en-US"/>
        </w:rPr>
        <w:t xml:space="preserve">+ profesional rămâne în urma țintei de 60%, cu 8,3%. </w:t>
      </w:r>
    </w:p>
    <w:p w:rsidR="003A66CC" w:rsidRPr="00AE26F8" w:rsidRDefault="003A66CC" w:rsidP="000C6A67">
      <w:pPr>
        <w:spacing w:after="0" w:line="240" w:lineRule="auto"/>
        <w:jc w:val="both"/>
        <w:rPr>
          <w:rFonts w:ascii="Arial" w:hAnsi="Arial" w:cs="Arial"/>
          <w:sz w:val="24"/>
          <w:szCs w:val="24"/>
        </w:rPr>
      </w:pPr>
    </w:p>
    <w:p w:rsidR="003A66CC" w:rsidRPr="003763E3" w:rsidRDefault="008910A2" w:rsidP="00020E62">
      <w:pPr>
        <w:spacing w:after="0" w:line="240" w:lineRule="auto"/>
        <w:jc w:val="center"/>
        <w:rPr>
          <w:rFonts w:ascii="Arial" w:hAnsi="Arial" w:cs="Arial"/>
          <w:b/>
        </w:rPr>
      </w:pPr>
      <w:r w:rsidRPr="003763E3">
        <w:rPr>
          <w:rFonts w:ascii="Arial" w:eastAsia="Times New Roman" w:hAnsi="Arial" w:cs="Arial"/>
          <w:lang w:val="en-US"/>
        </w:rPr>
        <w:t>Tabel nr.1</w:t>
      </w:r>
      <w:r w:rsidR="00AE26F8" w:rsidRPr="003763E3">
        <w:rPr>
          <w:rFonts w:ascii="Arial" w:eastAsia="Times New Roman" w:hAnsi="Arial" w:cs="Arial"/>
          <w:lang w:val="en-US"/>
        </w:rPr>
        <w:t>3</w:t>
      </w:r>
      <w:r w:rsidRPr="003763E3">
        <w:rPr>
          <w:rFonts w:ascii="Arial" w:eastAsia="Times New Roman" w:hAnsi="Arial" w:cs="Arial"/>
          <w:lang w:val="en-US"/>
        </w:rPr>
        <w:t xml:space="preserve">. </w:t>
      </w:r>
      <w:r w:rsidR="003A66CC" w:rsidRPr="003763E3">
        <w:rPr>
          <w:rFonts w:ascii="Arial" w:hAnsi="Arial" w:cs="Arial"/>
        </w:rPr>
        <w:t>Județul Hunedoara</w:t>
      </w:r>
    </w:p>
    <w:tbl>
      <w:tblPr>
        <w:tblW w:w="75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0"/>
        <w:gridCol w:w="1671"/>
      </w:tblGrid>
      <w:tr w:rsidR="00020E62" w:rsidRPr="00AE26F8" w:rsidTr="00020E62">
        <w:trPr>
          <w:trHeight w:val="280"/>
          <w:jc w:val="center"/>
        </w:trPr>
        <w:tc>
          <w:tcPr>
            <w:tcW w:w="5880" w:type="dxa"/>
            <w:shd w:val="clear" w:color="auto" w:fill="auto"/>
            <w:vAlign w:val="bottom"/>
            <w:hideMark/>
          </w:tcPr>
          <w:p w:rsidR="00020E62" w:rsidRPr="00AE26F8" w:rsidRDefault="00020E62" w:rsidP="006013D1">
            <w:pPr>
              <w:spacing w:after="0" w:line="240" w:lineRule="auto"/>
              <w:rPr>
                <w:rFonts w:ascii="Arial" w:eastAsia="Times New Roman" w:hAnsi="Arial" w:cs="Arial"/>
                <w:lang w:val="en-US"/>
              </w:rPr>
            </w:pPr>
            <w:r w:rsidRPr="00AE26F8">
              <w:rPr>
                <w:rFonts w:ascii="Arial" w:eastAsia="Times New Roman" w:hAnsi="Arial" w:cs="Arial"/>
                <w:lang w:val="en-US"/>
              </w:rPr>
              <w:t>Liceal teoretic + vocaţional</w:t>
            </w:r>
          </w:p>
        </w:tc>
        <w:tc>
          <w:tcPr>
            <w:tcW w:w="1671" w:type="dxa"/>
          </w:tcPr>
          <w:p w:rsidR="00020E62" w:rsidRPr="00AE26F8" w:rsidRDefault="00020E62" w:rsidP="006013D1">
            <w:pPr>
              <w:spacing w:after="0" w:line="240" w:lineRule="auto"/>
              <w:jc w:val="right"/>
              <w:rPr>
                <w:rFonts w:ascii="Arial" w:eastAsia="Times New Roman" w:hAnsi="Arial" w:cs="Arial"/>
                <w:bCs/>
                <w:lang w:val="en-US"/>
              </w:rPr>
            </w:pPr>
            <w:r w:rsidRPr="00AE26F8">
              <w:rPr>
                <w:rFonts w:ascii="Arial" w:eastAsia="Times New Roman" w:hAnsi="Arial" w:cs="Arial"/>
                <w:bCs/>
                <w:lang w:val="en-US"/>
              </w:rPr>
              <w:t>53,3%</w:t>
            </w:r>
          </w:p>
        </w:tc>
      </w:tr>
      <w:tr w:rsidR="00020E62" w:rsidRPr="00AE26F8" w:rsidTr="00020E62">
        <w:trPr>
          <w:trHeight w:val="280"/>
          <w:jc w:val="center"/>
        </w:trPr>
        <w:tc>
          <w:tcPr>
            <w:tcW w:w="5880" w:type="dxa"/>
            <w:shd w:val="clear" w:color="auto" w:fill="auto"/>
            <w:vAlign w:val="bottom"/>
            <w:hideMark/>
          </w:tcPr>
          <w:p w:rsidR="00020E62" w:rsidRPr="00AE26F8" w:rsidRDefault="00020E62" w:rsidP="006013D1">
            <w:pPr>
              <w:spacing w:after="0" w:line="240" w:lineRule="auto"/>
              <w:rPr>
                <w:rFonts w:ascii="Arial" w:eastAsia="Times New Roman" w:hAnsi="Arial" w:cs="Arial"/>
                <w:lang w:val="en-US"/>
              </w:rPr>
            </w:pPr>
            <w:r>
              <w:rPr>
                <w:rFonts w:ascii="Arial" w:eastAsia="Times New Roman" w:hAnsi="Arial" w:cs="Arial"/>
                <w:lang w:val="en-US"/>
              </w:rPr>
              <w:t xml:space="preserve">IPT </w:t>
            </w:r>
            <w:r w:rsidRPr="00AE26F8">
              <w:rPr>
                <w:rFonts w:ascii="Arial" w:eastAsia="Times New Roman" w:hAnsi="Arial" w:cs="Arial"/>
                <w:lang w:val="en-US"/>
              </w:rPr>
              <w:t xml:space="preserve"> </w:t>
            </w:r>
          </w:p>
        </w:tc>
        <w:tc>
          <w:tcPr>
            <w:tcW w:w="1671" w:type="dxa"/>
          </w:tcPr>
          <w:p w:rsidR="00020E62" w:rsidRPr="00AE26F8" w:rsidRDefault="00020E62" w:rsidP="006013D1">
            <w:pPr>
              <w:spacing w:after="0" w:line="240" w:lineRule="auto"/>
              <w:jc w:val="right"/>
              <w:rPr>
                <w:rFonts w:ascii="Arial" w:eastAsia="Times New Roman" w:hAnsi="Arial" w:cs="Arial"/>
                <w:bCs/>
                <w:lang w:val="en-US"/>
              </w:rPr>
            </w:pPr>
            <w:r w:rsidRPr="00AE26F8">
              <w:rPr>
                <w:rFonts w:ascii="Arial" w:eastAsia="Times New Roman" w:hAnsi="Arial" w:cs="Arial"/>
                <w:bCs/>
                <w:lang w:val="en-US"/>
              </w:rPr>
              <w:t>46,7%</w:t>
            </w:r>
          </w:p>
        </w:tc>
      </w:tr>
      <w:tr w:rsidR="00020E62" w:rsidRPr="00AE26F8" w:rsidTr="00020E62">
        <w:trPr>
          <w:trHeight w:val="270"/>
          <w:jc w:val="center"/>
        </w:trPr>
        <w:tc>
          <w:tcPr>
            <w:tcW w:w="5880" w:type="dxa"/>
            <w:shd w:val="clear" w:color="auto" w:fill="auto"/>
            <w:vAlign w:val="bottom"/>
            <w:hideMark/>
          </w:tcPr>
          <w:p w:rsidR="00020E62" w:rsidRPr="00AE26F8" w:rsidRDefault="00020E62" w:rsidP="006013D1">
            <w:pPr>
              <w:spacing w:after="0" w:line="240" w:lineRule="auto"/>
              <w:rPr>
                <w:rFonts w:ascii="Arial" w:eastAsia="Times New Roman" w:hAnsi="Arial" w:cs="Arial"/>
                <w:lang w:val="en-US"/>
              </w:rPr>
            </w:pPr>
            <w:r>
              <w:rPr>
                <w:rFonts w:ascii="Arial" w:eastAsia="Times New Roman" w:hAnsi="Arial" w:cs="Arial"/>
                <w:lang w:val="en-US"/>
              </w:rPr>
              <w:t xml:space="preserve">Din care: </w:t>
            </w:r>
          </w:p>
        </w:tc>
        <w:tc>
          <w:tcPr>
            <w:tcW w:w="1671" w:type="dxa"/>
          </w:tcPr>
          <w:p w:rsidR="00020E62" w:rsidRPr="00AE26F8" w:rsidRDefault="00020E62" w:rsidP="006013D1">
            <w:pPr>
              <w:spacing w:after="0" w:line="240" w:lineRule="auto"/>
              <w:jc w:val="right"/>
              <w:rPr>
                <w:rFonts w:ascii="Arial" w:eastAsia="Times New Roman" w:hAnsi="Arial" w:cs="Arial"/>
                <w:bCs/>
                <w:lang w:val="en-US"/>
              </w:rPr>
            </w:pPr>
          </w:p>
        </w:tc>
      </w:tr>
      <w:tr w:rsidR="00020E62" w:rsidRPr="00AE26F8" w:rsidTr="00020E62">
        <w:trPr>
          <w:trHeight w:val="270"/>
          <w:jc w:val="center"/>
        </w:trPr>
        <w:tc>
          <w:tcPr>
            <w:tcW w:w="5880" w:type="dxa"/>
            <w:shd w:val="clear" w:color="auto" w:fill="auto"/>
            <w:vAlign w:val="bottom"/>
            <w:hideMark/>
          </w:tcPr>
          <w:p w:rsidR="00020E62" w:rsidRPr="00AE26F8" w:rsidRDefault="00020E62" w:rsidP="006013D1">
            <w:pPr>
              <w:spacing w:after="0" w:line="240" w:lineRule="auto"/>
              <w:rPr>
                <w:rFonts w:ascii="Arial" w:eastAsia="Times New Roman" w:hAnsi="Arial" w:cs="Arial"/>
                <w:lang w:val="en-US"/>
              </w:rPr>
            </w:pPr>
            <w:r w:rsidRPr="00AE26F8">
              <w:rPr>
                <w:rFonts w:ascii="Arial" w:eastAsia="Times New Roman" w:hAnsi="Arial" w:cs="Arial"/>
                <w:lang w:val="en-US"/>
              </w:rPr>
              <w:t>Liceal tehnologic</w:t>
            </w:r>
          </w:p>
        </w:tc>
        <w:tc>
          <w:tcPr>
            <w:tcW w:w="1671" w:type="dxa"/>
          </w:tcPr>
          <w:p w:rsidR="00020E62" w:rsidRPr="00AE26F8" w:rsidRDefault="00020E62" w:rsidP="006013D1">
            <w:pPr>
              <w:spacing w:after="0" w:line="240" w:lineRule="auto"/>
              <w:jc w:val="right"/>
              <w:rPr>
                <w:rFonts w:ascii="Arial" w:eastAsia="Times New Roman" w:hAnsi="Arial" w:cs="Arial"/>
                <w:bCs/>
                <w:lang w:val="en-US"/>
              </w:rPr>
            </w:pPr>
            <w:r w:rsidRPr="00AE26F8">
              <w:rPr>
                <w:rFonts w:ascii="Arial" w:eastAsia="Times New Roman" w:hAnsi="Arial" w:cs="Arial"/>
                <w:bCs/>
                <w:lang w:val="en-US"/>
              </w:rPr>
              <w:t>29,1%</w:t>
            </w:r>
          </w:p>
        </w:tc>
      </w:tr>
      <w:tr w:rsidR="00020E62" w:rsidRPr="00AE26F8" w:rsidTr="00020E62">
        <w:trPr>
          <w:trHeight w:val="319"/>
          <w:jc w:val="center"/>
        </w:trPr>
        <w:tc>
          <w:tcPr>
            <w:tcW w:w="5880" w:type="dxa"/>
            <w:shd w:val="clear" w:color="auto" w:fill="auto"/>
            <w:vAlign w:val="bottom"/>
            <w:hideMark/>
          </w:tcPr>
          <w:p w:rsidR="00020E62" w:rsidRPr="00AE26F8" w:rsidRDefault="00020E62" w:rsidP="006013D1">
            <w:pPr>
              <w:spacing w:after="0" w:line="240" w:lineRule="auto"/>
              <w:rPr>
                <w:rFonts w:ascii="Arial" w:eastAsia="Times New Roman" w:hAnsi="Arial" w:cs="Arial"/>
                <w:lang w:val="en-US"/>
              </w:rPr>
            </w:pPr>
            <w:r w:rsidRPr="00AE26F8">
              <w:rPr>
                <w:rFonts w:ascii="Arial" w:eastAsia="Times New Roman" w:hAnsi="Arial" w:cs="Arial"/>
                <w:lang w:val="en-US"/>
              </w:rPr>
              <w:t>Profesional</w:t>
            </w:r>
          </w:p>
        </w:tc>
        <w:tc>
          <w:tcPr>
            <w:tcW w:w="1671" w:type="dxa"/>
          </w:tcPr>
          <w:p w:rsidR="00020E62" w:rsidRPr="00AE26F8" w:rsidRDefault="00020E62" w:rsidP="006013D1">
            <w:pPr>
              <w:spacing w:after="0" w:line="240" w:lineRule="auto"/>
              <w:jc w:val="right"/>
              <w:rPr>
                <w:rFonts w:ascii="Arial" w:eastAsia="Times New Roman" w:hAnsi="Arial" w:cs="Arial"/>
                <w:bCs/>
                <w:lang w:val="en-US"/>
              </w:rPr>
            </w:pPr>
            <w:r w:rsidRPr="00AE26F8">
              <w:rPr>
                <w:rFonts w:ascii="Arial" w:eastAsia="Times New Roman" w:hAnsi="Arial" w:cs="Arial"/>
                <w:bCs/>
                <w:lang w:val="en-US"/>
              </w:rPr>
              <w:t>17,6%</w:t>
            </w:r>
          </w:p>
        </w:tc>
      </w:tr>
    </w:tbl>
    <w:p w:rsidR="00020E62" w:rsidRDefault="00020E62" w:rsidP="00020E62">
      <w:pPr>
        <w:spacing w:after="0" w:line="240" w:lineRule="auto"/>
        <w:jc w:val="center"/>
        <w:rPr>
          <w:rFonts w:ascii="Arial" w:hAnsi="Arial" w:cs="Arial"/>
          <w:b/>
          <w:sz w:val="24"/>
          <w:szCs w:val="24"/>
        </w:rPr>
      </w:pPr>
    </w:p>
    <w:p w:rsidR="00020E62" w:rsidRDefault="00020E62" w:rsidP="00020E62">
      <w:pPr>
        <w:spacing w:after="0" w:line="240" w:lineRule="auto"/>
        <w:jc w:val="center"/>
        <w:rPr>
          <w:rFonts w:ascii="Arial" w:hAnsi="Arial" w:cs="Arial"/>
          <w:b/>
          <w:sz w:val="24"/>
          <w:szCs w:val="24"/>
        </w:rPr>
      </w:pPr>
    </w:p>
    <w:p w:rsidR="00020E62" w:rsidRPr="00AE26F8" w:rsidRDefault="00020E62" w:rsidP="000C6A67">
      <w:pPr>
        <w:spacing w:after="0" w:line="240" w:lineRule="auto"/>
        <w:jc w:val="both"/>
        <w:rPr>
          <w:rFonts w:ascii="Arial" w:hAnsi="Arial" w:cs="Arial"/>
          <w:b/>
          <w:sz w:val="24"/>
          <w:szCs w:val="24"/>
        </w:rPr>
      </w:pPr>
    </w:p>
    <w:p w:rsidR="003A66CC" w:rsidRPr="00AE26F8" w:rsidRDefault="003A66CC" w:rsidP="000C6A67">
      <w:pPr>
        <w:spacing w:after="0" w:line="240" w:lineRule="auto"/>
        <w:jc w:val="both"/>
        <w:rPr>
          <w:rFonts w:ascii="Arial" w:hAnsi="Arial" w:cs="Arial"/>
          <w:sz w:val="24"/>
          <w:szCs w:val="24"/>
        </w:rPr>
      </w:pPr>
    </w:p>
    <w:p w:rsidR="00F029F0" w:rsidRPr="00AE26F8" w:rsidRDefault="00F029F0" w:rsidP="000C6A67">
      <w:pPr>
        <w:spacing w:after="0" w:line="240" w:lineRule="auto"/>
        <w:jc w:val="both"/>
        <w:rPr>
          <w:rFonts w:ascii="Arial" w:eastAsia="Times New Roman" w:hAnsi="Arial" w:cs="Arial"/>
          <w:sz w:val="24"/>
          <w:szCs w:val="24"/>
          <w:lang w:val="en-US"/>
        </w:rPr>
      </w:pPr>
      <w:r w:rsidRPr="00AE26F8">
        <w:rPr>
          <w:rFonts w:ascii="Arial" w:hAnsi="Arial" w:cs="Arial"/>
          <w:b/>
          <w:sz w:val="24"/>
          <w:szCs w:val="24"/>
        </w:rPr>
        <w:lastRenderedPageBreak/>
        <w:t>În anul școlar 2016-2017</w:t>
      </w:r>
      <w:r w:rsidRPr="00AE26F8">
        <w:rPr>
          <w:rFonts w:ascii="Arial" w:hAnsi="Arial" w:cs="Arial"/>
          <w:sz w:val="24"/>
          <w:szCs w:val="24"/>
        </w:rPr>
        <w:t xml:space="preserve"> raportul dintre  </w:t>
      </w:r>
      <w:r w:rsidRPr="00AE26F8">
        <w:rPr>
          <w:rFonts w:ascii="Arial" w:eastAsia="Times New Roman" w:hAnsi="Arial" w:cs="Arial"/>
          <w:sz w:val="24"/>
          <w:szCs w:val="24"/>
          <w:lang w:val="en-US"/>
        </w:rPr>
        <w:t xml:space="preserve">liceal teoretic + vocaţional și învăţământ liceal tehnologic+ profesional era de 53,3% față de 46,7%; această valoare pentru învăţământ liceal tehnologic+ profesional rămâne în urma țintei de 60%, cu 13,3 %. </w:t>
      </w:r>
    </w:p>
    <w:p w:rsidR="00020E62" w:rsidRDefault="003A66CC" w:rsidP="000C6A67">
      <w:pPr>
        <w:spacing w:after="0" w:line="240" w:lineRule="auto"/>
        <w:jc w:val="both"/>
        <w:rPr>
          <w:rFonts w:ascii="Arial" w:hAnsi="Arial" w:cs="Arial"/>
          <w:sz w:val="24"/>
          <w:szCs w:val="24"/>
        </w:rPr>
      </w:pPr>
      <w:r w:rsidRPr="00AE26F8">
        <w:rPr>
          <w:rFonts w:ascii="Arial" w:hAnsi="Arial" w:cs="Arial"/>
          <w:sz w:val="24"/>
          <w:szCs w:val="24"/>
        </w:rPr>
        <w:tab/>
      </w:r>
    </w:p>
    <w:p w:rsidR="003A66CC" w:rsidRPr="003763E3" w:rsidRDefault="008910A2" w:rsidP="00020E62">
      <w:pPr>
        <w:spacing w:after="0" w:line="240" w:lineRule="auto"/>
        <w:jc w:val="center"/>
        <w:rPr>
          <w:rFonts w:ascii="Arial" w:hAnsi="Arial" w:cs="Arial"/>
          <w:b/>
        </w:rPr>
      </w:pPr>
      <w:r w:rsidRPr="003763E3">
        <w:rPr>
          <w:rFonts w:ascii="Arial" w:eastAsia="Times New Roman" w:hAnsi="Arial" w:cs="Arial"/>
          <w:lang w:val="en-US"/>
        </w:rPr>
        <w:t>Tabel nr.1</w:t>
      </w:r>
      <w:r w:rsidR="00AE26F8" w:rsidRPr="003763E3">
        <w:rPr>
          <w:rFonts w:ascii="Arial" w:eastAsia="Times New Roman" w:hAnsi="Arial" w:cs="Arial"/>
          <w:lang w:val="en-US"/>
        </w:rPr>
        <w:t>4</w:t>
      </w:r>
      <w:r w:rsidRPr="003763E3">
        <w:rPr>
          <w:rFonts w:ascii="Arial" w:eastAsia="Times New Roman" w:hAnsi="Arial" w:cs="Arial"/>
          <w:lang w:val="en-US"/>
        </w:rPr>
        <w:t xml:space="preserve">. </w:t>
      </w:r>
      <w:r w:rsidR="003A66CC" w:rsidRPr="003763E3">
        <w:rPr>
          <w:rFonts w:ascii="Arial" w:hAnsi="Arial" w:cs="Arial"/>
        </w:rPr>
        <w:t>Județul Timiș</w:t>
      </w:r>
    </w:p>
    <w:tbl>
      <w:tblPr>
        <w:tblW w:w="75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0"/>
        <w:gridCol w:w="1671"/>
      </w:tblGrid>
      <w:tr w:rsidR="00020E62" w:rsidRPr="00AE26F8" w:rsidTr="00020E62">
        <w:trPr>
          <w:trHeight w:val="280"/>
          <w:jc w:val="center"/>
        </w:trPr>
        <w:tc>
          <w:tcPr>
            <w:tcW w:w="5880" w:type="dxa"/>
            <w:shd w:val="clear" w:color="auto" w:fill="auto"/>
            <w:vAlign w:val="bottom"/>
            <w:hideMark/>
          </w:tcPr>
          <w:p w:rsidR="00020E62" w:rsidRPr="00AE26F8" w:rsidRDefault="00020E62" w:rsidP="006013D1">
            <w:pPr>
              <w:spacing w:after="0" w:line="240" w:lineRule="auto"/>
              <w:rPr>
                <w:rFonts w:ascii="Arial" w:eastAsia="Times New Roman" w:hAnsi="Arial" w:cs="Arial"/>
                <w:lang w:val="en-US"/>
              </w:rPr>
            </w:pPr>
            <w:r w:rsidRPr="00AE26F8">
              <w:rPr>
                <w:rFonts w:ascii="Arial" w:eastAsia="Times New Roman" w:hAnsi="Arial" w:cs="Arial"/>
                <w:lang w:val="en-US"/>
              </w:rPr>
              <w:t>Liceal teoretic + vocaţional</w:t>
            </w:r>
          </w:p>
        </w:tc>
        <w:tc>
          <w:tcPr>
            <w:tcW w:w="1671" w:type="dxa"/>
          </w:tcPr>
          <w:p w:rsidR="00020E62" w:rsidRPr="00AE26F8" w:rsidRDefault="00020E62" w:rsidP="006013D1">
            <w:pPr>
              <w:spacing w:after="0" w:line="240" w:lineRule="auto"/>
              <w:jc w:val="right"/>
              <w:rPr>
                <w:rFonts w:ascii="Arial" w:eastAsia="Times New Roman" w:hAnsi="Arial" w:cs="Arial"/>
                <w:lang w:val="en-US"/>
              </w:rPr>
            </w:pPr>
            <w:r w:rsidRPr="00AE26F8">
              <w:rPr>
                <w:rFonts w:ascii="Arial" w:eastAsia="Times New Roman" w:hAnsi="Arial" w:cs="Arial"/>
                <w:lang w:val="en-US"/>
              </w:rPr>
              <w:t>51,0%</w:t>
            </w:r>
          </w:p>
        </w:tc>
      </w:tr>
      <w:tr w:rsidR="00020E62" w:rsidRPr="00AE26F8" w:rsidTr="00020E62">
        <w:trPr>
          <w:trHeight w:val="280"/>
          <w:jc w:val="center"/>
        </w:trPr>
        <w:tc>
          <w:tcPr>
            <w:tcW w:w="5880" w:type="dxa"/>
            <w:shd w:val="clear" w:color="auto" w:fill="auto"/>
            <w:vAlign w:val="bottom"/>
            <w:hideMark/>
          </w:tcPr>
          <w:p w:rsidR="00020E62" w:rsidRPr="00AE26F8" w:rsidRDefault="00020E62" w:rsidP="006013D1">
            <w:pPr>
              <w:spacing w:after="0" w:line="240" w:lineRule="auto"/>
              <w:rPr>
                <w:rFonts w:ascii="Arial" w:eastAsia="Times New Roman" w:hAnsi="Arial" w:cs="Arial"/>
                <w:lang w:val="en-US"/>
              </w:rPr>
            </w:pPr>
            <w:r>
              <w:rPr>
                <w:rFonts w:ascii="Arial" w:eastAsia="Times New Roman" w:hAnsi="Arial" w:cs="Arial"/>
                <w:lang w:val="en-US"/>
              </w:rPr>
              <w:t xml:space="preserve">IPT </w:t>
            </w:r>
            <w:r w:rsidRPr="00AE26F8">
              <w:rPr>
                <w:rFonts w:ascii="Arial" w:eastAsia="Times New Roman" w:hAnsi="Arial" w:cs="Arial"/>
                <w:lang w:val="en-US"/>
              </w:rPr>
              <w:t xml:space="preserve"> </w:t>
            </w:r>
          </w:p>
        </w:tc>
        <w:tc>
          <w:tcPr>
            <w:tcW w:w="1671" w:type="dxa"/>
          </w:tcPr>
          <w:p w:rsidR="00020E62" w:rsidRPr="00AE26F8" w:rsidRDefault="00020E62" w:rsidP="006013D1">
            <w:pPr>
              <w:spacing w:after="0" w:line="240" w:lineRule="auto"/>
              <w:jc w:val="right"/>
              <w:rPr>
                <w:rFonts w:ascii="Arial" w:eastAsia="Times New Roman" w:hAnsi="Arial" w:cs="Arial"/>
                <w:lang w:val="en-US"/>
              </w:rPr>
            </w:pPr>
            <w:r w:rsidRPr="00AE26F8">
              <w:rPr>
                <w:rFonts w:ascii="Arial" w:eastAsia="Times New Roman" w:hAnsi="Arial" w:cs="Arial"/>
                <w:lang w:val="en-US"/>
              </w:rPr>
              <w:t>49,0%</w:t>
            </w:r>
          </w:p>
        </w:tc>
      </w:tr>
      <w:tr w:rsidR="00020E62" w:rsidRPr="00AE26F8" w:rsidTr="00020E62">
        <w:trPr>
          <w:trHeight w:val="270"/>
          <w:jc w:val="center"/>
        </w:trPr>
        <w:tc>
          <w:tcPr>
            <w:tcW w:w="5880" w:type="dxa"/>
            <w:shd w:val="clear" w:color="auto" w:fill="auto"/>
            <w:vAlign w:val="bottom"/>
            <w:hideMark/>
          </w:tcPr>
          <w:p w:rsidR="00020E62" w:rsidRPr="00AE26F8" w:rsidRDefault="00020E62" w:rsidP="006013D1">
            <w:pPr>
              <w:spacing w:after="0" w:line="240" w:lineRule="auto"/>
              <w:rPr>
                <w:rFonts w:ascii="Arial" w:eastAsia="Times New Roman" w:hAnsi="Arial" w:cs="Arial"/>
                <w:lang w:val="en-US"/>
              </w:rPr>
            </w:pPr>
            <w:r>
              <w:rPr>
                <w:rFonts w:ascii="Arial" w:eastAsia="Times New Roman" w:hAnsi="Arial" w:cs="Arial"/>
                <w:lang w:val="en-US"/>
              </w:rPr>
              <w:t xml:space="preserve">Din care: </w:t>
            </w:r>
          </w:p>
        </w:tc>
        <w:tc>
          <w:tcPr>
            <w:tcW w:w="1671" w:type="dxa"/>
          </w:tcPr>
          <w:p w:rsidR="00020E62" w:rsidRPr="00AE26F8" w:rsidRDefault="00020E62" w:rsidP="006013D1">
            <w:pPr>
              <w:spacing w:after="0" w:line="240" w:lineRule="auto"/>
              <w:jc w:val="right"/>
              <w:rPr>
                <w:rFonts w:ascii="Arial" w:eastAsia="Times New Roman" w:hAnsi="Arial" w:cs="Arial"/>
                <w:lang w:val="en-US"/>
              </w:rPr>
            </w:pPr>
          </w:p>
        </w:tc>
      </w:tr>
      <w:tr w:rsidR="00020E62" w:rsidRPr="00AE26F8" w:rsidTr="00020E62">
        <w:trPr>
          <w:trHeight w:val="270"/>
          <w:jc w:val="center"/>
        </w:trPr>
        <w:tc>
          <w:tcPr>
            <w:tcW w:w="5880" w:type="dxa"/>
            <w:shd w:val="clear" w:color="auto" w:fill="auto"/>
            <w:vAlign w:val="bottom"/>
            <w:hideMark/>
          </w:tcPr>
          <w:p w:rsidR="00020E62" w:rsidRPr="00AE26F8" w:rsidRDefault="00020E62" w:rsidP="006013D1">
            <w:pPr>
              <w:spacing w:after="0" w:line="240" w:lineRule="auto"/>
              <w:rPr>
                <w:rFonts w:ascii="Arial" w:eastAsia="Times New Roman" w:hAnsi="Arial" w:cs="Arial"/>
                <w:lang w:val="en-US"/>
              </w:rPr>
            </w:pPr>
            <w:r w:rsidRPr="00AE26F8">
              <w:rPr>
                <w:rFonts w:ascii="Arial" w:eastAsia="Times New Roman" w:hAnsi="Arial" w:cs="Arial"/>
                <w:lang w:val="en-US"/>
              </w:rPr>
              <w:t>Liceal tehnologic</w:t>
            </w:r>
          </w:p>
        </w:tc>
        <w:tc>
          <w:tcPr>
            <w:tcW w:w="1671" w:type="dxa"/>
          </w:tcPr>
          <w:p w:rsidR="00020E62" w:rsidRPr="00AE26F8" w:rsidRDefault="00020E62" w:rsidP="006013D1">
            <w:pPr>
              <w:spacing w:after="0" w:line="240" w:lineRule="auto"/>
              <w:jc w:val="right"/>
              <w:rPr>
                <w:rFonts w:ascii="Arial" w:eastAsia="Times New Roman" w:hAnsi="Arial" w:cs="Arial"/>
                <w:lang w:val="en-US"/>
              </w:rPr>
            </w:pPr>
            <w:r w:rsidRPr="00AE26F8">
              <w:rPr>
                <w:rFonts w:ascii="Arial" w:eastAsia="Times New Roman" w:hAnsi="Arial" w:cs="Arial"/>
                <w:lang w:val="en-US"/>
              </w:rPr>
              <w:t>32,8%</w:t>
            </w:r>
          </w:p>
        </w:tc>
      </w:tr>
      <w:tr w:rsidR="00020E62" w:rsidRPr="00AE26F8" w:rsidTr="00020E62">
        <w:trPr>
          <w:trHeight w:val="319"/>
          <w:jc w:val="center"/>
        </w:trPr>
        <w:tc>
          <w:tcPr>
            <w:tcW w:w="5880" w:type="dxa"/>
            <w:shd w:val="clear" w:color="auto" w:fill="auto"/>
            <w:vAlign w:val="bottom"/>
            <w:hideMark/>
          </w:tcPr>
          <w:p w:rsidR="00020E62" w:rsidRPr="00AE26F8" w:rsidRDefault="00020E62" w:rsidP="006013D1">
            <w:pPr>
              <w:spacing w:after="0" w:line="240" w:lineRule="auto"/>
              <w:rPr>
                <w:rFonts w:ascii="Arial" w:eastAsia="Times New Roman" w:hAnsi="Arial" w:cs="Arial"/>
                <w:lang w:val="en-US"/>
              </w:rPr>
            </w:pPr>
            <w:r w:rsidRPr="00AE26F8">
              <w:rPr>
                <w:rFonts w:ascii="Arial" w:eastAsia="Times New Roman" w:hAnsi="Arial" w:cs="Arial"/>
                <w:lang w:val="en-US"/>
              </w:rPr>
              <w:t>Profesional</w:t>
            </w:r>
          </w:p>
        </w:tc>
        <w:tc>
          <w:tcPr>
            <w:tcW w:w="1671" w:type="dxa"/>
          </w:tcPr>
          <w:p w:rsidR="00020E62" w:rsidRPr="00AE26F8" w:rsidRDefault="00020E62" w:rsidP="006013D1">
            <w:pPr>
              <w:spacing w:after="0" w:line="240" w:lineRule="auto"/>
              <w:jc w:val="right"/>
              <w:rPr>
                <w:rFonts w:ascii="Arial" w:eastAsia="Times New Roman" w:hAnsi="Arial" w:cs="Arial"/>
                <w:lang w:val="en-US"/>
              </w:rPr>
            </w:pPr>
            <w:r w:rsidRPr="00AE26F8">
              <w:rPr>
                <w:rFonts w:ascii="Arial" w:eastAsia="Times New Roman" w:hAnsi="Arial" w:cs="Arial"/>
                <w:lang w:val="en-US"/>
              </w:rPr>
              <w:t>16,3%</w:t>
            </w:r>
          </w:p>
        </w:tc>
      </w:tr>
    </w:tbl>
    <w:p w:rsidR="003A66CC" w:rsidRPr="00AE26F8" w:rsidRDefault="003A66CC" w:rsidP="000C6A67">
      <w:pPr>
        <w:spacing w:after="0" w:line="240" w:lineRule="auto"/>
        <w:jc w:val="both"/>
        <w:rPr>
          <w:rFonts w:ascii="Arial" w:eastAsia="Times New Roman" w:hAnsi="Arial" w:cs="Arial"/>
          <w:bCs/>
          <w:sz w:val="24"/>
          <w:szCs w:val="24"/>
          <w:lang w:val="en-US"/>
        </w:rPr>
      </w:pPr>
    </w:p>
    <w:p w:rsidR="003A66CC" w:rsidRPr="00824DD6" w:rsidRDefault="00F029F0" w:rsidP="00824DD6">
      <w:pPr>
        <w:spacing w:after="0" w:line="240" w:lineRule="auto"/>
        <w:jc w:val="both"/>
        <w:rPr>
          <w:rFonts w:ascii="Arial" w:eastAsia="Times New Roman" w:hAnsi="Arial" w:cs="Arial"/>
          <w:sz w:val="24"/>
          <w:szCs w:val="24"/>
          <w:lang w:val="en-US"/>
        </w:rPr>
      </w:pPr>
      <w:r w:rsidRPr="00AE26F8">
        <w:rPr>
          <w:rFonts w:ascii="Arial" w:hAnsi="Arial" w:cs="Arial"/>
          <w:b/>
          <w:sz w:val="24"/>
          <w:szCs w:val="24"/>
        </w:rPr>
        <w:t>În anul școlar 2016-2017</w:t>
      </w:r>
      <w:r w:rsidRPr="00AE26F8">
        <w:rPr>
          <w:rFonts w:ascii="Arial" w:hAnsi="Arial" w:cs="Arial"/>
          <w:sz w:val="24"/>
          <w:szCs w:val="24"/>
        </w:rPr>
        <w:t xml:space="preserve"> raportul dintre  </w:t>
      </w:r>
      <w:r w:rsidRPr="00AE26F8">
        <w:rPr>
          <w:rFonts w:ascii="Arial" w:eastAsia="Times New Roman" w:hAnsi="Arial" w:cs="Arial"/>
          <w:sz w:val="24"/>
          <w:szCs w:val="24"/>
          <w:lang w:val="en-US"/>
        </w:rPr>
        <w:t xml:space="preserve">liceal teoretic + vocaţional și învăţământ liceal tehnologic+ profesional era de 51,0% față de 49,0%; această valoare pentru învăţământ liceal tehnologic+ profesional rămane în urma țintei de 60%, cu 11,0%. </w:t>
      </w:r>
    </w:p>
    <w:p w:rsidR="00F029F0" w:rsidRPr="00E56B15" w:rsidRDefault="00F029F0" w:rsidP="002A4478">
      <w:pPr>
        <w:spacing w:after="0" w:line="240" w:lineRule="auto"/>
        <w:jc w:val="both"/>
        <w:rPr>
          <w:rFonts w:ascii="Arial" w:hAnsi="Arial" w:cs="Arial"/>
          <w:b/>
          <w:sz w:val="24"/>
          <w:szCs w:val="24"/>
        </w:rPr>
      </w:pPr>
      <w:r w:rsidRPr="00E56B15">
        <w:rPr>
          <w:rFonts w:ascii="Arial" w:hAnsi="Arial" w:cs="Arial"/>
          <w:sz w:val="24"/>
          <w:szCs w:val="24"/>
        </w:rPr>
        <w:t>Oferta IPT conține clase de liceu tehnologic și școală profesională,</w:t>
      </w:r>
      <w:r w:rsidRPr="00E56B15">
        <w:rPr>
          <w:rFonts w:ascii="Arial" w:hAnsi="Arial" w:cs="Arial"/>
          <w:b/>
          <w:sz w:val="24"/>
          <w:szCs w:val="24"/>
        </w:rPr>
        <w:t xml:space="preserve"> iar recomandarea PRAI este de a ținti o alocare echilibrată între aceste de rute, de 50%-50%. </w:t>
      </w:r>
    </w:p>
    <w:p w:rsidR="00F029F0" w:rsidRPr="00E56B15" w:rsidRDefault="00F029F0" w:rsidP="002A4478">
      <w:pPr>
        <w:spacing w:after="0" w:line="240" w:lineRule="auto"/>
        <w:jc w:val="both"/>
        <w:rPr>
          <w:rFonts w:ascii="Arial" w:hAnsi="Arial" w:cs="Arial"/>
          <w:sz w:val="24"/>
          <w:szCs w:val="24"/>
        </w:rPr>
      </w:pPr>
      <w:r w:rsidRPr="00E56B15">
        <w:rPr>
          <w:rFonts w:ascii="Arial" w:hAnsi="Arial" w:cs="Arial"/>
          <w:sz w:val="24"/>
          <w:szCs w:val="24"/>
        </w:rPr>
        <w:t xml:space="preserve">În fiecare județ oferta de școală profesională este mai mică decât cea pentru liceu tehnologic. Pentru echilibrare de tip 50%-50%, fiecare județ ar trebui să crească oferta pentru școala profesională cu: 8 clase județul Arad, 1 clasa județul Caraș - Severin, 3 clase județul Hunedoara și 18 clase județul Timiș. </w:t>
      </w:r>
    </w:p>
    <w:p w:rsidR="00F029F0" w:rsidRPr="00E56B15" w:rsidRDefault="00F029F0" w:rsidP="002A4478">
      <w:pPr>
        <w:spacing w:after="0" w:line="240" w:lineRule="auto"/>
        <w:jc w:val="both"/>
        <w:rPr>
          <w:rFonts w:ascii="Arial" w:hAnsi="Arial" w:cs="Arial"/>
          <w:sz w:val="24"/>
          <w:szCs w:val="24"/>
        </w:rPr>
      </w:pPr>
      <w:r w:rsidRPr="00E56B15">
        <w:rPr>
          <w:rFonts w:ascii="Arial" w:hAnsi="Arial" w:cs="Arial"/>
          <w:sz w:val="24"/>
          <w:szCs w:val="24"/>
        </w:rPr>
        <w:t xml:space="preserve">Cel mai mare dezechilibru se realizează în județul Timiș, cu o realocare de 18 clase, însă trebuie avut în vedere faptul că în județul Timiș avem și cel mai mare număr de elevi. </w:t>
      </w:r>
    </w:p>
    <w:p w:rsidR="00921232" w:rsidRDefault="00921232" w:rsidP="00921232">
      <w:pPr>
        <w:spacing w:after="0" w:line="240" w:lineRule="auto"/>
        <w:rPr>
          <w:rFonts w:ascii="Arial" w:hAnsi="Arial" w:cs="Arial"/>
          <w:sz w:val="24"/>
          <w:szCs w:val="24"/>
        </w:rPr>
      </w:pPr>
    </w:p>
    <w:p w:rsidR="00824DD6" w:rsidRDefault="00921232" w:rsidP="00921232">
      <w:pPr>
        <w:spacing w:after="0" w:line="240" w:lineRule="auto"/>
        <w:jc w:val="center"/>
        <w:rPr>
          <w:rFonts w:ascii="Arial" w:hAnsi="Arial" w:cs="Arial"/>
          <w:sz w:val="24"/>
          <w:szCs w:val="24"/>
        </w:rPr>
      </w:pPr>
      <w:r>
        <w:rPr>
          <w:rFonts w:ascii="Arial" w:hAnsi="Arial" w:cs="Arial"/>
          <w:sz w:val="24"/>
          <w:szCs w:val="24"/>
        </w:rPr>
        <w:t>Figura 32</w:t>
      </w:r>
    </w:p>
    <w:p w:rsidR="00824DD6" w:rsidRDefault="00921232" w:rsidP="002A4478">
      <w:pPr>
        <w:spacing w:after="0" w:line="240" w:lineRule="auto"/>
        <w:jc w:val="both"/>
        <w:rPr>
          <w:rFonts w:ascii="Arial" w:hAnsi="Arial" w:cs="Arial"/>
          <w:sz w:val="24"/>
          <w:szCs w:val="24"/>
        </w:rPr>
      </w:pPr>
      <w:r w:rsidRPr="00921232">
        <w:rPr>
          <w:rFonts w:ascii="Arial" w:hAnsi="Arial" w:cs="Arial"/>
          <w:noProof/>
          <w:sz w:val="24"/>
          <w:szCs w:val="24"/>
          <w:bdr w:val="single" w:sz="4" w:space="0" w:color="auto"/>
          <w:lang w:val="en-US"/>
        </w:rPr>
        <w:drawing>
          <wp:inline distT="0" distB="0" distL="0" distR="0">
            <wp:extent cx="5942330" cy="3048000"/>
            <wp:effectExtent l="19050" t="0" r="20320" b="0"/>
            <wp:docPr id="1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3914C9" w:rsidRPr="00D8640B" w:rsidRDefault="00921232" w:rsidP="00AD4F1F">
      <w:pPr>
        <w:pStyle w:val="ListParagraph"/>
        <w:tabs>
          <w:tab w:val="left" w:pos="0"/>
        </w:tabs>
        <w:ind w:left="90"/>
        <w:contextualSpacing/>
        <w:jc w:val="center"/>
        <w:rPr>
          <w:rFonts w:ascii="Arial" w:hAnsi="Arial" w:cs="Arial"/>
          <w:sz w:val="22"/>
          <w:szCs w:val="22"/>
        </w:rPr>
      </w:pPr>
      <w:r w:rsidRPr="00D8640B">
        <w:rPr>
          <w:rFonts w:ascii="Arial" w:hAnsi="Arial" w:cs="Arial"/>
          <w:sz w:val="22"/>
          <w:szCs w:val="22"/>
        </w:rPr>
        <w:t xml:space="preserve">Sursa datelor: </w:t>
      </w:r>
      <w:r w:rsidR="00CC0DB8" w:rsidRPr="00D8640B">
        <w:rPr>
          <w:rFonts w:ascii="Arial" w:hAnsi="Arial" w:cs="Arial"/>
          <w:sz w:val="22"/>
          <w:szCs w:val="22"/>
        </w:rPr>
        <w:t>I</w:t>
      </w:r>
      <w:r w:rsidRPr="00D8640B">
        <w:rPr>
          <w:rFonts w:ascii="Arial" w:hAnsi="Arial" w:cs="Arial"/>
          <w:sz w:val="22"/>
          <w:szCs w:val="22"/>
        </w:rPr>
        <w:t>nspectoratele şcolare</w:t>
      </w:r>
    </w:p>
    <w:p w:rsidR="00020E62" w:rsidRPr="00921232" w:rsidRDefault="00020E62" w:rsidP="003914C9">
      <w:pPr>
        <w:pStyle w:val="ListParagraph"/>
        <w:tabs>
          <w:tab w:val="left" w:pos="0"/>
        </w:tabs>
        <w:ind w:left="90"/>
        <w:contextualSpacing/>
        <w:rPr>
          <w:rFonts w:ascii="Arial" w:hAnsi="Arial" w:cs="Arial"/>
          <w:sz w:val="24"/>
          <w:szCs w:val="24"/>
        </w:rPr>
      </w:pPr>
    </w:p>
    <w:p w:rsidR="00921232" w:rsidRDefault="00921232" w:rsidP="00921232">
      <w:pPr>
        <w:spacing w:after="0" w:line="240" w:lineRule="auto"/>
        <w:jc w:val="both"/>
        <w:rPr>
          <w:rFonts w:ascii="Arial" w:hAnsi="Arial" w:cs="Arial"/>
          <w:sz w:val="24"/>
          <w:szCs w:val="24"/>
        </w:rPr>
      </w:pPr>
      <w:r w:rsidRPr="00E56B15">
        <w:rPr>
          <w:rFonts w:ascii="Arial" w:hAnsi="Arial" w:cs="Arial"/>
          <w:sz w:val="24"/>
          <w:szCs w:val="24"/>
        </w:rPr>
        <w:t>Se poate observă că dezechilibrul regional este datorat în mare măsura ofertei din județul Timiș, în cazul acestui județ realocarea în valoare absolută de 18 clase fiind mai mare decât pentru celelalte tre</w:t>
      </w:r>
      <w:r>
        <w:rPr>
          <w:rFonts w:ascii="Arial" w:hAnsi="Arial" w:cs="Arial"/>
          <w:sz w:val="24"/>
          <w:szCs w:val="24"/>
        </w:rPr>
        <w:t>i județe împreună, de 12 clase.</w:t>
      </w:r>
    </w:p>
    <w:p w:rsidR="00921232" w:rsidRDefault="00921232" w:rsidP="00921232">
      <w:pPr>
        <w:spacing w:after="0" w:line="240" w:lineRule="auto"/>
        <w:jc w:val="both"/>
        <w:rPr>
          <w:rFonts w:ascii="Arial" w:hAnsi="Arial" w:cs="Arial"/>
          <w:sz w:val="24"/>
          <w:szCs w:val="24"/>
        </w:rPr>
      </w:pPr>
      <w:r>
        <w:rPr>
          <w:rFonts w:ascii="Arial" w:hAnsi="Arial" w:cs="Arial"/>
          <w:sz w:val="24"/>
          <w:szCs w:val="24"/>
        </w:rPr>
        <w:t xml:space="preserve">Distribuția numărului de elevi cuprinși în IPT în 2016-2017, arată un dezechilibru la nivelul domeniilor de calificare, situație care necesită o analiză în raport cu cererea de calificări de pe piața muncii împreună cu capacitatea școlilor de a oferi calificări în domeniile solicitate. </w:t>
      </w:r>
    </w:p>
    <w:p w:rsidR="00921232" w:rsidRDefault="00921232" w:rsidP="00921232">
      <w:pPr>
        <w:spacing w:after="0" w:line="240" w:lineRule="auto"/>
        <w:jc w:val="both"/>
        <w:rPr>
          <w:rFonts w:ascii="Arial" w:hAnsi="Arial" w:cs="Arial"/>
          <w:sz w:val="24"/>
          <w:szCs w:val="24"/>
        </w:rPr>
      </w:pPr>
      <w:r>
        <w:rPr>
          <w:rFonts w:ascii="Arial" w:hAnsi="Arial" w:cs="Arial"/>
          <w:sz w:val="24"/>
          <w:szCs w:val="24"/>
        </w:rPr>
        <w:lastRenderedPageBreak/>
        <w:t>Distribuția ofertei este similară cu cea de la nivel național, fără a reflecta vreun specific regional al economiei.</w:t>
      </w:r>
    </w:p>
    <w:p w:rsidR="00921232" w:rsidRDefault="00921232" w:rsidP="00921232">
      <w:pPr>
        <w:spacing w:after="0" w:line="240" w:lineRule="auto"/>
        <w:jc w:val="both"/>
        <w:rPr>
          <w:rFonts w:ascii="Arial" w:hAnsi="Arial" w:cs="Arial"/>
          <w:sz w:val="24"/>
          <w:szCs w:val="24"/>
        </w:rPr>
      </w:pPr>
      <w:r>
        <w:rPr>
          <w:rFonts w:ascii="Arial" w:hAnsi="Arial" w:cs="Arial"/>
          <w:sz w:val="24"/>
          <w:szCs w:val="24"/>
        </w:rPr>
        <w:t xml:space="preserve">Aparent Domeniul Mecanică este cel mai reprezentativ, iar analizele detaliate pot arata că acest domeniul curpinde un număr mare de calificări, însă ofertele județelor nu reflectă o prea mare diversificare și diferențiere la nivel de calificări. </w:t>
      </w:r>
    </w:p>
    <w:p w:rsidR="00921232" w:rsidRDefault="00921232" w:rsidP="00921232">
      <w:pPr>
        <w:spacing w:after="0" w:line="240" w:lineRule="auto"/>
        <w:jc w:val="both"/>
        <w:rPr>
          <w:rFonts w:ascii="Arial" w:hAnsi="Arial" w:cs="Arial"/>
          <w:sz w:val="24"/>
          <w:szCs w:val="24"/>
        </w:rPr>
      </w:pPr>
      <w:r>
        <w:rPr>
          <w:rFonts w:ascii="Arial" w:hAnsi="Arial" w:cs="Arial"/>
          <w:sz w:val="24"/>
          <w:szCs w:val="24"/>
        </w:rPr>
        <w:t xml:space="preserve"> Situația este similară și dacă avem în vedere oferta pentru IPT liceu tehnologic, cu următoarele aspecte specifice: </w:t>
      </w:r>
    </w:p>
    <w:p w:rsidR="00921232" w:rsidRPr="00020E62" w:rsidRDefault="00020E62" w:rsidP="00020E62">
      <w:pPr>
        <w:pStyle w:val="ListParagraph"/>
        <w:tabs>
          <w:tab w:val="left" w:pos="0"/>
        </w:tabs>
        <w:ind w:left="90"/>
        <w:contextualSpacing/>
        <w:jc w:val="center"/>
        <w:rPr>
          <w:rFonts w:ascii="Arial" w:hAnsi="Arial" w:cs="Arial"/>
          <w:sz w:val="22"/>
          <w:szCs w:val="22"/>
        </w:rPr>
      </w:pPr>
      <w:r w:rsidRPr="00020E62">
        <w:rPr>
          <w:rFonts w:ascii="Arial" w:hAnsi="Arial" w:cs="Arial"/>
          <w:sz w:val="22"/>
          <w:szCs w:val="22"/>
        </w:rPr>
        <w:t>Figura 3</w:t>
      </w:r>
      <w:r w:rsidR="00373E67">
        <w:rPr>
          <w:rFonts w:ascii="Arial" w:hAnsi="Arial" w:cs="Arial"/>
          <w:sz w:val="22"/>
          <w:szCs w:val="22"/>
        </w:rPr>
        <w:t>3</w:t>
      </w:r>
    </w:p>
    <w:p w:rsidR="00921232" w:rsidRDefault="00921232" w:rsidP="000C6A67">
      <w:pPr>
        <w:spacing w:after="0" w:line="240" w:lineRule="auto"/>
        <w:contextualSpacing/>
        <w:rPr>
          <w:rFonts w:ascii="Arial" w:hAnsi="Arial" w:cs="Arial"/>
          <w:b/>
          <w:i/>
          <w:sz w:val="24"/>
          <w:szCs w:val="24"/>
        </w:rPr>
      </w:pPr>
      <w:r w:rsidRPr="00921232">
        <w:rPr>
          <w:rFonts w:ascii="Arial" w:hAnsi="Arial" w:cs="Arial"/>
          <w:b/>
          <w:i/>
          <w:noProof/>
          <w:sz w:val="24"/>
          <w:szCs w:val="24"/>
          <w:bdr w:val="single" w:sz="4" w:space="0" w:color="auto"/>
          <w:lang w:val="en-US"/>
        </w:rPr>
        <w:drawing>
          <wp:inline distT="0" distB="0" distL="0" distR="0">
            <wp:extent cx="5942330" cy="3895725"/>
            <wp:effectExtent l="19050" t="0" r="20320" b="0"/>
            <wp:docPr id="1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921232" w:rsidRPr="00D8640B" w:rsidRDefault="00921232" w:rsidP="00AD4F1F">
      <w:pPr>
        <w:pStyle w:val="ListParagraph"/>
        <w:tabs>
          <w:tab w:val="left" w:pos="0"/>
        </w:tabs>
        <w:ind w:left="90"/>
        <w:contextualSpacing/>
        <w:jc w:val="center"/>
        <w:rPr>
          <w:rFonts w:ascii="Arial" w:hAnsi="Arial" w:cs="Arial"/>
          <w:sz w:val="22"/>
          <w:szCs w:val="22"/>
        </w:rPr>
      </w:pPr>
      <w:r w:rsidRPr="00D8640B">
        <w:rPr>
          <w:rFonts w:ascii="Arial" w:hAnsi="Arial" w:cs="Arial"/>
          <w:sz w:val="22"/>
          <w:szCs w:val="22"/>
        </w:rPr>
        <w:t xml:space="preserve">Sursa datelor: </w:t>
      </w:r>
      <w:r w:rsidR="00AD4F1F" w:rsidRPr="00D8640B">
        <w:rPr>
          <w:rFonts w:ascii="Arial" w:hAnsi="Arial" w:cs="Arial"/>
          <w:sz w:val="22"/>
          <w:szCs w:val="22"/>
        </w:rPr>
        <w:t>I</w:t>
      </w:r>
      <w:r w:rsidRPr="00D8640B">
        <w:rPr>
          <w:rFonts w:ascii="Arial" w:hAnsi="Arial" w:cs="Arial"/>
          <w:sz w:val="22"/>
          <w:szCs w:val="22"/>
        </w:rPr>
        <w:t>nspectoratele şcolare</w:t>
      </w:r>
    </w:p>
    <w:p w:rsidR="00921232" w:rsidRDefault="00921232" w:rsidP="000C6A67">
      <w:pPr>
        <w:spacing w:after="0" w:line="240" w:lineRule="auto"/>
        <w:contextualSpacing/>
        <w:rPr>
          <w:rFonts w:ascii="Arial" w:hAnsi="Arial" w:cs="Arial"/>
          <w:b/>
          <w:i/>
          <w:sz w:val="24"/>
          <w:szCs w:val="24"/>
        </w:rPr>
      </w:pPr>
    </w:p>
    <w:p w:rsidR="00F029F0" w:rsidRPr="00020E62" w:rsidRDefault="00F029F0" w:rsidP="000C6A67">
      <w:pPr>
        <w:spacing w:after="0" w:line="240" w:lineRule="auto"/>
        <w:contextualSpacing/>
        <w:rPr>
          <w:rFonts w:ascii="Arial" w:hAnsi="Arial" w:cs="Arial"/>
          <w:i/>
          <w:sz w:val="24"/>
          <w:szCs w:val="24"/>
        </w:rPr>
      </w:pPr>
      <w:r w:rsidRPr="00020E62">
        <w:rPr>
          <w:rFonts w:ascii="Arial" w:hAnsi="Arial" w:cs="Arial"/>
          <w:i/>
          <w:sz w:val="24"/>
          <w:szCs w:val="24"/>
        </w:rPr>
        <w:t>Analiza ofertei de educaţie şi formare profesională iniţială la învăţământului liceal tehnologic şi profesional pe domenii de formare profesională</w:t>
      </w:r>
    </w:p>
    <w:p w:rsidR="00B7307A" w:rsidRPr="004862A6" w:rsidRDefault="00B7307A" w:rsidP="00B7307A">
      <w:pPr>
        <w:spacing w:after="0" w:line="240" w:lineRule="auto"/>
        <w:jc w:val="both"/>
        <w:rPr>
          <w:rFonts w:ascii="Arial" w:hAnsi="Arial" w:cs="Arial"/>
          <w:sz w:val="24"/>
          <w:szCs w:val="24"/>
        </w:rPr>
      </w:pPr>
      <w:r w:rsidRPr="004862A6">
        <w:rPr>
          <w:rFonts w:ascii="Arial" w:hAnsi="Arial" w:cs="Arial"/>
          <w:sz w:val="24"/>
          <w:szCs w:val="24"/>
        </w:rPr>
        <w:t>Av</w:t>
      </w:r>
      <w:r>
        <w:rPr>
          <w:rFonts w:ascii="Arial" w:hAnsi="Arial" w:cs="Arial"/>
          <w:sz w:val="24"/>
          <w:szCs w:val="24"/>
        </w:rPr>
        <w:t>â</w:t>
      </w:r>
      <w:r w:rsidRPr="004862A6">
        <w:rPr>
          <w:rFonts w:ascii="Arial" w:hAnsi="Arial" w:cs="Arial"/>
          <w:sz w:val="24"/>
          <w:szCs w:val="24"/>
        </w:rPr>
        <w:t xml:space="preserve">nd </w:t>
      </w:r>
      <w:r>
        <w:rPr>
          <w:rFonts w:ascii="Arial" w:hAnsi="Arial" w:cs="Arial"/>
          <w:sz w:val="24"/>
          <w:szCs w:val="24"/>
        </w:rPr>
        <w:t>î</w:t>
      </w:r>
      <w:r w:rsidRPr="004862A6">
        <w:rPr>
          <w:rFonts w:ascii="Arial" w:hAnsi="Arial" w:cs="Arial"/>
          <w:sz w:val="24"/>
          <w:szCs w:val="24"/>
        </w:rPr>
        <w:t>n vedere informatiile directe din pia</w:t>
      </w:r>
      <w:r>
        <w:rPr>
          <w:rFonts w:ascii="Arial" w:hAnsi="Arial" w:cs="Arial"/>
          <w:sz w:val="24"/>
          <w:szCs w:val="24"/>
        </w:rPr>
        <w:t>ț</w:t>
      </w:r>
      <w:r w:rsidRPr="004862A6">
        <w:rPr>
          <w:rFonts w:ascii="Arial" w:hAnsi="Arial" w:cs="Arial"/>
          <w:sz w:val="24"/>
          <w:szCs w:val="24"/>
        </w:rPr>
        <w:t xml:space="preserve">a muncii privind domeniile cele mai solicitate, prin contractele de cooperare ale companiilor cu </w:t>
      </w:r>
      <w:r>
        <w:rPr>
          <w:rFonts w:ascii="Arial" w:hAnsi="Arial" w:cs="Arial"/>
          <w:sz w:val="24"/>
          <w:szCs w:val="24"/>
        </w:rPr>
        <w:t>ș</w:t>
      </w:r>
      <w:r w:rsidRPr="004862A6">
        <w:rPr>
          <w:rFonts w:ascii="Arial" w:hAnsi="Arial" w:cs="Arial"/>
          <w:sz w:val="24"/>
          <w:szCs w:val="24"/>
        </w:rPr>
        <w:t>colile din regiune (pentru instruire practic</w:t>
      </w:r>
      <w:r>
        <w:rPr>
          <w:rFonts w:ascii="Arial" w:hAnsi="Arial" w:cs="Arial"/>
          <w:sz w:val="24"/>
          <w:szCs w:val="24"/>
        </w:rPr>
        <w:t>ă</w:t>
      </w:r>
      <w:r w:rsidRPr="004862A6">
        <w:rPr>
          <w:rFonts w:ascii="Arial" w:hAnsi="Arial" w:cs="Arial"/>
          <w:sz w:val="24"/>
          <w:szCs w:val="24"/>
        </w:rPr>
        <w:t xml:space="preserve"> pentru </w:t>
      </w:r>
      <w:r>
        <w:rPr>
          <w:rFonts w:ascii="Arial" w:hAnsi="Arial" w:cs="Arial"/>
          <w:sz w:val="24"/>
          <w:szCs w:val="24"/>
        </w:rPr>
        <w:t>ș</w:t>
      </w:r>
      <w:r w:rsidRPr="004862A6">
        <w:rPr>
          <w:rFonts w:ascii="Arial" w:hAnsi="Arial" w:cs="Arial"/>
          <w:sz w:val="24"/>
          <w:szCs w:val="24"/>
        </w:rPr>
        <w:t>coala profesional</w:t>
      </w:r>
      <w:r>
        <w:rPr>
          <w:rFonts w:ascii="Arial" w:hAnsi="Arial" w:cs="Arial"/>
          <w:sz w:val="24"/>
          <w:szCs w:val="24"/>
        </w:rPr>
        <w:t>ă</w:t>
      </w:r>
      <w:r w:rsidRPr="004862A6">
        <w:rPr>
          <w:rFonts w:ascii="Arial" w:hAnsi="Arial" w:cs="Arial"/>
          <w:sz w:val="24"/>
          <w:szCs w:val="24"/>
        </w:rPr>
        <w:t xml:space="preserve"> </w:t>
      </w:r>
      <w:r>
        <w:rPr>
          <w:rFonts w:ascii="Arial" w:hAnsi="Arial" w:cs="Arial"/>
          <w:sz w:val="24"/>
          <w:szCs w:val="24"/>
        </w:rPr>
        <w:t>ș</w:t>
      </w:r>
      <w:r w:rsidRPr="004862A6">
        <w:rPr>
          <w:rFonts w:ascii="Arial" w:hAnsi="Arial" w:cs="Arial"/>
          <w:sz w:val="24"/>
          <w:szCs w:val="24"/>
        </w:rPr>
        <w:t>i liceu tehnologic), putem concluziona c</w:t>
      </w:r>
      <w:r>
        <w:rPr>
          <w:rFonts w:ascii="Arial" w:hAnsi="Arial" w:cs="Arial"/>
          <w:sz w:val="24"/>
          <w:szCs w:val="24"/>
        </w:rPr>
        <w:t>ă</w:t>
      </w:r>
      <w:r w:rsidRPr="004862A6">
        <w:rPr>
          <w:rFonts w:ascii="Arial" w:hAnsi="Arial" w:cs="Arial"/>
          <w:sz w:val="24"/>
          <w:szCs w:val="24"/>
        </w:rPr>
        <w:t xml:space="preserve"> cele mai importante domenii de calificare relevante pentru economia regiunii sunt: Mecanic</w:t>
      </w:r>
      <w:r>
        <w:rPr>
          <w:rFonts w:ascii="Arial" w:hAnsi="Arial" w:cs="Arial"/>
          <w:sz w:val="24"/>
          <w:szCs w:val="24"/>
        </w:rPr>
        <w:t>ă</w:t>
      </w:r>
      <w:r w:rsidRPr="004862A6">
        <w:rPr>
          <w:rFonts w:ascii="Arial" w:hAnsi="Arial" w:cs="Arial"/>
          <w:sz w:val="24"/>
          <w:szCs w:val="24"/>
        </w:rPr>
        <w:t>, Electromecanic</w:t>
      </w:r>
      <w:r>
        <w:rPr>
          <w:rFonts w:ascii="Arial" w:hAnsi="Arial" w:cs="Arial"/>
          <w:sz w:val="24"/>
          <w:szCs w:val="24"/>
        </w:rPr>
        <w:t>ă</w:t>
      </w:r>
      <w:r w:rsidRPr="004862A6">
        <w:rPr>
          <w:rFonts w:ascii="Arial" w:hAnsi="Arial" w:cs="Arial"/>
          <w:sz w:val="24"/>
          <w:szCs w:val="24"/>
        </w:rPr>
        <w:t>, Electronic</w:t>
      </w:r>
      <w:r>
        <w:rPr>
          <w:rFonts w:ascii="Arial" w:hAnsi="Arial" w:cs="Arial"/>
          <w:sz w:val="24"/>
          <w:szCs w:val="24"/>
        </w:rPr>
        <w:t>ă</w:t>
      </w:r>
      <w:r w:rsidRPr="004862A6">
        <w:rPr>
          <w:rFonts w:ascii="Arial" w:hAnsi="Arial" w:cs="Arial"/>
          <w:sz w:val="24"/>
          <w:szCs w:val="24"/>
        </w:rPr>
        <w:t xml:space="preserve"> </w:t>
      </w:r>
      <w:r>
        <w:rPr>
          <w:rFonts w:ascii="Arial" w:hAnsi="Arial" w:cs="Arial"/>
          <w:sz w:val="24"/>
          <w:szCs w:val="24"/>
        </w:rPr>
        <w:t>ș</w:t>
      </w:r>
      <w:r w:rsidRPr="004862A6">
        <w:rPr>
          <w:rFonts w:ascii="Arial" w:hAnsi="Arial" w:cs="Arial"/>
          <w:sz w:val="24"/>
          <w:szCs w:val="24"/>
        </w:rPr>
        <w:t xml:space="preserve">i automatizari, Electric, Economic, Turtism </w:t>
      </w:r>
      <w:r>
        <w:rPr>
          <w:rFonts w:ascii="Arial" w:hAnsi="Arial" w:cs="Arial"/>
          <w:sz w:val="24"/>
          <w:szCs w:val="24"/>
        </w:rPr>
        <w:t>ș</w:t>
      </w:r>
      <w:r w:rsidRPr="004862A6">
        <w:rPr>
          <w:rFonts w:ascii="Arial" w:hAnsi="Arial" w:cs="Arial"/>
          <w:sz w:val="24"/>
          <w:szCs w:val="24"/>
        </w:rPr>
        <w:t>i alimenta</w:t>
      </w:r>
      <w:r>
        <w:rPr>
          <w:rFonts w:ascii="Arial" w:hAnsi="Arial" w:cs="Arial"/>
          <w:sz w:val="24"/>
          <w:szCs w:val="24"/>
        </w:rPr>
        <w:t>ț</w:t>
      </w:r>
      <w:r w:rsidRPr="004862A6">
        <w:rPr>
          <w:rFonts w:ascii="Arial" w:hAnsi="Arial" w:cs="Arial"/>
          <w:sz w:val="24"/>
          <w:szCs w:val="24"/>
        </w:rPr>
        <w:t xml:space="preserve">ie. </w:t>
      </w:r>
    </w:p>
    <w:p w:rsidR="00B7307A" w:rsidRPr="004862A6" w:rsidRDefault="00B7307A" w:rsidP="00B7307A">
      <w:pPr>
        <w:spacing w:after="0" w:line="240" w:lineRule="auto"/>
        <w:jc w:val="both"/>
        <w:rPr>
          <w:rFonts w:ascii="Arial" w:hAnsi="Arial" w:cs="Arial"/>
          <w:sz w:val="24"/>
          <w:szCs w:val="24"/>
        </w:rPr>
      </w:pPr>
      <w:r w:rsidRPr="004862A6">
        <w:rPr>
          <w:rFonts w:ascii="Arial" w:hAnsi="Arial" w:cs="Arial"/>
          <w:b/>
          <w:sz w:val="24"/>
          <w:szCs w:val="24"/>
        </w:rPr>
        <w:t>Domeniul Mecanic</w:t>
      </w:r>
      <w:r>
        <w:rPr>
          <w:rFonts w:ascii="Arial" w:hAnsi="Arial" w:cs="Arial"/>
          <w:b/>
          <w:sz w:val="24"/>
          <w:szCs w:val="24"/>
        </w:rPr>
        <w:t>ă</w:t>
      </w:r>
      <w:r w:rsidRPr="004862A6">
        <w:rPr>
          <w:rFonts w:ascii="Arial" w:hAnsi="Arial" w:cs="Arial"/>
          <w:sz w:val="24"/>
          <w:szCs w:val="24"/>
        </w:rPr>
        <w:t xml:space="preserve"> figureaz</w:t>
      </w:r>
      <w:r>
        <w:rPr>
          <w:rFonts w:ascii="Arial" w:hAnsi="Arial" w:cs="Arial"/>
          <w:sz w:val="24"/>
          <w:szCs w:val="24"/>
        </w:rPr>
        <w:t>ă</w:t>
      </w:r>
      <w:r w:rsidRPr="004862A6">
        <w:rPr>
          <w:rFonts w:ascii="Arial" w:hAnsi="Arial" w:cs="Arial"/>
          <w:sz w:val="24"/>
          <w:szCs w:val="24"/>
        </w:rPr>
        <w:t xml:space="preserve"> </w:t>
      </w:r>
      <w:r>
        <w:rPr>
          <w:rFonts w:ascii="Arial" w:hAnsi="Arial" w:cs="Arial"/>
          <w:sz w:val="24"/>
          <w:szCs w:val="24"/>
        </w:rPr>
        <w:t>î</w:t>
      </w:r>
      <w:r w:rsidRPr="004862A6">
        <w:rPr>
          <w:rFonts w:ascii="Arial" w:hAnsi="Arial" w:cs="Arial"/>
          <w:sz w:val="24"/>
          <w:szCs w:val="24"/>
        </w:rPr>
        <w:t>n oferta regional</w:t>
      </w:r>
      <w:r>
        <w:rPr>
          <w:rFonts w:ascii="Arial" w:hAnsi="Arial" w:cs="Arial"/>
          <w:sz w:val="24"/>
          <w:szCs w:val="24"/>
        </w:rPr>
        <w:t>ă</w:t>
      </w:r>
      <w:r w:rsidRPr="004862A6">
        <w:rPr>
          <w:rFonts w:ascii="Arial" w:hAnsi="Arial" w:cs="Arial"/>
          <w:sz w:val="24"/>
          <w:szCs w:val="24"/>
        </w:rPr>
        <w:t xml:space="preserve"> cu o pondere de 20%, cu tendin</w:t>
      </w:r>
      <w:r>
        <w:rPr>
          <w:rFonts w:ascii="Arial" w:hAnsi="Arial" w:cs="Arial"/>
          <w:sz w:val="24"/>
          <w:szCs w:val="24"/>
        </w:rPr>
        <w:t>ț</w:t>
      </w:r>
      <w:r w:rsidRPr="004862A6">
        <w:rPr>
          <w:rFonts w:ascii="Arial" w:hAnsi="Arial" w:cs="Arial"/>
          <w:sz w:val="24"/>
          <w:szCs w:val="24"/>
        </w:rPr>
        <w:t>a cresc</w:t>
      </w:r>
      <w:r>
        <w:rPr>
          <w:rFonts w:ascii="Arial" w:hAnsi="Arial" w:cs="Arial"/>
          <w:sz w:val="24"/>
          <w:szCs w:val="24"/>
        </w:rPr>
        <w:t>ă</w:t>
      </w:r>
      <w:r w:rsidRPr="004862A6">
        <w:rPr>
          <w:rFonts w:ascii="Arial" w:hAnsi="Arial" w:cs="Arial"/>
          <w:sz w:val="24"/>
          <w:szCs w:val="24"/>
        </w:rPr>
        <w:t xml:space="preserve">toare, </w:t>
      </w:r>
      <w:r>
        <w:rPr>
          <w:rFonts w:ascii="Arial" w:hAnsi="Arial" w:cs="Arial"/>
          <w:sz w:val="24"/>
          <w:szCs w:val="24"/>
        </w:rPr>
        <w:t>ș</w:t>
      </w:r>
      <w:r w:rsidRPr="004862A6">
        <w:rPr>
          <w:rFonts w:ascii="Arial" w:hAnsi="Arial" w:cs="Arial"/>
          <w:sz w:val="24"/>
          <w:szCs w:val="24"/>
        </w:rPr>
        <w:t>i dac</w:t>
      </w:r>
      <w:r>
        <w:rPr>
          <w:rFonts w:ascii="Arial" w:hAnsi="Arial" w:cs="Arial"/>
          <w:sz w:val="24"/>
          <w:szCs w:val="24"/>
        </w:rPr>
        <w:t>ă</w:t>
      </w:r>
      <w:r w:rsidRPr="004862A6">
        <w:rPr>
          <w:rFonts w:ascii="Arial" w:hAnsi="Arial" w:cs="Arial"/>
          <w:sz w:val="24"/>
          <w:szCs w:val="24"/>
        </w:rPr>
        <w:t xml:space="preserve"> </w:t>
      </w:r>
      <w:r>
        <w:rPr>
          <w:rFonts w:ascii="Arial" w:hAnsi="Arial" w:cs="Arial"/>
          <w:sz w:val="24"/>
          <w:szCs w:val="24"/>
        </w:rPr>
        <w:t>î</w:t>
      </w:r>
      <w:r w:rsidRPr="004862A6">
        <w:rPr>
          <w:rFonts w:ascii="Arial" w:hAnsi="Arial" w:cs="Arial"/>
          <w:sz w:val="24"/>
          <w:szCs w:val="24"/>
        </w:rPr>
        <w:t>n 2014 oferta era u</w:t>
      </w:r>
      <w:r>
        <w:rPr>
          <w:rFonts w:ascii="Arial" w:hAnsi="Arial" w:cs="Arial"/>
          <w:sz w:val="24"/>
          <w:szCs w:val="24"/>
        </w:rPr>
        <w:t>ș</w:t>
      </w:r>
      <w:r w:rsidRPr="004862A6">
        <w:rPr>
          <w:rFonts w:ascii="Arial" w:hAnsi="Arial" w:cs="Arial"/>
          <w:sz w:val="24"/>
          <w:szCs w:val="24"/>
        </w:rPr>
        <w:t xml:space="preserve">or sub </w:t>
      </w:r>
      <w:r>
        <w:rPr>
          <w:rFonts w:ascii="Arial" w:hAnsi="Arial" w:cs="Arial"/>
          <w:sz w:val="24"/>
          <w:szCs w:val="24"/>
        </w:rPr>
        <w:t>ț</w:t>
      </w:r>
      <w:r w:rsidRPr="004862A6">
        <w:rPr>
          <w:rFonts w:ascii="Arial" w:hAnsi="Arial" w:cs="Arial"/>
          <w:sz w:val="24"/>
          <w:szCs w:val="24"/>
        </w:rPr>
        <w:t>inta regional</w:t>
      </w:r>
      <w:r>
        <w:rPr>
          <w:rFonts w:ascii="Arial" w:hAnsi="Arial" w:cs="Arial"/>
          <w:sz w:val="24"/>
          <w:szCs w:val="24"/>
        </w:rPr>
        <w:t>ă, atunci</w:t>
      </w:r>
      <w:r w:rsidRPr="004862A6">
        <w:rPr>
          <w:rFonts w:ascii="Arial" w:hAnsi="Arial" w:cs="Arial"/>
          <w:sz w:val="24"/>
          <w:szCs w:val="24"/>
        </w:rPr>
        <w:t xml:space="preserve"> </w:t>
      </w:r>
      <w:r>
        <w:rPr>
          <w:rFonts w:ascii="Arial" w:hAnsi="Arial" w:cs="Arial"/>
          <w:sz w:val="24"/>
          <w:szCs w:val="24"/>
        </w:rPr>
        <w:t>î</w:t>
      </w:r>
      <w:r w:rsidRPr="004862A6">
        <w:rPr>
          <w:rFonts w:ascii="Arial" w:hAnsi="Arial" w:cs="Arial"/>
          <w:sz w:val="24"/>
          <w:szCs w:val="24"/>
        </w:rPr>
        <w:t xml:space="preserve">n 2015 </w:t>
      </w:r>
      <w:r>
        <w:rPr>
          <w:rFonts w:ascii="Arial" w:hAnsi="Arial" w:cs="Arial"/>
          <w:sz w:val="24"/>
          <w:szCs w:val="24"/>
        </w:rPr>
        <w:t>ș</w:t>
      </w:r>
      <w:r w:rsidRPr="004862A6">
        <w:rPr>
          <w:rFonts w:ascii="Arial" w:hAnsi="Arial" w:cs="Arial"/>
          <w:sz w:val="24"/>
          <w:szCs w:val="24"/>
        </w:rPr>
        <w:t xml:space="preserve">i 2016 </w:t>
      </w:r>
      <w:r>
        <w:rPr>
          <w:rFonts w:ascii="Arial" w:hAnsi="Arial" w:cs="Arial"/>
          <w:sz w:val="24"/>
          <w:szCs w:val="24"/>
        </w:rPr>
        <w:t>ț</w:t>
      </w:r>
      <w:r w:rsidRPr="004862A6">
        <w:rPr>
          <w:rFonts w:ascii="Arial" w:hAnsi="Arial" w:cs="Arial"/>
          <w:sz w:val="24"/>
          <w:szCs w:val="24"/>
        </w:rPr>
        <w:t>inta a fost atins</w:t>
      </w:r>
      <w:r>
        <w:rPr>
          <w:rFonts w:ascii="Arial" w:hAnsi="Arial" w:cs="Arial"/>
          <w:sz w:val="24"/>
          <w:szCs w:val="24"/>
        </w:rPr>
        <w:t>ă</w:t>
      </w:r>
      <w:r w:rsidRPr="004862A6">
        <w:rPr>
          <w:rFonts w:ascii="Arial" w:hAnsi="Arial" w:cs="Arial"/>
          <w:sz w:val="24"/>
          <w:szCs w:val="24"/>
        </w:rPr>
        <w:t xml:space="preserve"> </w:t>
      </w:r>
      <w:r>
        <w:rPr>
          <w:rFonts w:ascii="Arial" w:hAnsi="Arial" w:cs="Arial"/>
          <w:sz w:val="24"/>
          <w:szCs w:val="24"/>
        </w:rPr>
        <w:t>ș</w:t>
      </w:r>
      <w:r w:rsidRPr="004862A6">
        <w:rPr>
          <w:rFonts w:ascii="Arial" w:hAnsi="Arial" w:cs="Arial"/>
          <w:sz w:val="24"/>
          <w:szCs w:val="24"/>
        </w:rPr>
        <w:t>i u</w:t>
      </w:r>
      <w:r>
        <w:rPr>
          <w:rFonts w:ascii="Arial" w:hAnsi="Arial" w:cs="Arial"/>
          <w:sz w:val="24"/>
          <w:szCs w:val="24"/>
        </w:rPr>
        <w:t>ș</w:t>
      </w:r>
      <w:r w:rsidRPr="004862A6">
        <w:rPr>
          <w:rFonts w:ascii="Arial" w:hAnsi="Arial" w:cs="Arial"/>
          <w:sz w:val="24"/>
          <w:szCs w:val="24"/>
        </w:rPr>
        <w:t>or dep</w:t>
      </w:r>
      <w:r>
        <w:rPr>
          <w:rFonts w:ascii="Arial" w:hAnsi="Arial" w:cs="Arial"/>
          <w:sz w:val="24"/>
          <w:szCs w:val="24"/>
        </w:rPr>
        <w:t>ăș</w:t>
      </w:r>
      <w:r w:rsidRPr="004862A6">
        <w:rPr>
          <w:rFonts w:ascii="Arial" w:hAnsi="Arial" w:cs="Arial"/>
          <w:sz w:val="24"/>
          <w:szCs w:val="24"/>
        </w:rPr>
        <w:t>it</w:t>
      </w:r>
      <w:r>
        <w:rPr>
          <w:rFonts w:ascii="Arial" w:hAnsi="Arial" w:cs="Arial"/>
          <w:sz w:val="24"/>
          <w:szCs w:val="24"/>
        </w:rPr>
        <w:t>ă</w:t>
      </w:r>
      <w:r w:rsidRPr="004862A6">
        <w:rPr>
          <w:rFonts w:ascii="Arial" w:hAnsi="Arial" w:cs="Arial"/>
          <w:sz w:val="24"/>
          <w:szCs w:val="24"/>
        </w:rPr>
        <w:t>. Acest domeniu apare cu cea mai mare valoare absolut</w:t>
      </w:r>
      <w:r>
        <w:rPr>
          <w:rFonts w:ascii="Arial" w:hAnsi="Arial" w:cs="Arial"/>
          <w:sz w:val="24"/>
          <w:szCs w:val="24"/>
        </w:rPr>
        <w:t>ă</w:t>
      </w:r>
      <w:r w:rsidRPr="004862A6">
        <w:rPr>
          <w:rFonts w:ascii="Arial" w:hAnsi="Arial" w:cs="Arial"/>
          <w:sz w:val="24"/>
          <w:szCs w:val="24"/>
        </w:rPr>
        <w:t xml:space="preserve"> a num</w:t>
      </w:r>
      <w:r>
        <w:rPr>
          <w:rFonts w:ascii="Arial" w:hAnsi="Arial" w:cs="Arial"/>
          <w:sz w:val="24"/>
          <w:szCs w:val="24"/>
        </w:rPr>
        <w:t>ă</w:t>
      </w:r>
      <w:r w:rsidRPr="004862A6">
        <w:rPr>
          <w:rFonts w:ascii="Arial" w:hAnsi="Arial" w:cs="Arial"/>
          <w:sz w:val="24"/>
          <w:szCs w:val="24"/>
        </w:rPr>
        <w:t xml:space="preserve">rului de elevi, </w:t>
      </w:r>
      <w:r>
        <w:rPr>
          <w:rFonts w:ascii="Arial" w:hAnsi="Arial" w:cs="Arial"/>
          <w:sz w:val="24"/>
          <w:szCs w:val="24"/>
        </w:rPr>
        <w:t>ș</w:t>
      </w:r>
      <w:r w:rsidRPr="004862A6">
        <w:rPr>
          <w:rFonts w:ascii="Arial" w:hAnsi="Arial" w:cs="Arial"/>
          <w:sz w:val="24"/>
          <w:szCs w:val="24"/>
        </w:rPr>
        <w:t>i aceast</w:t>
      </w:r>
      <w:r>
        <w:rPr>
          <w:rFonts w:ascii="Arial" w:hAnsi="Arial" w:cs="Arial"/>
          <w:sz w:val="24"/>
          <w:szCs w:val="24"/>
        </w:rPr>
        <w:t>ă</w:t>
      </w:r>
      <w:r w:rsidRPr="004862A6">
        <w:rPr>
          <w:rFonts w:ascii="Arial" w:hAnsi="Arial" w:cs="Arial"/>
          <w:sz w:val="24"/>
          <w:szCs w:val="24"/>
        </w:rPr>
        <w:t xml:space="preserve"> valoare </w:t>
      </w:r>
      <w:r>
        <w:rPr>
          <w:rFonts w:ascii="Arial" w:hAnsi="Arial" w:cs="Arial"/>
          <w:sz w:val="24"/>
          <w:szCs w:val="24"/>
        </w:rPr>
        <w:t>î</w:t>
      </w:r>
      <w:r w:rsidRPr="004862A6">
        <w:rPr>
          <w:rFonts w:ascii="Arial" w:hAnsi="Arial" w:cs="Arial"/>
          <w:sz w:val="24"/>
          <w:szCs w:val="24"/>
        </w:rPr>
        <w:t>n cre</w:t>
      </w:r>
      <w:r>
        <w:rPr>
          <w:rFonts w:ascii="Arial" w:hAnsi="Arial" w:cs="Arial"/>
          <w:sz w:val="24"/>
          <w:szCs w:val="24"/>
        </w:rPr>
        <w:t>ș</w:t>
      </w:r>
      <w:r w:rsidRPr="004862A6">
        <w:rPr>
          <w:rFonts w:ascii="Arial" w:hAnsi="Arial" w:cs="Arial"/>
          <w:sz w:val="24"/>
          <w:szCs w:val="24"/>
        </w:rPr>
        <w:t xml:space="preserve">tere (1571 elevi </w:t>
      </w:r>
      <w:r>
        <w:rPr>
          <w:rFonts w:ascii="Arial" w:hAnsi="Arial" w:cs="Arial"/>
          <w:sz w:val="24"/>
          <w:szCs w:val="24"/>
        </w:rPr>
        <w:t>î</w:t>
      </w:r>
      <w:r w:rsidRPr="004862A6">
        <w:rPr>
          <w:rFonts w:ascii="Arial" w:hAnsi="Arial" w:cs="Arial"/>
          <w:sz w:val="24"/>
          <w:szCs w:val="24"/>
        </w:rPr>
        <w:t xml:space="preserve">n 2016), </w:t>
      </w:r>
      <w:r>
        <w:rPr>
          <w:rFonts w:ascii="Arial" w:hAnsi="Arial" w:cs="Arial"/>
          <w:sz w:val="24"/>
          <w:szCs w:val="24"/>
        </w:rPr>
        <w:t>î</w:t>
      </w:r>
      <w:r w:rsidRPr="004862A6">
        <w:rPr>
          <w:rFonts w:ascii="Arial" w:hAnsi="Arial" w:cs="Arial"/>
          <w:sz w:val="24"/>
          <w:szCs w:val="24"/>
        </w:rPr>
        <w:t>n concordan</w:t>
      </w:r>
      <w:r>
        <w:rPr>
          <w:rFonts w:ascii="Arial" w:hAnsi="Arial" w:cs="Arial"/>
          <w:sz w:val="24"/>
          <w:szCs w:val="24"/>
        </w:rPr>
        <w:t>ță</w:t>
      </w:r>
      <w:r w:rsidRPr="004862A6">
        <w:rPr>
          <w:rFonts w:ascii="Arial" w:hAnsi="Arial" w:cs="Arial"/>
          <w:sz w:val="24"/>
          <w:szCs w:val="24"/>
        </w:rPr>
        <w:t xml:space="preserve"> cu cererea economiei locale. </w:t>
      </w:r>
    </w:p>
    <w:p w:rsidR="00B7307A" w:rsidRDefault="00B7307A" w:rsidP="00B7307A">
      <w:pPr>
        <w:spacing w:after="0" w:line="240" w:lineRule="auto"/>
        <w:jc w:val="both"/>
        <w:rPr>
          <w:rFonts w:ascii="Arial" w:hAnsi="Arial" w:cs="Arial"/>
          <w:sz w:val="24"/>
          <w:szCs w:val="24"/>
        </w:rPr>
      </w:pPr>
      <w:r w:rsidRPr="004862A6">
        <w:rPr>
          <w:rFonts w:ascii="Arial" w:hAnsi="Arial" w:cs="Arial"/>
          <w:sz w:val="24"/>
          <w:szCs w:val="24"/>
        </w:rPr>
        <w:t>Trebuie men</w:t>
      </w:r>
      <w:r>
        <w:rPr>
          <w:rFonts w:ascii="Arial" w:hAnsi="Arial" w:cs="Arial"/>
          <w:sz w:val="24"/>
          <w:szCs w:val="24"/>
        </w:rPr>
        <w:t>ț</w:t>
      </w:r>
      <w:r w:rsidRPr="004862A6">
        <w:rPr>
          <w:rFonts w:ascii="Arial" w:hAnsi="Arial" w:cs="Arial"/>
          <w:sz w:val="24"/>
          <w:szCs w:val="24"/>
        </w:rPr>
        <w:t>ionat c</w:t>
      </w:r>
      <w:r>
        <w:rPr>
          <w:rFonts w:ascii="Arial" w:hAnsi="Arial" w:cs="Arial"/>
          <w:sz w:val="24"/>
          <w:szCs w:val="24"/>
        </w:rPr>
        <w:t>ă</w:t>
      </w:r>
      <w:r w:rsidRPr="004862A6">
        <w:rPr>
          <w:rFonts w:ascii="Arial" w:hAnsi="Arial" w:cs="Arial"/>
          <w:sz w:val="24"/>
          <w:szCs w:val="24"/>
        </w:rPr>
        <w:t xml:space="preserve"> </w:t>
      </w:r>
      <w:r>
        <w:rPr>
          <w:rFonts w:ascii="Arial" w:hAnsi="Arial" w:cs="Arial"/>
          <w:sz w:val="24"/>
          <w:szCs w:val="24"/>
        </w:rPr>
        <w:t>î</w:t>
      </w:r>
      <w:r w:rsidRPr="004862A6">
        <w:rPr>
          <w:rFonts w:ascii="Arial" w:hAnsi="Arial" w:cs="Arial"/>
          <w:sz w:val="24"/>
          <w:szCs w:val="24"/>
        </w:rPr>
        <w:t xml:space="preserve">n cadrul acestui domeniu avem o mare diversitate de calificari relevante pentru angajatori. </w:t>
      </w:r>
    </w:p>
    <w:p w:rsidR="00B7307A" w:rsidRPr="00B7307A" w:rsidRDefault="00B7307A" w:rsidP="00B7307A">
      <w:pPr>
        <w:spacing w:after="0" w:line="240" w:lineRule="auto"/>
        <w:jc w:val="both"/>
        <w:rPr>
          <w:rFonts w:ascii="Arial" w:hAnsi="Arial" w:cs="Arial"/>
          <w:sz w:val="24"/>
          <w:szCs w:val="24"/>
        </w:rPr>
      </w:pPr>
      <w:r w:rsidRPr="00C67352">
        <w:rPr>
          <w:rFonts w:ascii="Arial" w:hAnsi="Arial" w:cs="Arial"/>
          <w:b/>
          <w:sz w:val="24"/>
          <w:szCs w:val="24"/>
        </w:rPr>
        <w:t>Domeniul Electric,</w:t>
      </w:r>
      <w:r w:rsidRPr="00C67352">
        <w:rPr>
          <w:rFonts w:ascii="Arial" w:hAnsi="Arial" w:cs="Arial"/>
          <w:sz w:val="24"/>
          <w:szCs w:val="24"/>
        </w:rPr>
        <w:t xml:space="preserve"> cu ținta regională de 10%, este deosebit de solicitat de angajatori. Ca răspuns la aceste nevoi oferta la nivel regional cunoaște o creștere în valoare absolută a numărului de elevi înscriși (chiar dacă numărul total de elevi este în scădere), de la 362 elevi la 455 elevi în doar trei ani. Această creștere se reflectă și în </w:t>
      </w:r>
      <w:r w:rsidRPr="00C67352">
        <w:rPr>
          <w:rFonts w:ascii="Arial" w:hAnsi="Arial" w:cs="Arial"/>
          <w:sz w:val="24"/>
          <w:szCs w:val="24"/>
        </w:rPr>
        <w:lastRenderedPageBreak/>
        <w:t xml:space="preserve">ponderi, decalajul de  -4,4 puncte procentuale devine -3,5 puncte  procentuale în anul 2016. </w:t>
      </w:r>
    </w:p>
    <w:p w:rsidR="00B7307A" w:rsidRDefault="00B7307A" w:rsidP="000C6A67">
      <w:pPr>
        <w:spacing w:after="0" w:line="240" w:lineRule="auto"/>
        <w:jc w:val="center"/>
        <w:rPr>
          <w:rFonts w:ascii="Arial" w:hAnsi="Arial" w:cs="Arial"/>
        </w:rPr>
      </w:pPr>
    </w:p>
    <w:p w:rsidR="003A66CC" w:rsidRPr="003914C9" w:rsidRDefault="008910A2" w:rsidP="000C6A67">
      <w:pPr>
        <w:spacing w:after="0" w:line="240" w:lineRule="auto"/>
        <w:jc w:val="center"/>
        <w:rPr>
          <w:rFonts w:ascii="Arial" w:hAnsi="Arial" w:cs="Arial"/>
        </w:rPr>
      </w:pPr>
      <w:r w:rsidRPr="003914C9">
        <w:rPr>
          <w:rFonts w:ascii="Arial" w:hAnsi="Arial" w:cs="Arial"/>
        </w:rPr>
        <w:t>Figura 3</w:t>
      </w:r>
      <w:r w:rsidR="00373E67">
        <w:rPr>
          <w:rFonts w:ascii="Arial" w:hAnsi="Arial" w:cs="Arial"/>
        </w:rPr>
        <w:t>4</w:t>
      </w:r>
    </w:p>
    <w:p w:rsidR="003A66CC" w:rsidRPr="004862A6" w:rsidRDefault="003A66CC" w:rsidP="000C6A67">
      <w:pPr>
        <w:spacing w:after="0" w:line="240" w:lineRule="auto"/>
        <w:jc w:val="center"/>
        <w:rPr>
          <w:rFonts w:ascii="Arial" w:hAnsi="Arial" w:cs="Arial"/>
          <w:sz w:val="24"/>
          <w:szCs w:val="24"/>
        </w:rPr>
      </w:pPr>
      <w:r w:rsidRPr="004862A6">
        <w:rPr>
          <w:rFonts w:ascii="Arial" w:hAnsi="Arial" w:cs="Arial"/>
          <w:noProof/>
          <w:sz w:val="24"/>
          <w:szCs w:val="24"/>
          <w:bdr w:val="single" w:sz="4" w:space="0" w:color="auto"/>
          <w:lang w:val="en-US"/>
        </w:rPr>
        <w:drawing>
          <wp:inline distT="0" distB="0" distL="0" distR="0">
            <wp:extent cx="5857875" cy="3486785"/>
            <wp:effectExtent l="19050" t="0" r="9525"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B7307A" w:rsidRPr="00D8640B" w:rsidRDefault="00B7307A" w:rsidP="00AD4F1F">
      <w:pPr>
        <w:pStyle w:val="ListParagraph"/>
        <w:tabs>
          <w:tab w:val="left" w:pos="0"/>
        </w:tabs>
        <w:ind w:left="90"/>
        <w:contextualSpacing/>
        <w:jc w:val="center"/>
        <w:rPr>
          <w:rFonts w:ascii="Arial" w:hAnsi="Arial" w:cs="Arial"/>
          <w:sz w:val="22"/>
          <w:szCs w:val="22"/>
        </w:rPr>
      </w:pPr>
      <w:r w:rsidRPr="00D8640B">
        <w:rPr>
          <w:rFonts w:ascii="Arial" w:hAnsi="Arial" w:cs="Arial"/>
          <w:sz w:val="22"/>
          <w:szCs w:val="22"/>
        </w:rPr>
        <w:t xml:space="preserve">Sursa datelor: </w:t>
      </w:r>
      <w:r w:rsidR="00D93331" w:rsidRPr="00D8640B">
        <w:rPr>
          <w:rFonts w:ascii="Arial" w:hAnsi="Arial" w:cs="Arial"/>
          <w:sz w:val="22"/>
          <w:szCs w:val="22"/>
        </w:rPr>
        <w:t>I</w:t>
      </w:r>
      <w:r w:rsidRPr="00D8640B">
        <w:rPr>
          <w:rFonts w:ascii="Arial" w:hAnsi="Arial" w:cs="Arial"/>
          <w:sz w:val="22"/>
          <w:szCs w:val="22"/>
        </w:rPr>
        <w:t>nspectoratele şcolare</w:t>
      </w:r>
    </w:p>
    <w:p w:rsidR="003A66CC" w:rsidRPr="004862A6" w:rsidRDefault="003A66CC" w:rsidP="000C6A67">
      <w:pPr>
        <w:spacing w:after="0" w:line="240" w:lineRule="auto"/>
        <w:rPr>
          <w:rFonts w:ascii="Arial" w:hAnsi="Arial" w:cs="Arial"/>
          <w:sz w:val="24"/>
          <w:szCs w:val="24"/>
        </w:rPr>
      </w:pPr>
    </w:p>
    <w:p w:rsidR="00F029F0" w:rsidRPr="00ED3F30" w:rsidRDefault="00F029F0" w:rsidP="003914C9">
      <w:pPr>
        <w:spacing w:after="0" w:line="240" w:lineRule="auto"/>
        <w:jc w:val="both"/>
        <w:rPr>
          <w:rFonts w:ascii="Arial" w:hAnsi="Arial" w:cs="Arial"/>
          <w:sz w:val="24"/>
          <w:szCs w:val="24"/>
        </w:rPr>
      </w:pPr>
      <w:r w:rsidRPr="00ED3F30">
        <w:rPr>
          <w:rFonts w:ascii="Arial" w:hAnsi="Arial" w:cs="Arial"/>
          <w:b/>
          <w:sz w:val="24"/>
          <w:szCs w:val="24"/>
        </w:rPr>
        <w:t>Domeniul Economic</w:t>
      </w:r>
      <w:r w:rsidRPr="00ED3F30">
        <w:rPr>
          <w:rFonts w:ascii="Arial" w:hAnsi="Arial" w:cs="Arial"/>
          <w:sz w:val="24"/>
          <w:szCs w:val="24"/>
        </w:rPr>
        <w:t xml:space="preserve"> are o atractivitate semnificativă atât în rândul angajatorilor dar și în rândul elevilor și părinților acestora. Cu o țintă de 9% la nivel regional, oferta depășește în fiecare an această prognoză, având în vedere opțiunile elevilor dupa terminarea clasei a VIII-a. Pe de altă parte absolvenții acestui domeniu se îndreapta către învățămantul superior, astfel încât supraoferta aparent regională, în raport cu ponderea PRAI, de fapt în realitate nu înseamnă o supraofertă la angajare. </w:t>
      </w:r>
    </w:p>
    <w:p w:rsidR="00F029F0" w:rsidRPr="00ED3F30" w:rsidRDefault="00F029F0" w:rsidP="003914C9">
      <w:pPr>
        <w:spacing w:after="0" w:line="240" w:lineRule="auto"/>
        <w:jc w:val="both"/>
        <w:rPr>
          <w:rFonts w:ascii="Arial" w:hAnsi="Arial" w:cs="Arial"/>
          <w:sz w:val="24"/>
          <w:szCs w:val="24"/>
        </w:rPr>
      </w:pPr>
      <w:r w:rsidRPr="00ED3F30">
        <w:rPr>
          <w:rFonts w:ascii="Arial" w:hAnsi="Arial" w:cs="Arial"/>
          <w:sz w:val="24"/>
          <w:szCs w:val="24"/>
        </w:rPr>
        <w:t xml:space="preserve">La nivelul regiunii oferta pentru acest domeniu s-a păstrat în jurul valorii de 1.060 de elevi, care a însemnat o ușoară scădere a ponderii, de la 16,9% la 15,1%, depășind ținta de 9% prognozată la nivel regional. </w:t>
      </w:r>
    </w:p>
    <w:p w:rsidR="00F029F0" w:rsidRPr="00ED3F30" w:rsidRDefault="00F029F0" w:rsidP="000C6A67">
      <w:pPr>
        <w:spacing w:after="0" w:line="240" w:lineRule="auto"/>
        <w:jc w:val="both"/>
        <w:rPr>
          <w:rFonts w:ascii="Arial" w:hAnsi="Arial" w:cs="Arial"/>
          <w:sz w:val="24"/>
          <w:szCs w:val="24"/>
        </w:rPr>
      </w:pPr>
      <w:r w:rsidRPr="00ED3F30">
        <w:rPr>
          <w:rFonts w:ascii="Arial" w:hAnsi="Arial" w:cs="Arial"/>
          <w:b/>
          <w:sz w:val="24"/>
          <w:szCs w:val="24"/>
        </w:rPr>
        <w:t>Domeniul Turism și alimentație,</w:t>
      </w:r>
      <w:r w:rsidRPr="00ED3F30">
        <w:rPr>
          <w:rFonts w:ascii="Arial" w:hAnsi="Arial" w:cs="Arial"/>
          <w:sz w:val="24"/>
          <w:szCs w:val="24"/>
        </w:rPr>
        <w:t xml:space="preserve"> este un alt domeniu în care se înregistrează o supraofertă, cu o depășire a țintei regionale cu 8,8 - 7,8 puncte procentuale ( ținta regionala este de 7%). Aceasta supraofertă se datorează cererii mari din partea angajatorilor, care se confruntă cu problema unei fluctuații deosebit de mari a forței de muncă. Această fluctuație se dorește a fi compensată prin forța de muncă din rândul absovlenților de ÎPT. Și în acest caz, similar cu domeniul economic, oferta a rămas aproximativ la aceleași valori absolute (1.040 de elevi), care în termeni de ponderi a însemnat o descreștere de la 15,8% la 14,8%. </w:t>
      </w:r>
    </w:p>
    <w:p w:rsidR="00F029F0" w:rsidRPr="00ED3F30" w:rsidRDefault="00F029F0" w:rsidP="000C6A67">
      <w:pPr>
        <w:spacing w:after="0" w:line="240" w:lineRule="auto"/>
        <w:jc w:val="both"/>
        <w:rPr>
          <w:rFonts w:ascii="Arial" w:hAnsi="Arial" w:cs="Arial"/>
          <w:sz w:val="24"/>
          <w:szCs w:val="24"/>
        </w:rPr>
      </w:pPr>
      <w:r w:rsidRPr="00ED3F30">
        <w:rPr>
          <w:rFonts w:ascii="Arial" w:hAnsi="Arial" w:cs="Arial"/>
          <w:b/>
          <w:sz w:val="24"/>
          <w:szCs w:val="24"/>
        </w:rPr>
        <w:t>Domeniile Electromecanică și Electronică și automatizari</w:t>
      </w:r>
      <w:r w:rsidRPr="00ED3F30">
        <w:rPr>
          <w:rFonts w:ascii="Arial" w:hAnsi="Arial" w:cs="Arial"/>
          <w:sz w:val="24"/>
          <w:szCs w:val="24"/>
        </w:rPr>
        <w:t xml:space="preserve"> figurează cu ținte regionale de 6%, și sunt domenii relativ relevante pentru economia regiunii, dominată de industria prelucratoare și atomotive. Numărul de elevi înscriși este în ușoară creștere de la an la an, pentru ambele domenii, iar decalajul față de ținta regională este în jur de 1 punct procentual, </w:t>
      </w:r>
      <w:r w:rsidRPr="00ED3F30">
        <w:rPr>
          <w:rFonts w:ascii="Arial" w:hAnsi="Arial" w:cs="Arial"/>
          <w:color w:val="000000" w:themeColor="text1"/>
          <w:sz w:val="24"/>
          <w:szCs w:val="24"/>
        </w:rPr>
        <w:t>sub ținta regională pentru domeniul electromecanică respectiv peste această valoare pentru</w:t>
      </w:r>
      <w:r w:rsidRPr="00ED3F30">
        <w:rPr>
          <w:rFonts w:ascii="Arial" w:hAnsi="Arial" w:cs="Arial"/>
          <w:color w:val="FF0000"/>
          <w:sz w:val="24"/>
          <w:szCs w:val="24"/>
        </w:rPr>
        <w:t xml:space="preserve"> </w:t>
      </w:r>
      <w:r w:rsidRPr="00ED3F30">
        <w:rPr>
          <w:rFonts w:ascii="Arial" w:hAnsi="Arial" w:cs="Arial"/>
          <w:sz w:val="24"/>
          <w:szCs w:val="24"/>
        </w:rPr>
        <w:t>electronică și automatizari</w:t>
      </w:r>
      <w:r w:rsidRPr="00ED3F30">
        <w:rPr>
          <w:rFonts w:ascii="Arial" w:hAnsi="Arial" w:cs="Arial"/>
          <w:color w:val="FF0000"/>
          <w:sz w:val="24"/>
          <w:szCs w:val="24"/>
        </w:rPr>
        <w:t>.</w:t>
      </w:r>
      <w:r w:rsidRPr="00ED3F30">
        <w:rPr>
          <w:rFonts w:ascii="Arial" w:hAnsi="Arial" w:cs="Arial"/>
          <w:sz w:val="24"/>
          <w:szCs w:val="24"/>
        </w:rPr>
        <w:t xml:space="preserve"> Ambele domenii se bucură de un interes solid din partea angajatorilor, iar atractivitatea în rândul elevilor și al părinților trebuie încurajată prin promovare și consilere adecvate. </w:t>
      </w:r>
    </w:p>
    <w:p w:rsidR="00F029F0" w:rsidRPr="00ED3F30" w:rsidRDefault="00F029F0" w:rsidP="000C6A67">
      <w:pPr>
        <w:spacing w:after="0" w:line="240" w:lineRule="auto"/>
        <w:jc w:val="both"/>
        <w:rPr>
          <w:rFonts w:ascii="Arial" w:hAnsi="Arial" w:cs="Arial"/>
          <w:sz w:val="24"/>
          <w:szCs w:val="24"/>
        </w:rPr>
      </w:pPr>
      <w:r w:rsidRPr="00ED3F30">
        <w:rPr>
          <w:rFonts w:ascii="Arial" w:hAnsi="Arial" w:cs="Arial"/>
          <w:b/>
          <w:sz w:val="24"/>
          <w:szCs w:val="24"/>
        </w:rPr>
        <w:t>Domeniul Construcţii, instalaţii şi lucrări publice,</w:t>
      </w:r>
      <w:r w:rsidRPr="00ED3F30">
        <w:rPr>
          <w:rFonts w:ascii="Arial" w:hAnsi="Arial" w:cs="Arial"/>
          <w:sz w:val="24"/>
          <w:szCs w:val="24"/>
        </w:rPr>
        <w:t xml:space="preserve"> este prognozat cu o cerere regională de 14%, iar oferta rămâne mult în urma acestei valori, cu un decalaj 10 </w:t>
      </w:r>
      <w:r w:rsidRPr="00ED3F30">
        <w:rPr>
          <w:rFonts w:ascii="Arial" w:hAnsi="Arial" w:cs="Arial"/>
          <w:sz w:val="24"/>
          <w:szCs w:val="24"/>
        </w:rPr>
        <w:lastRenderedPageBreak/>
        <w:t xml:space="preserve">puncte procentuale. Această diferență poate fi micșorată doar printr-o promovare mult mai agresivă a oportunităților de angajare; calificările aferente acestor domenii sunt cerute de piața muncii dar nu prezintă interes pentru absolvenți la vârsta de 14-15 ani; școlile se confruntă și cu un deficit de personal calificat pentru aceste domenii. </w:t>
      </w:r>
    </w:p>
    <w:p w:rsidR="00F029F0" w:rsidRPr="00ED3F30" w:rsidRDefault="00F029F0" w:rsidP="000C6A67">
      <w:pPr>
        <w:spacing w:after="0" w:line="240" w:lineRule="auto"/>
        <w:jc w:val="both"/>
        <w:rPr>
          <w:rFonts w:ascii="Arial" w:hAnsi="Arial" w:cs="Arial"/>
          <w:sz w:val="24"/>
          <w:szCs w:val="24"/>
        </w:rPr>
      </w:pPr>
      <w:r w:rsidRPr="00ED3F30">
        <w:rPr>
          <w:rFonts w:ascii="Arial" w:hAnsi="Arial" w:cs="Arial"/>
          <w:sz w:val="24"/>
          <w:szCs w:val="24"/>
        </w:rPr>
        <w:t xml:space="preserve">Oferta regiunii mai conține domenii cu valori absolute mai mici, dar care sunt în condordanță cu cererea pieței, înregistrându-se decalaje care pot fi gestionate; aceste domenii sunt: </w:t>
      </w:r>
      <w:r w:rsidRPr="00ED3F30">
        <w:rPr>
          <w:rFonts w:ascii="Arial" w:hAnsi="Arial" w:cs="Arial"/>
          <w:b/>
          <w:sz w:val="24"/>
          <w:szCs w:val="24"/>
        </w:rPr>
        <w:t xml:space="preserve">Domeniile Fabricarea produselor din lemn și Industrie textilă şi pielărie </w:t>
      </w:r>
      <w:r w:rsidRPr="00ED3F30">
        <w:rPr>
          <w:rFonts w:ascii="Arial" w:hAnsi="Arial" w:cs="Arial"/>
          <w:sz w:val="24"/>
          <w:szCs w:val="24"/>
        </w:rPr>
        <w:t>ce</w:t>
      </w:r>
      <w:r w:rsidRPr="00ED3F30">
        <w:rPr>
          <w:rFonts w:ascii="Arial" w:hAnsi="Arial" w:cs="Arial"/>
          <w:b/>
          <w:sz w:val="24"/>
          <w:szCs w:val="24"/>
        </w:rPr>
        <w:t xml:space="preserve"> </w:t>
      </w:r>
      <w:r w:rsidRPr="00ED3F30">
        <w:rPr>
          <w:rFonts w:ascii="Arial" w:hAnsi="Arial" w:cs="Arial"/>
          <w:sz w:val="24"/>
          <w:szCs w:val="24"/>
        </w:rPr>
        <w:t xml:space="preserve"> figurează în recomandari cu o țintă de 5% fiecare, față de care se înregistreaza un decalaj de -2, -2,4 puncte procentuale. Oferta în valoare absolută este în scădere pentru ambele domenii și se păstrează la un nivel minimal de 1-2 clase/judet. Această tendință de scădere a ofertei de formare în aceste domenii reflectă realitatea economiei regionale, în care ponderea acestor ramuri economice este în scădere în favoarea celorlalte. </w:t>
      </w:r>
    </w:p>
    <w:p w:rsidR="00D40EAC" w:rsidRDefault="00F029F0" w:rsidP="00D40EAC">
      <w:pPr>
        <w:spacing w:after="0" w:line="240" w:lineRule="auto"/>
        <w:jc w:val="both"/>
        <w:rPr>
          <w:rFonts w:ascii="Arial" w:hAnsi="Arial" w:cs="Arial"/>
          <w:sz w:val="24"/>
          <w:szCs w:val="24"/>
        </w:rPr>
      </w:pPr>
      <w:r w:rsidRPr="00ED3F30">
        <w:rPr>
          <w:rFonts w:ascii="Arial" w:hAnsi="Arial" w:cs="Arial"/>
          <w:b/>
          <w:sz w:val="24"/>
          <w:szCs w:val="24"/>
        </w:rPr>
        <w:t>Agricultură, Chimie industrială, Comert, Estetica şi igiena corpului omenesc, Industrie alimentară, Protecţia mediului, Producţie media, Silvicultură</w:t>
      </w:r>
      <w:r w:rsidRPr="00ED3F30">
        <w:rPr>
          <w:rFonts w:ascii="Arial" w:hAnsi="Arial" w:cs="Arial"/>
          <w:sz w:val="24"/>
          <w:szCs w:val="24"/>
        </w:rPr>
        <w:t xml:space="preserve">. Aceste calificări se vor menține în oferta regiunii, la acest nivel relativ redus de 1-2-3 procente, pentru a asigura diversificarea ofertei și o mai buna adecvare la aspirațiile elevilor și cerințele specifice ale pieței. </w:t>
      </w:r>
    </w:p>
    <w:p w:rsidR="00297EE6" w:rsidRDefault="00F029F0" w:rsidP="00D40EAC">
      <w:pPr>
        <w:spacing w:after="0" w:line="240" w:lineRule="auto"/>
        <w:jc w:val="both"/>
        <w:rPr>
          <w:rFonts w:ascii="Arial" w:hAnsi="Arial" w:cs="Arial"/>
          <w:sz w:val="24"/>
          <w:szCs w:val="24"/>
        </w:rPr>
      </w:pPr>
      <w:r w:rsidRPr="00ED3F30">
        <w:rPr>
          <w:rFonts w:ascii="Arial" w:hAnsi="Arial" w:cs="Arial"/>
          <w:b/>
          <w:sz w:val="24"/>
          <w:szCs w:val="24"/>
        </w:rPr>
        <w:t>Agricultura, Chimie industriala, Comert, Estetica şi igiena corpului omenesc, Industrie alimentara, Protecţia mediului, Producţie media, Silvicultură</w:t>
      </w:r>
      <w:r>
        <w:rPr>
          <w:rFonts w:ascii="Arial" w:hAnsi="Arial" w:cs="Arial"/>
          <w:sz w:val="24"/>
          <w:szCs w:val="24"/>
        </w:rPr>
        <w:t>. Aceste calificari se vor menț</w:t>
      </w:r>
      <w:r w:rsidRPr="00ED3F30">
        <w:rPr>
          <w:rFonts w:ascii="Arial" w:hAnsi="Arial" w:cs="Arial"/>
          <w:sz w:val="24"/>
          <w:szCs w:val="24"/>
        </w:rPr>
        <w:t>ine in oferta regiunii, la acest nivel relativ redus de 1-2-3 procente, pentru a asigura diversificarea ofertei si o mai buna adecvare l</w:t>
      </w:r>
      <w:r>
        <w:rPr>
          <w:rFonts w:ascii="Arial" w:hAnsi="Arial" w:cs="Arial"/>
          <w:sz w:val="24"/>
          <w:szCs w:val="24"/>
        </w:rPr>
        <w:t>a aspirațiile elevilor si cerinț</w:t>
      </w:r>
      <w:r w:rsidR="008910A2">
        <w:rPr>
          <w:rFonts w:ascii="Arial" w:hAnsi="Arial" w:cs="Arial"/>
          <w:sz w:val="24"/>
          <w:szCs w:val="24"/>
        </w:rPr>
        <w:t xml:space="preserve">ele specifice ale pietei. </w:t>
      </w:r>
    </w:p>
    <w:p w:rsidR="00B7307A" w:rsidRPr="00B7307A" w:rsidRDefault="00A010A5" w:rsidP="00B7307A">
      <w:pPr>
        <w:pStyle w:val="Heading3"/>
        <w:spacing w:before="240" w:line="240" w:lineRule="auto"/>
        <w:jc w:val="both"/>
        <w:rPr>
          <w:rFonts w:ascii="Arial" w:hAnsi="Arial" w:cs="Arial"/>
          <w:b w:val="0"/>
          <w:i/>
          <w:color w:val="auto"/>
          <w:sz w:val="24"/>
          <w:szCs w:val="24"/>
          <w:lang w:eastAsia="ro-RO"/>
        </w:rPr>
      </w:pPr>
      <w:bookmarkStart w:id="93" w:name="_Toc488066064"/>
      <w:r w:rsidRPr="00D40EAC">
        <w:rPr>
          <w:rFonts w:ascii="Arial" w:hAnsi="Arial" w:cs="Arial"/>
          <w:b w:val="0"/>
          <w:i/>
          <w:color w:val="auto"/>
          <w:sz w:val="24"/>
          <w:szCs w:val="24"/>
          <w:lang w:eastAsia="ro-RO"/>
        </w:rPr>
        <w:t>6.1.7. Oferta unităţilor şcolare  din ÎPT – Cuprinderea elevilor în învăţământul postliceal în anul şcolar 2016-2017</w:t>
      </w:r>
      <w:r w:rsidRPr="00D40EAC">
        <w:rPr>
          <w:rStyle w:val="FootnoteReference"/>
          <w:rFonts w:ascii="Arial" w:hAnsi="Arial" w:cs="Arial"/>
          <w:b w:val="0"/>
          <w:i/>
          <w:color w:val="auto"/>
          <w:sz w:val="24"/>
          <w:szCs w:val="24"/>
          <w:lang w:eastAsia="ro-RO"/>
        </w:rPr>
        <w:footnoteReference w:id="51"/>
      </w:r>
      <w:bookmarkEnd w:id="93"/>
      <w:r w:rsidRPr="00D40EAC">
        <w:rPr>
          <w:rFonts w:ascii="Arial" w:hAnsi="Arial" w:cs="Arial"/>
          <w:b w:val="0"/>
          <w:i/>
          <w:color w:val="auto"/>
          <w:sz w:val="24"/>
          <w:szCs w:val="24"/>
          <w:lang w:eastAsia="ro-RO"/>
        </w:rPr>
        <w:t xml:space="preserve"> </w:t>
      </w:r>
    </w:p>
    <w:p w:rsidR="00A010A5" w:rsidRPr="00CD5572" w:rsidRDefault="00A010A5" w:rsidP="00B7307A">
      <w:pPr>
        <w:spacing w:after="0" w:line="240" w:lineRule="auto"/>
        <w:jc w:val="both"/>
        <w:rPr>
          <w:rFonts w:ascii="Arial" w:hAnsi="Arial" w:cs="Arial"/>
          <w:b/>
          <w:sz w:val="24"/>
          <w:szCs w:val="24"/>
          <w:lang w:eastAsia="ro-RO"/>
        </w:rPr>
      </w:pPr>
      <w:r w:rsidRPr="00CD5572">
        <w:rPr>
          <w:rFonts w:ascii="Arial" w:hAnsi="Arial" w:cs="Arial"/>
          <w:sz w:val="24"/>
          <w:szCs w:val="24"/>
          <w:lang w:eastAsia="ro-RO"/>
        </w:rPr>
        <w:t>Distribuția ofertei pe domeniile de calificare este cea de mai jos, cu 986</w:t>
      </w:r>
      <w:r w:rsidR="00B7307A">
        <w:rPr>
          <w:rFonts w:ascii="Arial" w:hAnsi="Arial" w:cs="Arial"/>
          <w:sz w:val="24"/>
          <w:szCs w:val="24"/>
          <w:lang w:eastAsia="ro-RO"/>
        </w:rPr>
        <w:t xml:space="preserve"> </w:t>
      </w:r>
      <w:r w:rsidRPr="00CD5572">
        <w:rPr>
          <w:rFonts w:ascii="Arial" w:hAnsi="Arial" w:cs="Arial"/>
          <w:sz w:val="24"/>
          <w:szCs w:val="24"/>
          <w:lang w:eastAsia="ro-RO"/>
        </w:rPr>
        <w:t>de locuri pentru Sănătate și asistență peagogică, urmată la mare distanță cu oferte modeste pentru Transporturi, Turism, Mecanică</w:t>
      </w:r>
      <w:r w:rsidR="001F5B84" w:rsidRPr="00CD5572">
        <w:rPr>
          <w:rFonts w:ascii="Arial" w:hAnsi="Arial" w:cs="Arial"/>
          <w:sz w:val="24"/>
          <w:szCs w:val="24"/>
          <w:lang w:eastAsia="ro-RO"/>
        </w:rPr>
        <w:t>,</w:t>
      </w:r>
      <w:r w:rsidRPr="00CD5572">
        <w:rPr>
          <w:rFonts w:ascii="Arial" w:hAnsi="Arial" w:cs="Arial"/>
          <w:sz w:val="24"/>
          <w:szCs w:val="24"/>
          <w:lang w:eastAsia="ro-RO"/>
        </w:rPr>
        <w:t xml:space="preserve"> Informatică și Agricultură.</w:t>
      </w:r>
    </w:p>
    <w:p w:rsidR="003914C9" w:rsidRDefault="003914C9" w:rsidP="000C6A67">
      <w:pPr>
        <w:spacing w:after="0" w:line="240" w:lineRule="auto"/>
        <w:jc w:val="center"/>
        <w:rPr>
          <w:rFonts w:ascii="Arial" w:hAnsi="Arial" w:cs="Arial"/>
          <w:sz w:val="24"/>
          <w:szCs w:val="24"/>
          <w:lang w:eastAsia="ro-RO"/>
        </w:rPr>
      </w:pPr>
    </w:p>
    <w:p w:rsidR="008910A2" w:rsidRPr="003914C9" w:rsidRDefault="008910A2" w:rsidP="000C6A67">
      <w:pPr>
        <w:spacing w:after="0" w:line="240" w:lineRule="auto"/>
        <w:jc w:val="center"/>
        <w:rPr>
          <w:rFonts w:ascii="Arial" w:hAnsi="Arial" w:cs="Arial"/>
          <w:lang w:eastAsia="ro-RO"/>
        </w:rPr>
      </w:pPr>
      <w:r w:rsidRPr="003914C9">
        <w:rPr>
          <w:rFonts w:ascii="Arial" w:hAnsi="Arial" w:cs="Arial"/>
          <w:lang w:eastAsia="ro-RO"/>
        </w:rPr>
        <w:t>Figura 3</w:t>
      </w:r>
      <w:r w:rsidR="00373E67">
        <w:rPr>
          <w:rFonts w:ascii="Arial" w:hAnsi="Arial" w:cs="Arial"/>
          <w:lang w:eastAsia="ro-RO"/>
        </w:rPr>
        <w:t>5</w:t>
      </w:r>
    </w:p>
    <w:p w:rsidR="005D67A0" w:rsidRDefault="005D67A0" w:rsidP="000C6A67">
      <w:pPr>
        <w:spacing w:after="0" w:line="240" w:lineRule="auto"/>
        <w:rPr>
          <w:lang w:eastAsia="ro-RO"/>
        </w:rPr>
      </w:pPr>
      <w:r w:rsidRPr="00B7307A">
        <w:rPr>
          <w:noProof/>
          <w:bdr w:val="single" w:sz="4" w:space="0" w:color="auto"/>
          <w:lang w:val="en-US"/>
        </w:rPr>
        <w:drawing>
          <wp:inline distT="0" distB="0" distL="0" distR="0">
            <wp:extent cx="6296025" cy="2762250"/>
            <wp:effectExtent l="19050" t="0" r="9525" b="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B7307A" w:rsidRPr="00B7307A" w:rsidRDefault="00B7307A" w:rsidP="00AD4F1F">
      <w:pPr>
        <w:pStyle w:val="ListParagraph"/>
        <w:tabs>
          <w:tab w:val="left" w:pos="0"/>
        </w:tabs>
        <w:ind w:left="90"/>
        <w:contextualSpacing/>
        <w:jc w:val="center"/>
        <w:rPr>
          <w:rFonts w:ascii="Arial" w:hAnsi="Arial" w:cs="Arial"/>
          <w:sz w:val="22"/>
          <w:szCs w:val="22"/>
        </w:rPr>
      </w:pPr>
      <w:r w:rsidRPr="00B7307A">
        <w:rPr>
          <w:rFonts w:ascii="Arial" w:hAnsi="Arial" w:cs="Arial"/>
          <w:sz w:val="22"/>
          <w:szCs w:val="22"/>
        </w:rPr>
        <w:t xml:space="preserve">Sursa datelor: </w:t>
      </w:r>
      <w:r w:rsidR="00D93331">
        <w:rPr>
          <w:rFonts w:ascii="Arial" w:hAnsi="Arial" w:cs="Arial"/>
          <w:sz w:val="22"/>
          <w:szCs w:val="22"/>
        </w:rPr>
        <w:t>I</w:t>
      </w:r>
      <w:r w:rsidRPr="00B7307A">
        <w:rPr>
          <w:rFonts w:ascii="Arial" w:hAnsi="Arial" w:cs="Arial"/>
          <w:sz w:val="22"/>
          <w:szCs w:val="22"/>
        </w:rPr>
        <w:t>nspectoratele şcolare</w:t>
      </w:r>
    </w:p>
    <w:p w:rsidR="00B7307A" w:rsidRPr="005D67A0" w:rsidRDefault="00B7307A" w:rsidP="000C6A67">
      <w:pPr>
        <w:spacing w:after="0" w:line="240" w:lineRule="auto"/>
        <w:rPr>
          <w:lang w:eastAsia="ro-RO"/>
        </w:rPr>
      </w:pPr>
    </w:p>
    <w:p w:rsidR="00B7307A" w:rsidRDefault="00B7307A" w:rsidP="00B7307A">
      <w:pPr>
        <w:autoSpaceDE w:val="0"/>
        <w:autoSpaceDN w:val="0"/>
        <w:adjustRightInd w:val="0"/>
        <w:spacing w:after="0" w:line="240" w:lineRule="auto"/>
        <w:jc w:val="both"/>
        <w:rPr>
          <w:rFonts w:ascii="Arial" w:hAnsi="Arial" w:cs="Arial"/>
          <w:color w:val="000000"/>
          <w:sz w:val="24"/>
          <w:szCs w:val="24"/>
          <w:lang w:val="en-US"/>
        </w:rPr>
      </w:pPr>
    </w:p>
    <w:p w:rsidR="00B7307A" w:rsidRPr="00CD5572" w:rsidRDefault="00B7307A" w:rsidP="00B7307A">
      <w:pPr>
        <w:spacing w:after="0" w:line="240" w:lineRule="auto"/>
        <w:jc w:val="both"/>
        <w:rPr>
          <w:rFonts w:ascii="Arial" w:hAnsi="Arial" w:cs="Arial"/>
          <w:sz w:val="24"/>
          <w:szCs w:val="24"/>
          <w:lang w:eastAsia="ro-RO"/>
        </w:rPr>
      </w:pPr>
      <w:r w:rsidRPr="00CD5572">
        <w:rPr>
          <w:rFonts w:ascii="Arial" w:hAnsi="Arial" w:cs="Arial"/>
          <w:sz w:val="24"/>
          <w:szCs w:val="24"/>
          <w:lang w:eastAsia="ro-RO"/>
        </w:rPr>
        <w:lastRenderedPageBreak/>
        <w:t xml:space="preserve">Pentru școala de maiștri oferta pe domenii de calificare este 127 locuri pentru domeniul Construcţii, instalaţii și lucrări publice, urmat îndeaproape de domeniul Mecanică cu 122 locuri. </w:t>
      </w:r>
    </w:p>
    <w:p w:rsidR="00B7307A" w:rsidRDefault="00B7307A" w:rsidP="00B7307A">
      <w:pPr>
        <w:autoSpaceDE w:val="0"/>
        <w:autoSpaceDN w:val="0"/>
        <w:adjustRightInd w:val="0"/>
        <w:spacing w:after="0" w:line="240" w:lineRule="auto"/>
        <w:jc w:val="both"/>
        <w:rPr>
          <w:rFonts w:ascii="Arial" w:hAnsi="Arial" w:cs="Arial"/>
          <w:color w:val="000000"/>
          <w:sz w:val="24"/>
          <w:szCs w:val="24"/>
          <w:lang w:val="en-US"/>
        </w:rPr>
      </w:pPr>
      <w:r w:rsidRPr="00B47399">
        <w:rPr>
          <w:rFonts w:ascii="Arial" w:hAnsi="Arial" w:cs="Arial"/>
          <w:color w:val="000000"/>
          <w:sz w:val="24"/>
          <w:szCs w:val="24"/>
          <w:lang w:val="en-US"/>
        </w:rPr>
        <w:t>Op</w:t>
      </w:r>
      <w:r>
        <w:rPr>
          <w:rFonts w:ascii="Arial" w:hAnsi="Arial" w:cs="Arial"/>
          <w:color w:val="000000"/>
          <w:sz w:val="24"/>
          <w:szCs w:val="24"/>
          <w:lang w:val="en-US"/>
        </w:rPr>
        <w:t>ț</w:t>
      </w:r>
      <w:r w:rsidRPr="00B47399">
        <w:rPr>
          <w:rFonts w:ascii="Arial" w:hAnsi="Arial" w:cs="Arial"/>
          <w:color w:val="000000"/>
          <w:sz w:val="24"/>
          <w:szCs w:val="24"/>
          <w:lang w:val="en-US"/>
        </w:rPr>
        <w:t xml:space="preserve">iunea pentru </w:t>
      </w:r>
      <w:r>
        <w:rPr>
          <w:rFonts w:ascii="Arial" w:hAnsi="Arial" w:cs="Arial"/>
          <w:color w:val="000000"/>
          <w:sz w:val="24"/>
          <w:szCs w:val="24"/>
          <w:lang w:val="en-US"/>
        </w:rPr>
        <w:t>ș</w:t>
      </w:r>
      <w:r w:rsidRPr="00B47399">
        <w:rPr>
          <w:rFonts w:ascii="Arial" w:hAnsi="Arial" w:cs="Arial"/>
          <w:color w:val="000000"/>
          <w:sz w:val="24"/>
          <w:szCs w:val="24"/>
          <w:lang w:val="en-US"/>
        </w:rPr>
        <w:t>colile</w:t>
      </w:r>
      <w:r>
        <w:rPr>
          <w:rFonts w:ascii="Arial" w:hAnsi="Arial" w:cs="Arial"/>
          <w:color w:val="000000"/>
          <w:sz w:val="24"/>
          <w:szCs w:val="24"/>
          <w:lang w:val="en-US"/>
        </w:rPr>
        <w:t xml:space="preserve"> </w:t>
      </w:r>
      <w:r w:rsidRPr="00B47399">
        <w:rPr>
          <w:rFonts w:ascii="Arial" w:hAnsi="Arial" w:cs="Arial"/>
          <w:color w:val="000000"/>
          <w:sz w:val="24"/>
          <w:szCs w:val="24"/>
          <w:lang w:val="en-US"/>
        </w:rPr>
        <w:t xml:space="preserve">postliceale </w:t>
      </w:r>
      <w:r>
        <w:rPr>
          <w:rFonts w:ascii="Arial" w:hAnsi="Arial" w:cs="Arial"/>
          <w:color w:val="000000"/>
          <w:sz w:val="24"/>
          <w:szCs w:val="24"/>
          <w:lang w:val="en-US"/>
        </w:rPr>
        <w:t>ș</w:t>
      </w:r>
      <w:r w:rsidRPr="00B47399">
        <w:rPr>
          <w:rFonts w:ascii="Arial" w:hAnsi="Arial" w:cs="Arial"/>
          <w:color w:val="000000"/>
          <w:sz w:val="24"/>
          <w:szCs w:val="24"/>
          <w:lang w:val="en-US"/>
        </w:rPr>
        <w:t>i de mai</w:t>
      </w:r>
      <w:r>
        <w:rPr>
          <w:rFonts w:ascii="Arial" w:hAnsi="Arial" w:cs="Arial"/>
          <w:color w:val="000000"/>
          <w:sz w:val="24"/>
          <w:szCs w:val="24"/>
          <w:lang w:val="en-US"/>
        </w:rPr>
        <w:t>ș</w:t>
      </w:r>
      <w:r w:rsidRPr="00B47399">
        <w:rPr>
          <w:rFonts w:ascii="Arial" w:hAnsi="Arial" w:cs="Arial"/>
          <w:color w:val="000000"/>
          <w:sz w:val="24"/>
          <w:szCs w:val="24"/>
          <w:lang w:val="en-US"/>
        </w:rPr>
        <w:t>tri</w:t>
      </w:r>
      <w:r>
        <w:rPr>
          <w:rFonts w:ascii="Arial" w:hAnsi="Arial" w:cs="Arial"/>
          <w:color w:val="000000"/>
          <w:sz w:val="24"/>
          <w:szCs w:val="24"/>
          <w:lang w:val="en-US"/>
        </w:rPr>
        <w:t xml:space="preserve"> se explică prin faptul că, în ultimii ani, a </w:t>
      </w:r>
      <w:r w:rsidRPr="009F5A86">
        <w:rPr>
          <w:rFonts w:ascii="Arial" w:hAnsi="Arial" w:cs="Arial"/>
          <w:color w:val="000000"/>
          <w:sz w:val="24"/>
          <w:szCs w:val="24"/>
          <w:lang w:val="en-US"/>
        </w:rPr>
        <w:t xml:space="preserve">crescut ponderea absolvenţilor de liceu fără diplomă de bacalaureat şi, </w:t>
      </w:r>
      <w:r>
        <w:rPr>
          <w:rFonts w:ascii="Arial" w:hAnsi="Arial" w:cs="Arial"/>
          <w:color w:val="000000"/>
          <w:sz w:val="24"/>
          <w:szCs w:val="24"/>
          <w:lang w:val="en-US"/>
        </w:rPr>
        <w:t>în același timp</w:t>
      </w:r>
      <w:r w:rsidRPr="009F5A86">
        <w:rPr>
          <w:rFonts w:ascii="Arial" w:hAnsi="Arial" w:cs="Arial"/>
          <w:color w:val="000000"/>
          <w:sz w:val="24"/>
          <w:szCs w:val="24"/>
          <w:lang w:val="en-US"/>
        </w:rPr>
        <w:t xml:space="preserve">, a scăzut rata de cuprindere în învăţământul superior. </w:t>
      </w:r>
    </w:p>
    <w:p w:rsidR="00B7307A" w:rsidRDefault="00B7307A" w:rsidP="00B7307A">
      <w:pPr>
        <w:spacing w:after="0" w:line="240" w:lineRule="auto"/>
        <w:jc w:val="both"/>
        <w:rPr>
          <w:rFonts w:ascii="Arial" w:hAnsi="Arial" w:cs="Arial"/>
          <w:sz w:val="24"/>
          <w:szCs w:val="24"/>
          <w:lang w:eastAsia="ro-RO"/>
        </w:rPr>
      </w:pPr>
      <w:r w:rsidRPr="00ED3F30">
        <w:rPr>
          <w:rFonts w:ascii="Arial" w:hAnsi="Arial" w:cs="Arial"/>
          <w:sz w:val="24"/>
          <w:szCs w:val="24"/>
          <w:lang w:eastAsia="ro-RO"/>
        </w:rPr>
        <w:t>Angajatorii semneleză nevoia de calificări de nivel postlicea</w:t>
      </w:r>
      <w:r>
        <w:rPr>
          <w:rFonts w:ascii="Arial" w:hAnsi="Arial" w:cs="Arial"/>
          <w:sz w:val="24"/>
          <w:szCs w:val="24"/>
          <w:lang w:eastAsia="ro-RO"/>
        </w:rPr>
        <w:t>l</w:t>
      </w:r>
      <w:r w:rsidRPr="00ED3F30">
        <w:rPr>
          <w:rFonts w:ascii="Arial" w:hAnsi="Arial" w:cs="Arial"/>
          <w:sz w:val="24"/>
          <w:szCs w:val="24"/>
          <w:lang w:eastAsia="ro-RO"/>
        </w:rPr>
        <w:t xml:space="preserve">, cu formare </w:t>
      </w:r>
      <w:r>
        <w:rPr>
          <w:rFonts w:ascii="Arial" w:hAnsi="Arial" w:cs="Arial"/>
          <w:sz w:val="24"/>
          <w:szCs w:val="24"/>
          <w:lang w:eastAsia="ro-RO"/>
        </w:rPr>
        <w:t>î</w:t>
      </w:r>
      <w:r w:rsidRPr="00ED3F30">
        <w:rPr>
          <w:rFonts w:ascii="Arial" w:hAnsi="Arial" w:cs="Arial"/>
          <w:sz w:val="24"/>
          <w:szCs w:val="24"/>
          <w:lang w:eastAsia="ro-RO"/>
        </w:rPr>
        <w:t xml:space="preserve">n sistem dual, pentru a asigura calitatea deprinderilor practice. </w:t>
      </w:r>
    </w:p>
    <w:p w:rsidR="001937AF" w:rsidRPr="001937AF" w:rsidRDefault="001937AF" w:rsidP="000C6A67">
      <w:pPr>
        <w:spacing w:after="0" w:line="240" w:lineRule="auto"/>
        <w:jc w:val="both"/>
        <w:rPr>
          <w:rFonts w:ascii="Arial" w:hAnsi="Arial" w:cs="Arial"/>
          <w:sz w:val="24"/>
          <w:szCs w:val="24"/>
          <w:lang w:eastAsia="ro-RO"/>
        </w:rPr>
      </w:pPr>
    </w:p>
    <w:p w:rsidR="00A010A5" w:rsidRPr="003914C9" w:rsidRDefault="00A010A5" w:rsidP="000C6A67">
      <w:pPr>
        <w:pStyle w:val="Heading3"/>
        <w:spacing w:before="0" w:line="240" w:lineRule="auto"/>
        <w:jc w:val="both"/>
        <w:rPr>
          <w:rFonts w:ascii="Arial" w:hAnsi="Arial" w:cs="Arial"/>
          <w:b w:val="0"/>
          <w:i/>
          <w:color w:val="auto"/>
          <w:sz w:val="24"/>
          <w:szCs w:val="24"/>
          <w:lang w:eastAsia="ro-RO"/>
        </w:rPr>
      </w:pPr>
      <w:bookmarkStart w:id="94" w:name="_Toc488066065"/>
      <w:r w:rsidRPr="003914C9">
        <w:rPr>
          <w:rFonts w:ascii="Arial" w:hAnsi="Arial" w:cs="Arial"/>
          <w:b w:val="0"/>
          <w:i/>
          <w:color w:val="auto"/>
          <w:sz w:val="24"/>
          <w:szCs w:val="24"/>
          <w:lang w:eastAsia="ro-RO"/>
        </w:rPr>
        <w:t>6.1.8. Oferta unităţilor şcolare din ÎPT - Gradul de satisfacere a solicitărilor operatorilor economici pentru şcolarizarea în învăţământul profesional</w:t>
      </w:r>
      <w:r w:rsidRPr="003914C9">
        <w:rPr>
          <w:rStyle w:val="FootnoteReference"/>
          <w:rFonts w:ascii="Arial" w:hAnsi="Arial" w:cs="Arial"/>
          <w:b w:val="0"/>
          <w:i/>
          <w:color w:val="auto"/>
          <w:sz w:val="24"/>
          <w:szCs w:val="24"/>
          <w:lang w:eastAsia="ro-RO"/>
        </w:rPr>
        <w:footnoteReference w:id="52"/>
      </w:r>
      <w:bookmarkEnd w:id="94"/>
      <w:r w:rsidRPr="003914C9">
        <w:rPr>
          <w:rFonts w:ascii="Arial" w:hAnsi="Arial" w:cs="Arial"/>
          <w:b w:val="0"/>
          <w:i/>
          <w:color w:val="auto"/>
          <w:sz w:val="24"/>
          <w:szCs w:val="24"/>
          <w:lang w:eastAsia="ro-RO"/>
        </w:rPr>
        <w:t xml:space="preserve"> </w:t>
      </w:r>
    </w:p>
    <w:p w:rsidR="00835718" w:rsidRPr="001A663E" w:rsidRDefault="00835718" w:rsidP="000C6A67">
      <w:pPr>
        <w:pStyle w:val="ListParagraph"/>
        <w:ind w:left="0"/>
        <w:jc w:val="both"/>
        <w:rPr>
          <w:rFonts w:ascii="Arial" w:hAnsi="Arial" w:cs="Arial"/>
          <w:sz w:val="24"/>
          <w:szCs w:val="24"/>
        </w:rPr>
      </w:pPr>
      <w:r w:rsidRPr="001A663E">
        <w:rPr>
          <w:rFonts w:ascii="Arial" w:hAnsi="Arial" w:cs="Arial"/>
          <w:sz w:val="24"/>
          <w:szCs w:val="24"/>
        </w:rPr>
        <w:t>Pentru  învăţământul profesional, în anul şcolar 2016-2017, în Regiunea Vest, operatorii economici au solicitat 3448 de locuri, din care au fost planificate 2520 locuri,  însemnând un grad de satisfacere a solicitărilor operatorilor economici de  73,1% .</w:t>
      </w:r>
    </w:p>
    <w:p w:rsidR="00835718" w:rsidRPr="001A663E" w:rsidRDefault="00835718" w:rsidP="000C6A67">
      <w:pPr>
        <w:pStyle w:val="ListParagraph"/>
        <w:ind w:left="0"/>
        <w:jc w:val="both"/>
        <w:rPr>
          <w:rFonts w:ascii="Arial" w:hAnsi="Arial" w:cs="Arial"/>
          <w:sz w:val="24"/>
          <w:szCs w:val="24"/>
        </w:rPr>
      </w:pPr>
      <w:r w:rsidRPr="001A663E">
        <w:rPr>
          <w:rFonts w:ascii="Arial" w:hAnsi="Arial" w:cs="Arial"/>
          <w:sz w:val="24"/>
          <w:szCs w:val="24"/>
        </w:rPr>
        <w:t>Grad de satisfacere de 100% și peste înregistrăm pentru domeniile: Electromecanică (100%), Silvicultură (150%)  și Agricultură (119,1%). Aceste d</w:t>
      </w:r>
      <w:r>
        <w:rPr>
          <w:rFonts w:ascii="Arial" w:hAnsi="Arial" w:cs="Arial"/>
          <w:sz w:val="24"/>
          <w:szCs w:val="24"/>
        </w:rPr>
        <w:t xml:space="preserve">omenii au o cerere relativ mică, </w:t>
      </w:r>
      <w:r w:rsidRPr="001A663E">
        <w:rPr>
          <w:rFonts w:ascii="Arial" w:hAnsi="Arial" w:cs="Arial"/>
          <w:sz w:val="24"/>
          <w:szCs w:val="24"/>
        </w:rPr>
        <w:t xml:space="preserve"> Electromecanic</w:t>
      </w:r>
      <w:r w:rsidR="003914C9">
        <w:rPr>
          <w:rFonts w:ascii="Arial" w:hAnsi="Arial" w:cs="Arial"/>
          <w:sz w:val="24"/>
          <w:szCs w:val="24"/>
        </w:rPr>
        <w:t>ă</w:t>
      </w:r>
      <w:r w:rsidRPr="001A663E">
        <w:rPr>
          <w:rFonts w:ascii="Arial" w:hAnsi="Arial" w:cs="Arial"/>
          <w:sz w:val="24"/>
          <w:szCs w:val="24"/>
        </w:rPr>
        <w:t xml:space="preserve"> (154 locuri), Agricultur</w:t>
      </w:r>
      <w:r w:rsidR="003914C9">
        <w:rPr>
          <w:rFonts w:ascii="Arial" w:hAnsi="Arial" w:cs="Arial"/>
          <w:sz w:val="24"/>
          <w:szCs w:val="24"/>
        </w:rPr>
        <w:t>ă</w:t>
      </w:r>
      <w:r w:rsidRPr="001A663E">
        <w:rPr>
          <w:rFonts w:ascii="Arial" w:hAnsi="Arial" w:cs="Arial"/>
          <w:sz w:val="24"/>
          <w:szCs w:val="24"/>
        </w:rPr>
        <w:t xml:space="preserve"> (94 locuri) și foarte mică Silvicultur</w:t>
      </w:r>
      <w:r w:rsidR="003914C9">
        <w:rPr>
          <w:rFonts w:ascii="Arial" w:hAnsi="Arial" w:cs="Arial"/>
          <w:sz w:val="24"/>
          <w:szCs w:val="24"/>
        </w:rPr>
        <w:t>ă</w:t>
      </w:r>
      <w:r w:rsidRPr="001A663E">
        <w:rPr>
          <w:rFonts w:ascii="Arial" w:hAnsi="Arial" w:cs="Arial"/>
          <w:sz w:val="24"/>
          <w:szCs w:val="24"/>
        </w:rPr>
        <w:t xml:space="preserve"> (28 locuri) din partea economiei locale. In ceea ce privește numărul de locuri solicitate, domeniul Mecanică se situează pe primul loc (1431 locuri), urmat la mare distanță de domenile Turism și alimentație (338 locuri), Construcții, instalații și lucrări publice (336 locuri) și Electric (276 locuri). </w:t>
      </w:r>
    </w:p>
    <w:p w:rsidR="00835718" w:rsidRPr="001A663E" w:rsidRDefault="00835718" w:rsidP="000C6A67">
      <w:pPr>
        <w:pStyle w:val="ListParagraph"/>
        <w:ind w:left="0"/>
        <w:jc w:val="both"/>
        <w:rPr>
          <w:rFonts w:ascii="Arial" w:eastAsia="Times New Roman" w:hAnsi="Arial" w:cs="Arial"/>
          <w:color w:val="000000"/>
          <w:sz w:val="24"/>
          <w:szCs w:val="24"/>
        </w:rPr>
      </w:pPr>
      <w:r w:rsidRPr="001A663E">
        <w:rPr>
          <w:rFonts w:ascii="Arial" w:eastAsia="Times New Roman" w:hAnsi="Arial" w:cs="Arial"/>
          <w:i/>
          <w:color w:val="000000"/>
          <w:sz w:val="24"/>
          <w:szCs w:val="24"/>
        </w:rPr>
        <w:t>Pentru domeniul  Electric</w:t>
      </w:r>
      <w:r w:rsidRPr="001A663E">
        <w:rPr>
          <w:rFonts w:ascii="Arial" w:eastAsia="Times New Roman" w:hAnsi="Arial" w:cs="Arial"/>
          <w:color w:val="000000"/>
          <w:sz w:val="24"/>
          <w:szCs w:val="24"/>
        </w:rPr>
        <w:t xml:space="preserve"> din cele 276 de solicitari au fost aprobate 154, însemnând un grad de satisfacere de doar 55,8%. Aceasta situație este necesar să fie analizată în detaliu la nivel de județ și școli, pentru a identifica cauzele posibile – care pot viza incapacitatea școlilor de a oferi aceasta calificare, sau poate fi neaprobarea proiectului planului de școlarizare al școlilor. </w:t>
      </w:r>
    </w:p>
    <w:p w:rsidR="001A3C6B" w:rsidRDefault="001A3C6B" w:rsidP="001A3C6B">
      <w:pPr>
        <w:spacing w:after="0" w:line="240" w:lineRule="auto"/>
        <w:jc w:val="center"/>
        <w:rPr>
          <w:rFonts w:ascii="Arial" w:hAnsi="Arial" w:cs="Arial"/>
          <w:sz w:val="24"/>
          <w:szCs w:val="24"/>
        </w:rPr>
      </w:pPr>
    </w:p>
    <w:p w:rsidR="001A3C6B" w:rsidRPr="003914C9" w:rsidRDefault="00835718" w:rsidP="001A3C6B">
      <w:pPr>
        <w:spacing w:after="0" w:line="240" w:lineRule="auto"/>
        <w:jc w:val="center"/>
        <w:rPr>
          <w:rFonts w:ascii="Arial" w:hAnsi="Arial" w:cs="Arial"/>
          <w:lang w:eastAsia="ro-RO"/>
        </w:rPr>
      </w:pPr>
      <w:r w:rsidRPr="001A663E">
        <w:rPr>
          <w:rFonts w:ascii="Arial" w:hAnsi="Arial" w:cs="Arial"/>
          <w:sz w:val="24"/>
          <w:szCs w:val="24"/>
        </w:rPr>
        <w:t xml:space="preserve"> </w:t>
      </w:r>
      <w:r w:rsidR="001A3C6B" w:rsidRPr="003914C9">
        <w:rPr>
          <w:rFonts w:ascii="Arial" w:hAnsi="Arial" w:cs="Arial"/>
          <w:lang w:eastAsia="ro-RO"/>
        </w:rPr>
        <w:t>Figura 3</w:t>
      </w:r>
      <w:r w:rsidR="00373E67">
        <w:rPr>
          <w:rFonts w:ascii="Arial" w:hAnsi="Arial" w:cs="Arial"/>
          <w:lang w:eastAsia="ro-RO"/>
        </w:rPr>
        <w:t>6</w:t>
      </w:r>
    </w:p>
    <w:p w:rsidR="00835718" w:rsidRDefault="00835718" w:rsidP="00077B4B">
      <w:pPr>
        <w:pStyle w:val="ListParagraph"/>
        <w:ind w:left="0"/>
        <w:jc w:val="center"/>
        <w:rPr>
          <w:sz w:val="24"/>
          <w:szCs w:val="24"/>
        </w:rPr>
      </w:pPr>
      <w:r w:rsidRPr="001C488E">
        <w:rPr>
          <w:noProof/>
          <w:sz w:val="24"/>
          <w:szCs w:val="24"/>
        </w:rPr>
        <w:drawing>
          <wp:inline distT="0" distB="0" distL="0" distR="0">
            <wp:extent cx="4679559" cy="2208627"/>
            <wp:effectExtent l="19050" t="0" r="25791" b="1173"/>
            <wp:docPr id="5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65493B" w:rsidRPr="0065493B" w:rsidRDefault="00D40EAC" w:rsidP="000C6A67">
      <w:pPr>
        <w:pStyle w:val="ListParagraph"/>
        <w:ind w:left="0"/>
        <w:rPr>
          <w:b/>
          <w:sz w:val="24"/>
          <w:szCs w:val="24"/>
        </w:rPr>
      </w:pPr>
      <w:r>
        <w:rPr>
          <w:sz w:val="24"/>
          <w:szCs w:val="24"/>
        </w:rPr>
        <w:t xml:space="preserve">      </w:t>
      </w:r>
    </w:p>
    <w:p w:rsidR="00835718" w:rsidRPr="00D823EB" w:rsidRDefault="00D40EAC" w:rsidP="000C6A67">
      <w:pPr>
        <w:pStyle w:val="ListParagraph"/>
        <w:ind w:left="0"/>
        <w:rPr>
          <w:rFonts w:ascii="Arial" w:hAnsi="Arial" w:cs="Arial"/>
          <w:sz w:val="22"/>
          <w:szCs w:val="22"/>
        </w:rPr>
      </w:pPr>
      <w:r w:rsidRPr="0065493B">
        <w:rPr>
          <w:b/>
          <w:sz w:val="24"/>
          <w:szCs w:val="24"/>
        </w:rPr>
        <w:t xml:space="preserve"> </w:t>
      </w:r>
      <w:r w:rsidR="0065493B" w:rsidRPr="0065493B">
        <w:rPr>
          <w:b/>
          <w:sz w:val="24"/>
          <w:szCs w:val="24"/>
        </w:rPr>
        <w:t xml:space="preserve">           </w:t>
      </w:r>
      <w:r w:rsidR="00835718" w:rsidRPr="00D823EB">
        <w:rPr>
          <w:rFonts w:ascii="Arial" w:hAnsi="Arial" w:cs="Arial"/>
          <w:sz w:val="22"/>
          <w:szCs w:val="22"/>
        </w:rPr>
        <w:t>Sursa datelor: ISJ - Proiectul planului de şcolarizare pentru anul şcolar 2016-2017</w:t>
      </w:r>
    </w:p>
    <w:p w:rsidR="00077B4B" w:rsidRPr="0065493B" w:rsidRDefault="00077B4B" w:rsidP="00077B4B">
      <w:pPr>
        <w:pStyle w:val="ListParagraph"/>
        <w:ind w:left="0"/>
        <w:jc w:val="both"/>
        <w:rPr>
          <w:rFonts w:ascii="Arial" w:eastAsia="Times New Roman" w:hAnsi="Arial" w:cs="Arial"/>
          <w:b/>
          <w:color w:val="000000"/>
          <w:sz w:val="24"/>
          <w:szCs w:val="24"/>
        </w:rPr>
      </w:pPr>
    </w:p>
    <w:p w:rsidR="00077B4B" w:rsidRPr="001A663E" w:rsidRDefault="00077B4B" w:rsidP="00077B4B">
      <w:pPr>
        <w:pStyle w:val="ListParagraph"/>
        <w:ind w:left="0"/>
        <w:jc w:val="both"/>
        <w:rPr>
          <w:rFonts w:ascii="Arial" w:eastAsia="Times New Roman" w:hAnsi="Arial" w:cs="Arial"/>
          <w:color w:val="000000"/>
          <w:sz w:val="24"/>
          <w:szCs w:val="24"/>
        </w:rPr>
      </w:pPr>
      <w:r w:rsidRPr="001A663E">
        <w:rPr>
          <w:rFonts w:ascii="Arial" w:eastAsia="Times New Roman" w:hAnsi="Arial" w:cs="Arial"/>
          <w:color w:val="000000"/>
          <w:sz w:val="24"/>
          <w:szCs w:val="24"/>
        </w:rPr>
        <w:t xml:space="preserve">Pentru </w:t>
      </w:r>
      <w:r w:rsidRPr="001A663E">
        <w:rPr>
          <w:rFonts w:ascii="Arial" w:eastAsia="Times New Roman" w:hAnsi="Arial" w:cs="Arial"/>
          <w:i/>
          <w:color w:val="000000"/>
          <w:sz w:val="24"/>
          <w:szCs w:val="24"/>
        </w:rPr>
        <w:t>domeniul Mecanică</w:t>
      </w:r>
      <w:r w:rsidRPr="001A663E">
        <w:rPr>
          <w:rFonts w:ascii="Arial" w:eastAsia="Times New Roman" w:hAnsi="Arial" w:cs="Arial"/>
          <w:color w:val="000000"/>
          <w:sz w:val="24"/>
          <w:szCs w:val="24"/>
        </w:rPr>
        <w:t xml:space="preserve"> deși rata de satisfacere este de doar 69,5%, trebuie observat că numărul de locuri aprobare are cea mai mare valoare din întreaga ofertă, 994 locuri. În cazul în care solicitarea agenților rămâne la fel de ridicată, este necesar să fie analizată capacitatea școlilor de a oferi acestă calificare. </w:t>
      </w:r>
    </w:p>
    <w:p w:rsidR="00077B4B" w:rsidRPr="001A663E" w:rsidRDefault="00077B4B" w:rsidP="00077B4B">
      <w:pPr>
        <w:pStyle w:val="ListParagraph"/>
        <w:ind w:left="0"/>
        <w:jc w:val="both"/>
        <w:rPr>
          <w:rFonts w:ascii="Arial" w:hAnsi="Arial" w:cs="Arial"/>
          <w:sz w:val="24"/>
          <w:szCs w:val="24"/>
        </w:rPr>
      </w:pPr>
      <w:r w:rsidRPr="001A663E">
        <w:rPr>
          <w:rFonts w:ascii="Arial" w:hAnsi="Arial" w:cs="Arial"/>
          <w:sz w:val="24"/>
          <w:szCs w:val="24"/>
        </w:rPr>
        <w:t xml:space="preserve">Pentru domeniul </w:t>
      </w:r>
      <w:r w:rsidRPr="001A663E">
        <w:rPr>
          <w:rFonts w:ascii="Arial" w:eastAsia="Times New Roman" w:hAnsi="Arial" w:cs="Arial"/>
          <w:i/>
          <w:color w:val="000000"/>
          <w:sz w:val="24"/>
          <w:szCs w:val="24"/>
        </w:rPr>
        <w:t>Construcţii, instalaţii şi lucrări publice</w:t>
      </w:r>
      <w:r w:rsidRPr="001A663E">
        <w:rPr>
          <w:rFonts w:ascii="Arial" w:eastAsia="Times New Roman" w:hAnsi="Arial" w:cs="Arial"/>
          <w:color w:val="000000"/>
          <w:sz w:val="24"/>
          <w:szCs w:val="24"/>
        </w:rPr>
        <w:t xml:space="preserve"> au fost solicitate 336 locuri, din care 225 locuri au fost aprobate, ceea ce reprezintă un grad de satisfacere de 75,9%. </w:t>
      </w:r>
    </w:p>
    <w:p w:rsidR="00077B4B" w:rsidRPr="001A663E" w:rsidRDefault="00077B4B" w:rsidP="00077B4B">
      <w:pPr>
        <w:pStyle w:val="ListParagraph"/>
        <w:ind w:left="0"/>
        <w:jc w:val="both"/>
        <w:rPr>
          <w:rFonts w:ascii="Arial" w:hAnsi="Arial" w:cs="Arial"/>
          <w:sz w:val="24"/>
          <w:szCs w:val="24"/>
        </w:rPr>
      </w:pPr>
      <w:r w:rsidRPr="001A663E">
        <w:rPr>
          <w:rFonts w:ascii="Arial" w:hAnsi="Arial" w:cs="Arial"/>
          <w:sz w:val="24"/>
          <w:szCs w:val="24"/>
        </w:rPr>
        <w:lastRenderedPageBreak/>
        <w:t xml:space="preserve">La nivel regional sunt două domenii, </w:t>
      </w:r>
      <w:r w:rsidRPr="001A663E">
        <w:rPr>
          <w:rFonts w:ascii="Arial" w:hAnsi="Arial" w:cs="Arial"/>
          <w:i/>
          <w:sz w:val="24"/>
          <w:szCs w:val="24"/>
        </w:rPr>
        <w:t>Materiale de construcţii și Tehnici poligrafice</w:t>
      </w:r>
      <w:r>
        <w:rPr>
          <w:rFonts w:ascii="Arial" w:hAnsi="Arial" w:cs="Arial"/>
          <w:sz w:val="24"/>
          <w:szCs w:val="24"/>
        </w:rPr>
        <w:t>,</w:t>
      </w:r>
      <w:r w:rsidRPr="001A663E">
        <w:rPr>
          <w:rFonts w:ascii="Arial" w:hAnsi="Arial" w:cs="Arial"/>
          <w:sz w:val="24"/>
          <w:szCs w:val="24"/>
        </w:rPr>
        <w:t xml:space="preserve"> fără nici un operator economic.</w:t>
      </w:r>
    </w:p>
    <w:p w:rsidR="00077B4B" w:rsidRDefault="00077B4B" w:rsidP="00077B4B">
      <w:pPr>
        <w:pStyle w:val="ListParagraph"/>
        <w:ind w:left="0"/>
        <w:jc w:val="both"/>
        <w:rPr>
          <w:rFonts w:ascii="Arial" w:hAnsi="Arial" w:cs="Arial"/>
          <w:sz w:val="24"/>
          <w:szCs w:val="24"/>
        </w:rPr>
      </w:pPr>
      <w:r w:rsidRPr="001A663E">
        <w:rPr>
          <w:rFonts w:ascii="Arial" w:hAnsi="Arial" w:cs="Arial"/>
          <w:sz w:val="24"/>
          <w:szCs w:val="24"/>
        </w:rPr>
        <w:t>Solicitarile operatorilor au fost onorate astfel: 86,5% județul Hunedoara, 80,8% județul Timiș, 74,2% județul Arad și pe ultimul loc județul Caraș-Severin</w:t>
      </w:r>
      <w:r>
        <w:rPr>
          <w:rFonts w:ascii="Arial" w:hAnsi="Arial" w:cs="Arial"/>
          <w:sz w:val="24"/>
          <w:szCs w:val="24"/>
        </w:rPr>
        <w:t>,</w:t>
      </w:r>
      <w:r w:rsidRPr="001A663E">
        <w:rPr>
          <w:rFonts w:ascii="Arial" w:hAnsi="Arial" w:cs="Arial"/>
          <w:sz w:val="24"/>
          <w:szCs w:val="24"/>
        </w:rPr>
        <w:t xml:space="preserve"> 49,1%. </w:t>
      </w:r>
    </w:p>
    <w:p w:rsidR="001937AF" w:rsidRPr="001937AF" w:rsidRDefault="001937AF" w:rsidP="000C6A67">
      <w:pPr>
        <w:spacing w:after="0" w:line="240" w:lineRule="auto"/>
        <w:jc w:val="both"/>
        <w:rPr>
          <w:rFonts w:ascii="Arial" w:hAnsi="Arial" w:cs="Arial"/>
          <w:sz w:val="24"/>
          <w:szCs w:val="24"/>
          <w:lang w:eastAsia="ro-RO"/>
        </w:rPr>
      </w:pPr>
    </w:p>
    <w:p w:rsidR="00DD5F85" w:rsidRPr="004325BE" w:rsidRDefault="00FE3CCA" w:rsidP="004325BE">
      <w:pPr>
        <w:pStyle w:val="Heading3"/>
        <w:spacing w:before="0" w:line="240" w:lineRule="auto"/>
        <w:jc w:val="both"/>
        <w:rPr>
          <w:rFonts w:ascii="Arial" w:hAnsi="Arial" w:cs="Arial"/>
          <w:b w:val="0"/>
          <w:i/>
          <w:color w:val="auto"/>
          <w:sz w:val="24"/>
          <w:szCs w:val="24"/>
          <w:lang w:eastAsia="ro-RO"/>
        </w:rPr>
      </w:pPr>
      <w:bookmarkStart w:id="95" w:name="_Toc488066066"/>
      <w:r w:rsidRPr="00564592">
        <w:rPr>
          <w:rFonts w:ascii="Arial" w:hAnsi="Arial" w:cs="Arial"/>
          <w:b w:val="0"/>
          <w:i/>
          <w:color w:val="auto"/>
          <w:sz w:val="24"/>
          <w:szCs w:val="24"/>
          <w:lang w:eastAsia="ro-RO"/>
        </w:rPr>
        <w:t>6.1.</w:t>
      </w:r>
      <w:r w:rsidR="007A2E92" w:rsidRPr="00564592">
        <w:rPr>
          <w:rFonts w:ascii="Arial" w:hAnsi="Arial" w:cs="Arial"/>
          <w:b w:val="0"/>
          <w:i/>
          <w:color w:val="auto"/>
          <w:sz w:val="24"/>
          <w:szCs w:val="24"/>
          <w:lang w:eastAsia="ro-RO"/>
        </w:rPr>
        <w:t>9</w:t>
      </w:r>
      <w:r w:rsidR="00406DCE" w:rsidRPr="00564592">
        <w:rPr>
          <w:rFonts w:ascii="Arial" w:hAnsi="Arial" w:cs="Arial"/>
          <w:b w:val="0"/>
          <w:i/>
          <w:color w:val="auto"/>
          <w:sz w:val="24"/>
          <w:szCs w:val="24"/>
          <w:lang w:eastAsia="ro-RO"/>
        </w:rPr>
        <w:t xml:space="preserve">. Parteneriatul cu </w:t>
      </w:r>
      <w:r w:rsidR="00AD0E6B" w:rsidRPr="00564592">
        <w:rPr>
          <w:rFonts w:ascii="Arial" w:hAnsi="Arial" w:cs="Arial"/>
          <w:b w:val="0"/>
          <w:i/>
          <w:color w:val="auto"/>
          <w:sz w:val="24"/>
          <w:szCs w:val="24"/>
          <w:lang w:eastAsia="ro-RO"/>
        </w:rPr>
        <w:t>operatorii</w:t>
      </w:r>
      <w:r w:rsidR="00406DCE" w:rsidRPr="00564592">
        <w:rPr>
          <w:rFonts w:ascii="Arial" w:hAnsi="Arial" w:cs="Arial"/>
          <w:b w:val="0"/>
          <w:i/>
          <w:color w:val="auto"/>
          <w:sz w:val="24"/>
          <w:szCs w:val="24"/>
          <w:lang w:eastAsia="ro-RO"/>
        </w:rPr>
        <w:t xml:space="preserve"> economici</w:t>
      </w:r>
      <w:r w:rsidR="00AD0E6B" w:rsidRPr="00564592">
        <w:rPr>
          <w:rStyle w:val="FootnoteReference"/>
          <w:rFonts w:ascii="Arial" w:hAnsi="Arial" w:cs="Arial"/>
          <w:b w:val="0"/>
          <w:i/>
          <w:color w:val="auto"/>
          <w:sz w:val="24"/>
          <w:szCs w:val="24"/>
          <w:lang w:eastAsia="ro-RO"/>
        </w:rPr>
        <w:footnoteReference w:id="53"/>
      </w:r>
      <w:bookmarkEnd w:id="95"/>
    </w:p>
    <w:p w:rsidR="00A010A5" w:rsidRPr="00C80613" w:rsidRDefault="00A010A5" w:rsidP="000C6A67">
      <w:pPr>
        <w:tabs>
          <w:tab w:val="num" w:pos="-180"/>
          <w:tab w:val="left" w:pos="851"/>
        </w:tabs>
        <w:spacing w:after="0" w:line="240" w:lineRule="auto"/>
        <w:jc w:val="both"/>
        <w:rPr>
          <w:rFonts w:ascii="Arial" w:hAnsi="Arial" w:cs="Arial"/>
          <w:sz w:val="24"/>
          <w:szCs w:val="24"/>
        </w:rPr>
      </w:pPr>
      <w:r w:rsidRPr="00C80613">
        <w:rPr>
          <w:rFonts w:ascii="Arial" w:hAnsi="Arial" w:cs="Arial"/>
          <w:sz w:val="24"/>
          <w:szCs w:val="24"/>
        </w:rPr>
        <w:t xml:space="preserve">În vederea asigurării unei corespondențe între cerințele angajatorilor și formarea profesională ințială, la nivelul fiecarei unități de învățământ se dezvoltă parteneriate viabile școală-operatori economici. </w:t>
      </w:r>
      <w:r w:rsidRPr="00C80613">
        <w:rPr>
          <w:rFonts w:ascii="Arial" w:eastAsia="Calibri" w:hAnsi="Arial" w:cs="Arial"/>
          <w:sz w:val="24"/>
          <w:szCs w:val="24"/>
        </w:rPr>
        <w:t xml:space="preserve">Toţi cei implicaţi în acest amplu proces au conştientizat necesitatea realizării </w:t>
      </w:r>
      <w:r w:rsidRPr="00C80613">
        <w:rPr>
          <w:rFonts w:ascii="Arial" w:hAnsi="Arial" w:cs="Arial"/>
          <w:sz w:val="24"/>
          <w:szCs w:val="24"/>
        </w:rPr>
        <w:t>unui</w:t>
      </w:r>
      <w:r w:rsidRPr="00C80613">
        <w:rPr>
          <w:rFonts w:ascii="Arial" w:eastAsia="Calibri" w:hAnsi="Arial" w:cs="Arial"/>
          <w:sz w:val="24"/>
          <w:szCs w:val="24"/>
        </w:rPr>
        <w:t xml:space="preserve"> parteneriat colaborativ şi durabil, cu implicaţii directe atât pentru angajatori care au nevoie de îndivizi motivaţi, cu aptitudini multiple cât şi pentru mediul educaţional care trebuie să răspundă standardelor europene.</w:t>
      </w:r>
      <w:r w:rsidRPr="00C80613">
        <w:rPr>
          <w:rFonts w:ascii="Arial" w:hAnsi="Arial" w:cs="Arial"/>
          <w:sz w:val="24"/>
          <w:szCs w:val="24"/>
        </w:rPr>
        <w:t xml:space="preserve"> </w:t>
      </w:r>
    </w:p>
    <w:p w:rsidR="00D40632" w:rsidRDefault="00A010A5" w:rsidP="00D40632">
      <w:pPr>
        <w:tabs>
          <w:tab w:val="num" w:pos="-180"/>
          <w:tab w:val="left" w:pos="851"/>
        </w:tabs>
        <w:spacing w:after="0" w:line="240" w:lineRule="auto"/>
        <w:jc w:val="both"/>
        <w:rPr>
          <w:rFonts w:ascii="Arial" w:hAnsi="Arial" w:cs="Arial"/>
          <w:sz w:val="24"/>
          <w:szCs w:val="24"/>
        </w:rPr>
      </w:pPr>
      <w:r w:rsidRPr="00C80613">
        <w:rPr>
          <w:rFonts w:ascii="Arial" w:hAnsi="Arial" w:cs="Arial"/>
          <w:sz w:val="24"/>
          <w:szCs w:val="24"/>
        </w:rPr>
        <w:t>Învățământul profesional se organizează pe baza unui contract cadru între unitățile de învațământ si operatorii economici, prin care se stabilesc obligațiile privind:</w:t>
      </w:r>
    </w:p>
    <w:p w:rsidR="00D40632" w:rsidRDefault="00D40632" w:rsidP="00D40632">
      <w:pPr>
        <w:tabs>
          <w:tab w:val="num" w:pos="-180"/>
          <w:tab w:val="left" w:pos="851"/>
        </w:tabs>
        <w:spacing w:after="0" w:line="240" w:lineRule="auto"/>
        <w:jc w:val="both"/>
        <w:rPr>
          <w:rFonts w:ascii="Arial" w:hAnsi="Arial" w:cs="Arial"/>
          <w:sz w:val="24"/>
          <w:szCs w:val="24"/>
        </w:rPr>
      </w:pPr>
      <w:r>
        <w:rPr>
          <w:rFonts w:ascii="Arial" w:hAnsi="Arial" w:cs="Arial"/>
          <w:sz w:val="24"/>
          <w:szCs w:val="24"/>
        </w:rPr>
        <w:t>-</w:t>
      </w:r>
      <w:r w:rsidR="00A010A5" w:rsidRPr="00C80613">
        <w:rPr>
          <w:rFonts w:ascii="Arial" w:hAnsi="Arial" w:cs="Arial"/>
          <w:sz w:val="24"/>
          <w:szCs w:val="24"/>
        </w:rPr>
        <w:t>organizarea și desfășurarea procesului de formare pentru obținerea calificării</w:t>
      </w:r>
      <w:r>
        <w:rPr>
          <w:rFonts w:ascii="Arial" w:hAnsi="Arial" w:cs="Arial"/>
          <w:sz w:val="24"/>
          <w:szCs w:val="24"/>
        </w:rPr>
        <w:t xml:space="preserve"> </w:t>
      </w:r>
      <w:r w:rsidR="00A010A5" w:rsidRPr="00C80613">
        <w:rPr>
          <w:rFonts w:ascii="Arial" w:hAnsi="Arial" w:cs="Arial"/>
          <w:sz w:val="24"/>
          <w:szCs w:val="24"/>
        </w:rPr>
        <w:t>profesionale a elevilor și a stagiilor de pregatire practică;</w:t>
      </w:r>
    </w:p>
    <w:p w:rsidR="00D40632" w:rsidRDefault="00D40632" w:rsidP="00D40632">
      <w:pPr>
        <w:tabs>
          <w:tab w:val="num" w:pos="-180"/>
          <w:tab w:val="left" w:pos="851"/>
        </w:tabs>
        <w:spacing w:after="0" w:line="240" w:lineRule="auto"/>
        <w:jc w:val="both"/>
        <w:rPr>
          <w:rFonts w:ascii="Arial" w:hAnsi="Arial" w:cs="Arial"/>
          <w:sz w:val="24"/>
          <w:szCs w:val="24"/>
        </w:rPr>
      </w:pPr>
      <w:r>
        <w:rPr>
          <w:rFonts w:ascii="Arial" w:hAnsi="Arial" w:cs="Arial"/>
          <w:sz w:val="24"/>
          <w:szCs w:val="24"/>
        </w:rPr>
        <w:t>-</w:t>
      </w:r>
      <w:r w:rsidR="00A010A5" w:rsidRPr="00C80613">
        <w:rPr>
          <w:rFonts w:ascii="Arial" w:hAnsi="Arial" w:cs="Arial"/>
          <w:sz w:val="24"/>
          <w:szCs w:val="24"/>
        </w:rPr>
        <w:t>proiectarea curriculumului în dezvoltare locală;</w:t>
      </w:r>
    </w:p>
    <w:p w:rsidR="00D40632" w:rsidRDefault="00D40632" w:rsidP="00D40632">
      <w:pPr>
        <w:tabs>
          <w:tab w:val="num" w:pos="-180"/>
          <w:tab w:val="left" w:pos="851"/>
        </w:tabs>
        <w:spacing w:after="0" w:line="240" w:lineRule="auto"/>
        <w:jc w:val="both"/>
        <w:rPr>
          <w:rFonts w:ascii="Arial" w:hAnsi="Arial" w:cs="Arial"/>
          <w:sz w:val="24"/>
          <w:szCs w:val="24"/>
        </w:rPr>
      </w:pPr>
      <w:r>
        <w:rPr>
          <w:rFonts w:ascii="Arial" w:hAnsi="Arial" w:cs="Arial"/>
          <w:sz w:val="24"/>
          <w:szCs w:val="24"/>
        </w:rPr>
        <w:t>-</w:t>
      </w:r>
      <w:r w:rsidR="00A010A5" w:rsidRPr="00C80613">
        <w:rPr>
          <w:rFonts w:ascii="Arial" w:hAnsi="Arial" w:cs="Arial"/>
          <w:sz w:val="24"/>
          <w:szCs w:val="24"/>
        </w:rPr>
        <w:t>asigurarea condițiilor tehnice și a resursei umane necesare pregătirii practice a elevilor din învățământul profesional;</w:t>
      </w:r>
    </w:p>
    <w:p w:rsidR="00A010A5" w:rsidRPr="00C80613" w:rsidRDefault="00D40632" w:rsidP="00D40632">
      <w:pPr>
        <w:tabs>
          <w:tab w:val="num" w:pos="-180"/>
          <w:tab w:val="left" w:pos="851"/>
        </w:tabs>
        <w:spacing w:after="0" w:line="240" w:lineRule="auto"/>
        <w:jc w:val="both"/>
        <w:rPr>
          <w:rFonts w:ascii="Arial" w:hAnsi="Arial" w:cs="Arial"/>
          <w:sz w:val="24"/>
          <w:szCs w:val="24"/>
        </w:rPr>
      </w:pPr>
      <w:r>
        <w:rPr>
          <w:rFonts w:ascii="Arial" w:hAnsi="Arial" w:cs="Arial"/>
          <w:sz w:val="24"/>
          <w:szCs w:val="24"/>
        </w:rPr>
        <w:t>-</w:t>
      </w:r>
      <w:r w:rsidR="00A010A5" w:rsidRPr="00C80613">
        <w:rPr>
          <w:rFonts w:ascii="Arial" w:hAnsi="Arial" w:cs="Arial"/>
          <w:sz w:val="24"/>
          <w:szCs w:val="24"/>
        </w:rPr>
        <w:t>asigurarea condițiilor tehnice și a resursei umane necesare pentru organizarea și desfășurarea examenului de certificare a calificării profesionale a elevilor;</w:t>
      </w:r>
    </w:p>
    <w:p w:rsidR="00D40632" w:rsidRDefault="00D53B44" w:rsidP="00D40632">
      <w:pPr>
        <w:pStyle w:val="ListParagraph"/>
        <w:ind w:left="0"/>
        <w:jc w:val="both"/>
        <w:rPr>
          <w:rFonts w:ascii="Arial" w:hAnsi="Arial" w:cs="Arial"/>
          <w:sz w:val="24"/>
          <w:szCs w:val="24"/>
        </w:rPr>
      </w:pPr>
      <w:r w:rsidRPr="002739F3">
        <w:rPr>
          <w:rFonts w:ascii="Arial" w:hAnsi="Arial" w:cs="Arial"/>
          <w:sz w:val="24"/>
          <w:szCs w:val="24"/>
        </w:rPr>
        <w:t>Datele statistice privind situatia parteneriatului cu operatorii economici pentru formarea profesională ințială prin învățământ profesional arată că,  la nivel național s-au încheiat 4.726 contracte. Pe primul loc se situează Regiunea Nord-Vest cu 990 contracte  urmată de  Regiunea Centru cu 968 contracte.</w:t>
      </w:r>
      <w:r w:rsidRPr="002739F3">
        <w:rPr>
          <w:sz w:val="24"/>
          <w:szCs w:val="24"/>
        </w:rPr>
        <w:t xml:space="preserve"> </w:t>
      </w:r>
      <w:r w:rsidRPr="002739F3">
        <w:rPr>
          <w:rFonts w:ascii="Arial" w:hAnsi="Arial" w:cs="Arial"/>
          <w:sz w:val="24"/>
          <w:szCs w:val="24"/>
        </w:rPr>
        <w:t>Pentru  învăţământul profesional cu durata de 3 ani  au fost încheiate 408 de contracte la niv</w:t>
      </w:r>
      <w:r w:rsidR="00D40632">
        <w:rPr>
          <w:rFonts w:ascii="Arial" w:hAnsi="Arial" w:cs="Arial"/>
          <w:sz w:val="24"/>
          <w:szCs w:val="24"/>
        </w:rPr>
        <w:t>elul Regiunii Vest.</w:t>
      </w:r>
    </w:p>
    <w:p w:rsidR="00D53B44" w:rsidRPr="002739F3" w:rsidRDefault="00D53B44" w:rsidP="00D40632">
      <w:pPr>
        <w:pStyle w:val="ListParagraph"/>
        <w:ind w:left="0"/>
        <w:jc w:val="both"/>
        <w:rPr>
          <w:rFonts w:ascii="Arial" w:hAnsi="Arial" w:cs="Arial"/>
          <w:sz w:val="24"/>
          <w:szCs w:val="24"/>
        </w:rPr>
      </w:pPr>
      <w:r w:rsidRPr="002739F3">
        <w:rPr>
          <w:rFonts w:ascii="Arial" w:hAnsi="Arial" w:cs="Arial"/>
          <w:sz w:val="24"/>
          <w:szCs w:val="24"/>
        </w:rPr>
        <w:t>Pe domenii de formare profesională cele mai multe contracte s-au încheiat cu operatorii economici din domeniul Mecanică (1.965 contracte) din care 987 contracte pentru calificarea Mecanic auto și 242 contracte – Tinichigiu vopsitor auto, iar la mare distanță urmează domeniul Turism și alimentație (969 contracte) din care 502 contracte pentru caificarea Ospătar (chelner) în unități de alimentație și Bucătar – 292 contracte, și Construcţii, instalaţii şi lucrări publice (267 contracte). Cele mai puține contracte încheiate sunt înregistrate în domeniile Materiale de construcții (1 contract), Tehnici poligrafice (2 contracte) și Silvicultură (12 contracte).</w:t>
      </w:r>
      <w:r w:rsidRPr="002739F3">
        <w:rPr>
          <w:rFonts w:ascii="Arial" w:hAnsi="Arial" w:cs="Arial"/>
        </w:rPr>
        <w:t xml:space="preserve"> </w:t>
      </w:r>
    </w:p>
    <w:p w:rsidR="00D53B44" w:rsidRPr="002739F3" w:rsidRDefault="00D53B44" w:rsidP="000C6A67">
      <w:pPr>
        <w:spacing w:after="0" w:line="240" w:lineRule="auto"/>
        <w:jc w:val="both"/>
        <w:rPr>
          <w:rFonts w:ascii="Arial" w:eastAsia="Times New Roman" w:hAnsi="Arial" w:cs="Arial"/>
          <w:sz w:val="24"/>
          <w:szCs w:val="24"/>
          <w:lang w:val="en-US"/>
        </w:rPr>
      </w:pPr>
      <w:r w:rsidRPr="002739F3">
        <w:rPr>
          <w:rFonts w:ascii="Arial" w:hAnsi="Arial" w:cs="Arial"/>
          <w:sz w:val="24"/>
          <w:szCs w:val="24"/>
        </w:rPr>
        <w:t>La nivelul Regiunii Vest interesul operatorilor economici este deosebit de mare pentru forța de muncă cu competențe specifice, având în vedere și rata scăzută a somajului, practic lipsa forței de muncă accesibilă, fără deprinderile necesare.</w:t>
      </w:r>
      <w:r>
        <w:rPr>
          <w:rFonts w:ascii="Arial" w:hAnsi="Arial" w:cs="Arial"/>
          <w:sz w:val="24"/>
          <w:szCs w:val="24"/>
        </w:rPr>
        <w:t xml:space="preserve"> </w:t>
      </w:r>
      <w:r w:rsidRPr="002739F3">
        <w:rPr>
          <w:rFonts w:ascii="Arial" w:hAnsi="Arial" w:cs="Arial"/>
          <w:sz w:val="24"/>
          <w:szCs w:val="24"/>
        </w:rPr>
        <w:t xml:space="preserve">Din date analizate  rezultă că există o categorie de domenii în care avem un număr semnficativ de operatori economici care solicită școlarizare și implicit sunt potențiale locuri de muncă, astfel: </w:t>
      </w:r>
      <w:r w:rsidRPr="002739F3">
        <w:rPr>
          <w:rFonts w:ascii="Arial" w:hAnsi="Arial" w:cs="Arial"/>
          <w:i/>
          <w:sz w:val="24"/>
          <w:szCs w:val="24"/>
        </w:rPr>
        <w:t xml:space="preserve">cu oferta consistentă la nivel regional </w:t>
      </w:r>
      <w:r w:rsidRPr="002739F3">
        <w:rPr>
          <w:rFonts w:ascii="Arial" w:hAnsi="Arial" w:cs="Arial"/>
          <w:sz w:val="24"/>
          <w:szCs w:val="24"/>
        </w:rPr>
        <w:t>pentru domeniil</w:t>
      </w:r>
      <w:r w:rsidR="00945A7F">
        <w:rPr>
          <w:rFonts w:ascii="Arial" w:hAnsi="Arial" w:cs="Arial"/>
          <w:sz w:val="24"/>
          <w:szCs w:val="24"/>
        </w:rPr>
        <w:t xml:space="preserve">e -   Mecanică (170 contracte),Turism </w:t>
      </w:r>
      <w:r w:rsidRPr="002739F3">
        <w:rPr>
          <w:rFonts w:ascii="Arial" w:hAnsi="Arial" w:cs="Arial"/>
          <w:sz w:val="24"/>
          <w:szCs w:val="24"/>
        </w:rPr>
        <w:t>ș</w:t>
      </w:r>
      <w:r w:rsidR="00945A7F">
        <w:rPr>
          <w:rFonts w:ascii="Arial" w:hAnsi="Arial" w:cs="Arial"/>
          <w:sz w:val="24"/>
          <w:szCs w:val="24"/>
        </w:rPr>
        <w:t xml:space="preserve">i alimentație </w:t>
      </w:r>
      <w:r w:rsidRPr="002739F3">
        <w:rPr>
          <w:rFonts w:ascii="Arial" w:hAnsi="Arial" w:cs="Arial"/>
          <w:sz w:val="24"/>
          <w:szCs w:val="24"/>
        </w:rPr>
        <w:t xml:space="preserve">(106 contracte), Electric (18 contracte), Electromecanică (16 contracte), Comerț și Construcții, instalații și lucrări publice (14 contracte); </w:t>
      </w:r>
      <w:r w:rsidRPr="002739F3">
        <w:rPr>
          <w:rFonts w:ascii="Arial" w:hAnsi="Arial" w:cs="Arial"/>
          <w:i/>
          <w:sz w:val="24"/>
          <w:szCs w:val="24"/>
        </w:rPr>
        <w:t>sub 10 operatori economici solicitanți,</w:t>
      </w:r>
      <w:r w:rsidRPr="002739F3">
        <w:rPr>
          <w:rFonts w:ascii="Arial" w:hAnsi="Arial" w:cs="Arial"/>
          <w:sz w:val="24"/>
          <w:szCs w:val="24"/>
        </w:rPr>
        <w:t xml:space="preserve"> ceea ce înseamna o cerere relativ mică din partea economiei locale - </w:t>
      </w:r>
      <w:r w:rsidRPr="002739F3">
        <w:rPr>
          <w:rFonts w:ascii="Arial" w:eastAsia="Times New Roman" w:hAnsi="Arial" w:cs="Arial"/>
          <w:sz w:val="24"/>
          <w:szCs w:val="24"/>
          <w:lang w:val="en-US"/>
        </w:rPr>
        <w:t>Industrie alimentară (9 contracte),</w:t>
      </w:r>
      <w:r w:rsidRPr="002739F3">
        <w:rPr>
          <w:rFonts w:ascii="Arial" w:hAnsi="Arial" w:cs="Arial"/>
          <w:sz w:val="24"/>
          <w:szCs w:val="24"/>
        </w:rPr>
        <w:t xml:space="preserve"> </w:t>
      </w:r>
      <w:r w:rsidRPr="002739F3">
        <w:rPr>
          <w:rFonts w:ascii="Arial" w:eastAsia="Times New Roman" w:hAnsi="Arial" w:cs="Arial"/>
          <w:sz w:val="24"/>
          <w:szCs w:val="24"/>
          <w:lang w:val="en-US"/>
        </w:rPr>
        <w:t>Industrie textilă și pielărie (7 contracte), Chimie industrială (6 contracte) și Silvicultură (2 contracte).</w:t>
      </w:r>
    </w:p>
    <w:p w:rsidR="00D53B44" w:rsidRPr="00DA5745" w:rsidRDefault="00D53B44" w:rsidP="000C6A67">
      <w:pPr>
        <w:spacing w:after="0" w:line="240" w:lineRule="auto"/>
        <w:jc w:val="both"/>
        <w:rPr>
          <w:rFonts w:ascii="Arial" w:hAnsi="Arial" w:cs="Arial"/>
          <w:color w:val="FF0000"/>
          <w:sz w:val="24"/>
          <w:szCs w:val="24"/>
        </w:rPr>
      </w:pPr>
      <w:r w:rsidRPr="002739F3">
        <w:rPr>
          <w:rFonts w:ascii="Arial" w:hAnsi="Arial" w:cs="Arial"/>
          <w:sz w:val="24"/>
          <w:szCs w:val="24"/>
        </w:rPr>
        <w:t xml:space="preserve">Au fost încheiate contracte cu operatorii economici în fiecare județ al regiunii, pentru mai multe domenii economice, cele mai relevante pentru dezvoltarea regionala, astfel: județul Arad -  s-au semnat 105 </w:t>
      </w:r>
      <w:r w:rsidRPr="00262E52">
        <w:rPr>
          <w:rFonts w:ascii="Arial" w:hAnsi="Arial" w:cs="Arial"/>
          <w:sz w:val="24"/>
          <w:szCs w:val="24"/>
        </w:rPr>
        <w:t>contracte de parteneriat pentru instruire practică cu operatori economici pentru 20 de calificări;</w:t>
      </w:r>
      <w:r w:rsidR="009B34CF">
        <w:rPr>
          <w:rFonts w:ascii="Arial" w:hAnsi="Arial" w:cs="Arial"/>
          <w:sz w:val="24"/>
          <w:szCs w:val="24"/>
        </w:rPr>
        <w:t xml:space="preserve"> </w:t>
      </w:r>
      <w:r w:rsidRPr="00262E52">
        <w:rPr>
          <w:rFonts w:ascii="Arial" w:eastAsia="Times New Roman" w:hAnsi="Arial" w:cs="Arial"/>
          <w:sz w:val="24"/>
          <w:szCs w:val="24"/>
          <w:lang w:val="en-US"/>
        </w:rPr>
        <w:t>în</w:t>
      </w:r>
      <w:r>
        <w:rPr>
          <w:rFonts w:ascii="Arial" w:eastAsia="Times New Roman" w:hAnsi="Arial" w:cs="Arial"/>
          <w:color w:val="FF0000"/>
          <w:sz w:val="24"/>
          <w:szCs w:val="24"/>
          <w:lang w:val="en-US"/>
        </w:rPr>
        <w:t xml:space="preserve"> </w:t>
      </w:r>
      <w:r w:rsidRPr="002739F3">
        <w:rPr>
          <w:rFonts w:ascii="Arial" w:hAnsi="Arial" w:cs="Arial"/>
          <w:sz w:val="24"/>
          <w:szCs w:val="24"/>
        </w:rPr>
        <w:t xml:space="preserve">județul Caraș Severin </w:t>
      </w:r>
      <w:r>
        <w:rPr>
          <w:rFonts w:ascii="Arial" w:hAnsi="Arial" w:cs="Arial"/>
          <w:sz w:val="24"/>
          <w:szCs w:val="24"/>
        </w:rPr>
        <w:t>s-</w:t>
      </w:r>
      <w:r w:rsidRPr="002739F3">
        <w:rPr>
          <w:rFonts w:ascii="Arial" w:hAnsi="Arial" w:cs="Arial"/>
          <w:sz w:val="24"/>
          <w:szCs w:val="24"/>
        </w:rPr>
        <w:t xml:space="preserve">au semnat 108 </w:t>
      </w:r>
      <w:r>
        <w:rPr>
          <w:rFonts w:ascii="Arial" w:hAnsi="Arial" w:cs="Arial"/>
          <w:sz w:val="24"/>
          <w:szCs w:val="24"/>
        </w:rPr>
        <w:t>contracte de parteneriat</w:t>
      </w:r>
      <w:r w:rsidRPr="002739F3">
        <w:rPr>
          <w:rFonts w:ascii="Arial" w:hAnsi="Arial" w:cs="Arial"/>
          <w:sz w:val="24"/>
          <w:szCs w:val="24"/>
        </w:rPr>
        <w:t xml:space="preserve"> pentru instruire practică cu operatori economici, </w:t>
      </w:r>
      <w:r>
        <w:rPr>
          <w:rFonts w:ascii="Arial" w:hAnsi="Arial" w:cs="Arial"/>
          <w:sz w:val="24"/>
          <w:szCs w:val="24"/>
        </w:rPr>
        <w:t xml:space="preserve">pentru </w:t>
      </w:r>
      <w:r w:rsidRPr="002739F3">
        <w:rPr>
          <w:rFonts w:ascii="Arial" w:hAnsi="Arial" w:cs="Arial"/>
          <w:sz w:val="24"/>
          <w:szCs w:val="24"/>
        </w:rPr>
        <w:t>2</w:t>
      </w:r>
      <w:r>
        <w:rPr>
          <w:rFonts w:ascii="Arial" w:hAnsi="Arial" w:cs="Arial"/>
          <w:sz w:val="24"/>
          <w:szCs w:val="24"/>
        </w:rPr>
        <w:t>3</w:t>
      </w:r>
      <w:r w:rsidRPr="002739F3">
        <w:rPr>
          <w:rFonts w:ascii="Arial" w:hAnsi="Arial" w:cs="Arial"/>
          <w:sz w:val="24"/>
          <w:szCs w:val="24"/>
        </w:rPr>
        <w:t xml:space="preserve"> de </w:t>
      </w:r>
      <w:r w:rsidRPr="002739F3">
        <w:rPr>
          <w:rFonts w:ascii="Arial" w:hAnsi="Arial" w:cs="Arial"/>
          <w:sz w:val="24"/>
          <w:szCs w:val="24"/>
        </w:rPr>
        <w:lastRenderedPageBreak/>
        <w:t>calificări</w:t>
      </w:r>
      <w:r>
        <w:rPr>
          <w:rFonts w:ascii="Arial" w:hAnsi="Arial" w:cs="Arial"/>
          <w:sz w:val="24"/>
          <w:szCs w:val="24"/>
        </w:rPr>
        <w:t>;</w:t>
      </w:r>
      <w:r w:rsidR="009B34CF">
        <w:rPr>
          <w:rFonts w:ascii="Arial" w:hAnsi="Arial" w:cs="Arial"/>
          <w:sz w:val="24"/>
          <w:szCs w:val="24"/>
        </w:rPr>
        <w:t xml:space="preserve"> </w:t>
      </w:r>
      <w:r>
        <w:rPr>
          <w:rFonts w:ascii="Arial" w:hAnsi="Arial" w:cs="Arial"/>
          <w:sz w:val="24"/>
          <w:szCs w:val="24"/>
        </w:rPr>
        <w:t>j</w:t>
      </w:r>
      <w:r w:rsidRPr="002739F3">
        <w:rPr>
          <w:rFonts w:ascii="Arial" w:hAnsi="Arial" w:cs="Arial"/>
          <w:sz w:val="24"/>
          <w:szCs w:val="24"/>
        </w:rPr>
        <w:t xml:space="preserve">udețul Hunedoara - au semnat 106 </w:t>
      </w:r>
      <w:r>
        <w:rPr>
          <w:rFonts w:ascii="Arial" w:hAnsi="Arial" w:cs="Arial"/>
          <w:sz w:val="24"/>
          <w:szCs w:val="24"/>
        </w:rPr>
        <w:t>contracte de parteneriat</w:t>
      </w:r>
      <w:r w:rsidRPr="002739F3">
        <w:rPr>
          <w:rFonts w:ascii="Arial" w:hAnsi="Arial" w:cs="Arial"/>
          <w:sz w:val="24"/>
          <w:szCs w:val="24"/>
        </w:rPr>
        <w:t xml:space="preserve"> pentru instruire practică cu operatori economici,</w:t>
      </w:r>
      <w:r>
        <w:rPr>
          <w:rFonts w:ascii="Arial" w:hAnsi="Arial" w:cs="Arial"/>
          <w:sz w:val="24"/>
          <w:szCs w:val="24"/>
        </w:rPr>
        <w:t xml:space="preserve"> pentru</w:t>
      </w:r>
      <w:r w:rsidRPr="002739F3">
        <w:rPr>
          <w:rFonts w:ascii="Arial" w:hAnsi="Arial" w:cs="Arial"/>
          <w:sz w:val="24"/>
          <w:szCs w:val="24"/>
        </w:rPr>
        <w:t xml:space="preserve"> 2</w:t>
      </w:r>
      <w:r>
        <w:rPr>
          <w:rFonts w:ascii="Arial" w:hAnsi="Arial" w:cs="Arial"/>
          <w:sz w:val="24"/>
          <w:szCs w:val="24"/>
        </w:rPr>
        <w:t>0</w:t>
      </w:r>
      <w:r w:rsidRPr="002739F3">
        <w:rPr>
          <w:rFonts w:ascii="Arial" w:hAnsi="Arial" w:cs="Arial"/>
          <w:sz w:val="24"/>
          <w:szCs w:val="24"/>
        </w:rPr>
        <w:t xml:space="preserve"> de calificări</w:t>
      </w:r>
      <w:r>
        <w:rPr>
          <w:rFonts w:ascii="Arial" w:hAnsi="Arial" w:cs="Arial"/>
          <w:sz w:val="24"/>
          <w:szCs w:val="24"/>
        </w:rPr>
        <w:t>;</w:t>
      </w:r>
      <w:r w:rsidRPr="002739F3">
        <w:rPr>
          <w:rFonts w:ascii="Arial" w:eastAsia="Times New Roman" w:hAnsi="Arial" w:cs="Arial"/>
          <w:sz w:val="24"/>
          <w:szCs w:val="24"/>
          <w:lang w:val="en-US"/>
        </w:rPr>
        <w:t xml:space="preserve"> </w:t>
      </w:r>
      <w:r>
        <w:rPr>
          <w:rFonts w:ascii="Arial" w:hAnsi="Arial" w:cs="Arial"/>
          <w:sz w:val="24"/>
          <w:szCs w:val="24"/>
        </w:rPr>
        <w:t>j</w:t>
      </w:r>
      <w:r w:rsidRPr="002739F3">
        <w:rPr>
          <w:rFonts w:ascii="Arial" w:hAnsi="Arial" w:cs="Arial"/>
          <w:sz w:val="24"/>
          <w:szCs w:val="24"/>
        </w:rPr>
        <w:t xml:space="preserve">udețul Timiș </w:t>
      </w:r>
      <w:r>
        <w:rPr>
          <w:rFonts w:ascii="Arial" w:hAnsi="Arial" w:cs="Arial"/>
          <w:sz w:val="24"/>
          <w:szCs w:val="24"/>
        </w:rPr>
        <w:t>s-</w:t>
      </w:r>
      <w:r w:rsidRPr="002739F3">
        <w:rPr>
          <w:rFonts w:ascii="Arial" w:hAnsi="Arial" w:cs="Arial"/>
          <w:sz w:val="24"/>
          <w:szCs w:val="24"/>
        </w:rPr>
        <w:t>au semnat 89 de acorduri de cooperare pentru instruire practică cu operatori economici, cu o diversitate relativă a calificărilor solicitate, 21 de calificări</w:t>
      </w:r>
      <w:r>
        <w:rPr>
          <w:rFonts w:ascii="Arial" w:hAnsi="Arial" w:cs="Arial"/>
          <w:sz w:val="24"/>
          <w:szCs w:val="24"/>
        </w:rPr>
        <w:t>.</w:t>
      </w:r>
      <w:r w:rsidRPr="002739F3">
        <w:rPr>
          <w:rFonts w:ascii="Arial" w:hAnsi="Arial" w:cs="Arial"/>
          <w:sz w:val="24"/>
          <w:szCs w:val="24"/>
        </w:rPr>
        <w:t xml:space="preserve"> </w:t>
      </w:r>
    </w:p>
    <w:p w:rsidR="00D53B44" w:rsidRPr="00145ECF" w:rsidRDefault="00D53B44" w:rsidP="000C6A67">
      <w:pPr>
        <w:spacing w:after="0" w:line="240" w:lineRule="auto"/>
        <w:jc w:val="both"/>
        <w:rPr>
          <w:rFonts w:ascii="Arial" w:eastAsia="Times New Roman" w:hAnsi="Arial" w:cs="Arial"/>
          <w:sz w:val="24"/>
          <w:szCs w:val="24"/>
          <w:lang w:val="en-US"/>
        </w:rPr>
      </w:pPr>
      <w:r w:rsidRPr="00145ECF">
        <w:rPr>
          <w:rFonts w:ascii="Arial" w:eastAsia="Times New Roman" w:hAnsi="Arial" w:cs="Arial"/>
          <w:sz w:val="24"/>
          <w:szCs w:val="24"/>
          <w:lang w:val="en-US"/>
        </w:rPr>
        <w:t xml:space="preserve">De remarcat că,  Mecanic auto (domeniul Mecanică) este  cea mai căutată calificare în fiecare județ (Timiș - 15 contracte; Hunedoara -26 contracte; Caraș-Severin -23 contracte și Arad – 24 contracte). Opțiunile elevilor sunt orientate mai ales către acele calificări care permit după absolvirea școlii demararea unei afeceri familiale, sau un IMM. </w:t>
      </w:r>
    </w:p>
    <w:p w:rsidR="001937AF" w:rsidRPr="0081121B" w:rsidRDefault="001937AF" w:rsidP="000C6A67">
      <w:pPr>
        <w:spacing w:after="0" w:line="240" w:lineRule="auto"/>
        <w:jc w:val="both"/>
        <w:rPr>
          <w:rFonts w:ascii="Arial" w:eastAsia="Times New Roman" w:hAnsi="Arial" w:cs="Arial"/>
          <w:color w:val="FF0000"/>
          <w:sz w:val="24"/>
          <w:szCs w:val="24"/>
          <w:lang w:val="en-US"/>
        </w:rPr>
      </w:pPr>
    </w:p>
    <w:p w:rsidR="00DD5F85" w:rsidRPr="004325BE" w:rsidRDefault="00FE3CCA" w:rsidP="000C6A67">
      <w:pPr>
        <w:spacing w:after="0" w:line="240" w:lineRule="auto"/>
        <w:jc w:val="both"/>
        <w:rPr>
          <w:rFonts w:ascii="Arial" w:eastAsia="Times New Roman" w:hAnsi="Arial" w:cs="Arial"/>
          <w:i/>
          <w:sz w:val="24"/>
          <w:szCs w:val="24"/>
          <w:lang w:val="en-US"/>
        </w:rPr>
      </w:pPr>
      <w:r w:rsidRPr="004B4C77">
        <w:rPr>
          <w:rFonts w:ascii="Arial" w:eastAsia="Times New Roman" w:hAnsi="Arial" w:cs="Arial"/>
          <w:i/>
          <w:sz w:val="24"/>
          <w:szCs w:val="24"/>
          <w:lang w:val="en-US"/>
        </w:rPr>
        <w:t>6.1</w:t>
      </w:r>
      <w:r w:rsidR="007A2E92" w:rsidRPr="004B4C77">
        <w:rPr>
          <w:rFonts w:ascii="Arial" w:eastAsia="Times New Roman" w:hAnsi="Arial" w:cs="Arial"/>
          <w:i/>
          <w:sz w:val="24"/>
          <w:szCs w:val="24"/>
          <w:lang w:val="en-US"/>
        </w:rPr>
        <w:t>.10</w:t>
      </w:r>
      <w:r w:rsidR="00406DCE" w:rsidRPr="004B4C77">
        <w:rPr>
          <w:rFonts w:ascii="Arial" w:eastAsia="Times New Roman" w:hAnsi="Arial" w:cs="Arial"/>
          <w:i/>
          <w:sz w:val="24"/>
          <w:szCs w:val="24"/>
          <w:lang w:val="en-US"/>
        </w:rPr>
        <w:t>.Reţeaua unităţilor şcolare IPT</w:t>
      </w:r>
      <w:r w:rsidR="00F02062" w:rsidRPr="004B4C77">
        <w:rPr>
          <w:rFonts w:ascii="Arial" w:eastAsia="Times New Roman" w:hAnsi="Arial" w:cs="Arial"/>
          <w:i/>
          <w:sz w:val="24"/>
          <w:szCs w:val="24"/>
          <w:lang w:val="en-US"/>
        </w:rPr>
        <w:footnoteReference w:id="54"/>
      </w:r>
    </w:p>
    <w:p w:rsidR="001937AF" w:rsidRPr="0081121B" w:rsidRDefault="005D4920" w:rsidP="000C6A67">
      <w:pPr>
        <w:spacing w:after="0" w:line="240" w:lineRule="auto"/>
        <w:jc w:val="both"/>
        <w:rPr>
          <w:rFonts w:ascii="Arial" w:eastAsia="Times New Roman" w:hAnsi="Arial" w:cs="Arial"/>
          <w:sz w:val="24"/>
          <w:szCs w:val="24"/>
          <w:lang w:val="en-US"/>
        </w:rPr>
      </w:pPr>
      <w:r w:rsidRPr="0081121B">
        <w:rPr>
          <w:rFonts w:ascii="Arial" w:eastAsia="Times New Roman" w:hAnsi="Arial" w:cs="Arial"/>
          <w:sz w:val="24"/>
          <w:szCs w:val="24"/>
          <w:lang w:val="en-US"/>
        </w:rPr>
        <w:t>Rețeaua unităților școlare care oferă IPT la nivelul regiunii cuprinde 124 de școli repartizate astfel: Arad 34 din care 5 mediul rural, C</w:t>
      </w:r>
      <w:r w:rsidR="004B4C77">
        <w:rPr>
          <w:rFonts w:ascii="Arial" w:eastAsia="Times New Roman" w:hAnsi="Arial" w:cs="Arial"/>
          <w:sz w:val="24"/>
          <w:szCs w:val="24"/>
          <w:lang w:val="en-US"/>
        </w:rPr>
        <w:t>araș-</w:t>
      </w:r>
      <w:r w:rsidRPr="0081121B">
        <w:rPr>
          <w:rFonts w:ascii="Arial" w:eastAsia="Times New Roman" w:hAnsi="Arial" w:cs="Arial"/>
          <w:sz w:val="24"/>
          <w:szCs w:val="24"/>
          <w:lang w:val="en-US"/>
        </w:rPr>
        <w:t>S</w:t>
      </w:r>
      <w:r w:rsidR="004B4C77">
        <w:rPr>
          <w:rFonts w:ascii="Arial" w:eastAsia="Times New Roman" w:hAnsi="Arial" w:cs="Arial"/>
          <w:sz w:val="24"/>
          <w:szCs w:val="24"/>
          <w:lang w:val="en-US"/>
        </w:rPr>
        <w:t>everin</w:t>
      </w:r>
      <w:r w:rsidRPr="0081121B">
        <w:rPr>
          <w:rFonts w:ascii="Arial" w:eastAsia="Times New Roman" w:hAnsi="Arial" w:cs="Arial"/>
          <w:sz w:val="24"/>
          <w:szCs w:val="24"/>
          <w:lang w:val="en-US"/>
        </w:rPr>
        <w:t xml:space="preserve"> 26 din care 6 în mediul rural, </w:t>
      </w:r>
      <w:r w:rsidR="004B4C77">
        <w:rPr>
          <w:rFonts w:ascii="Arial" w:eastAsia="Times New Roman" w:hAnsi="Arial" w:cs="Arial"/>
          <w:sz w:val="24"/>
          <w:szCs w:val="24"/>
          <w:lang w:val="en-US"/>
        </w:rPr>
        <w:t>Hunedoara</w:t>
      </w:r>
      <w:r w:rsidRPr="0081121B">
        <w:rPr>
          <w:rFonts w:ascii="Arial" w:eastAsia="Times New Roman" w:hAnsi="Arial" w:cs="Arial"/>
          <w:sz w:val="24"/>
          <w:szCs w:val="24"/>
          <w:lang w:val="en-US"/>
        </w:rPr>
        <w:t xml:space="preserve"> 29 din care 2 în mediul rural și </w:t>
      </w:r>
      <w:r w:rsidR="004B4C77">
        <w:rPr>
          <w:rFonts w:ascii="Arial" w:eastAsia="Times New Roman" w:hAnsi="Arial" w:cs="Arial"/>
          <w:sz w:val="24"/>
          <w:szCs w:val="24"/>
          <w:lang w:val="en-US"/>
        </w:rPr>
        <w:t>Timiș</w:t>
      </w:r>
      <w:r w:rsidRPr="0081121B">
        <w:rPr>
          <w:rFonts w:ascii="Arial" w:eastAsia="Times New Roman" w:hAnsi="Arial" w:cs="Arial"/>
          <w:sz w:val="24"/>
          <w:szCs w:val="24"/>
          <w:lang w:val="en-US"/>
        </w:rPr>
        <w:t xml:space="preserve"> 35 din care 5 în mediul rural.</w:t>
      </w:r>
    </w:p>
    <w:p w:rsidR="005D4920" w:rsidRPr="0081121B" w:rsidRDefault="005D4920" w:rsidP="000C6A67">
      <w:pPr>
        <w:spacing w:after="0" w:line="240" w:lineRule="auto"/>
        <w:jc w:val="both"/>
        <w:rPr>
          <w:rFonts w:ascii="Arial" w:eastAsia="Times New Roman" w:hAnsi="Arial" w:cs="Arial"/>
          <w:sz w:val="24"/>
          <w:szCs w:val="24"/>
          <w:lang w:val="en-US"/>
        </w:rPr>
      </w:pPr>
      <w:r w:rsidRPr="0081121B">
        <w:rPr>
          <w:rFonts w:ascii="Arial" w:eastAsia="Times New Roman" w:hAnsi="Arial" w:cs="Arial"/>
          <w:sz w:val="24"/>
          <w:szCs w:val="24"/>
          <w:lang w:val="en-US"/>
        </w:rPr>
        <w:t>Este interesantă analiza concentrării acestor școli în centrele urbane, cu potenția</w:t>
      </w:r>
      <w:r w:rsidR="004B0E13" w:rsidRPr="0081121B">
        <w:rPr>
          <w:rFonts w:ascii="Arial" w:eastAsia="Times New Roman" w:hAnsi="Arial" w:cs="Arial"/>
          <w:sz w:val="24"/>
          <w:szCs w:val="24"/>
          <w:lang w:val="en-US"/>
        </w:rPr>
        <w:t>l</w:t>
      </w:r>
      <w:r w:rsidRPr="0081121B">
        <w:rPr>
          <w:rFonts w:ascii="Arial" w:eastAsia="Times New Roman" w:hAnsi="Arial" w:cs="Arial"/>
          <w:sz w:val="24"/>
          <w:szCs w:val="24"/>
          <w:lang w:val="en-US"/>
        </w:rPr>
        <w:t xml:space="preserve"> economic </w:t>
      </w:r>
      <w:r w:rsidR="004B0E13" w:rsidRPr="0081121B">
        <w:rPr>
          <w:rFonts w:ascii="Arial" w:eastAsia="Times New Roman" w:hAnsi="Arial" w:cs="Arial"/>
          <w:sz w:val="24"/>
          <w:szCs w:val="24"/>
          <w:lang w:val="en-US"/>
        </w:rPr>
        <w:t>r</w:t>
      </w:r>
      <w:r w:rsidRPr="0081121B">
        <w:rPr>
          <w:rFonts w:ascii="Arial" w:eastAsia="Times New Roman" w:hAnsi="Arial" w:cs="Arial"/>
          <w:sz w:val="24"/>
          <w:szCs w:val="24"/>
          <w:lang w:val="en-US"/>
        </w:rPr>
        <w:t xml:space="preserve">elevant, </w:t>
      </w:r>
      <w:r w:rsidR="004B4C77">
        <w:rPr>
          <w:rFonts w:ascii="Arial" w:eastAsia="Times New Roman" w:hAnsi="Arial" w:cs="Arial"/>
          <w:sz w:val="24"/>
          <w:szCs w:val="24"/>
          <w:lang w:val="en-US"/>
        </w:rPr>
        <w:t>ș</w:t>
      </w:r>
      <w:r w:rsidRPr="0081121B">
        <w:rPr>
          <w:rFonts w:ascii="Arial" w:eastAsia="Times New Roman" w:hAnsi="Arial" w:cs="Arial"/>
          <w:sz w:val="24"/>
          <w:szCs w:val="24"/>
          <w:lang w:val="en-US"/>
        </w:rPr>
        <w:t>i unde școlile pot dezvolta parteneriate pentru instruirea practică cu șanse de angajare viitoare.</w:t>
      </w:r>
    </w:p>
    <w:p w:rsidR="005D4920" w:rsidRPr="0081121B" w:rsidRDefault="005D4920" w:rsidP="000C6A67">
      <w:pPr>
        <w:spacing w:after="0" w:line="240" w:lineRule="auto"/>
        <w:jc w:val="both"/>
        <w:rPr>
          <w:rFonts w:ascii="Arial" w:eastAsia="Times New Roman" w:hAnsi="Arial" w:cs="Arial"/>
          <w:sz w:val="24"/>
          <w:szCs w:val="24"/>
          <w:lang w:val="en-US"/>
        </w:rPr>
      </w:pPr>
      <w:r w:rsidRPr="0081121B">
        <w:rPr>
          <w:rFonts w:ascii="Arial" w:eastAsia="Times New Roman" w:hAnsi="Arial" w:cs="Arial"/>
          <w:sz w:val="24"/>
          <w:szCs w:val="24"/>
          <w:lang w:val="en-US"/>
        </w:rPr>
        <w:t xml:space="preserve">Rolul social al acestor școli este prezent mai ales în mediul rural și în orașele mici, pentru care este deoesbit de urgentă o analiză a rezultatelor, a gradului de inserție a absolvenților în pața muncii. </w:t>
      </w:r>
    </w:p>
    <w:p w:rsidR="001937AF" w:rsidRPr="0081121B" w:rsidRDefault="001937AF" w:rsidP="000C6A67">
      <w:pPr>
        <w:spacing w:after="0" w:line="240" w:lineRule="auto"/>
        <w:jc w:val="both"/>
        <w:rPr>
          <w:rFonts w:ascii="Arial" w:hAnsi="Arial" w:cs="Arial"/>
          <w:color w:val="FF0000"/>
          <w:sz w:val="24"/>
          <w:szCs w:val="24"/>
          <w:lang w:eastAsia="ro-RO"/>
        </w:rPr>
      </w:pPr>
    </w:p>
    <w:p w:rsidR="00F02062" w:rsidRPr="004B4C77" w:rsidRDefault="00F02062" w:rsidP="000C6A67">
      <w:pPr>
        <w:spacing w:after="0" w:line="240" w:lineRule="auto"/>
        <w:jc w:val="both"/>
        <w:rPr>
          <w:rFonts w:ascii="Arial" w:eastAsia="Times New Roman" w:hAnsi="Arial" w:cs="Arial"/>
          <w:i/>
          <w:sz w:val="24"/>
          <w:szCs w:val="24"/>
          <w:lang w:val="en-US"/>
        </w:rPr>
      </w:pPr>
      <w:r w:rsidRPr="004B4C77">
        <w:rPr>
          <w:rFonts w:ascii="Arial" w:eastAsia="Times New Roman" w:hAnsi="Arial" w:cs="Arial"/>
          <w:i/>
          <w:sz w:val="24"/>
          <w:szCs w:val="24"/>
          <w:lang w:val="en-US"/>
        </w:rPr>
        <w:t>6.1.11. Ierarhizarea unităţilor IPT funcţie de număr de elevi înscrişi în anul şcolar 2016-2017 la învăţământul liceal tehnologic şi învăţământul profesional, curs de zi</w:t>
      </w:r>
      <w:r w:rsidR="00400F46" w:rsidRPr="004B4C77">
        <w:rPr>
          <w:rFonts w:eastAsia="Times New Roman"/>
          <w:i/>
          <w:lang w:val="en-US"/>
        </w:rPr>
        <w:footnoteReference w:id="55"/>
      </w:r>
    </w:p>
    <w:p w:rsidR="006D6716" w:rsidRPr="0081121B" w:rsidRDefault="006D6716" w:rsidP="000C6A67">
      <w:pPr>
        <w:spacing w:after="0" w:line="240" w:lineRule="auto"/>
        <w:jc w:val="both"/>
        <w:rPr>
          <w:rFonts w:ascii="Arial" w:eastAsia="Times New Roman" w:hAnsi="Arial" w:cs="Arial"/>
          <w:sz w:val="24"/>
          <w:szCs w:val="24"/>
          <w:lang w:val="en-US"/>
        </w:rPr>
      </w:pPr>
      <w:r w:rsidRPr="0081121B">
        <w:rPr>
          <w:rFonts w:ascii="Arial" w:eastAsia="Times New Roman" w:hAnsi="Arial" w:cs="Arial"/>
          <w:sz w:val="24"/>
          <w:szCs w:val="24"/>
          <w:lang w:val="en-US"/>
        </w:rPr>
        <w:t>Aceste unități școlare – din mediul rural și orașe mici-  au posibilități foarte reduse de a oferi o paletă de calificări atractive și diversificate pentru polulația locală; de regulă oferta se reduce la 1-2 calificări, fără diversific</w:t>
      </w:r>
      <w:r w:rsidR="001D27E8" w:rsidRPr="0081121B">
        <w:rPr>
          <w:rFonts w:ascii="Arial" w:eastAsia="Times New Roman" w:hAnsi="Arial" w:cs="Arial"/>
          <w:sz w:val="24"/>
          <w:szCs w:val="24"/>
          <w:lang w:val="en-US"/>
        </w:rPr>
        <w:t>are de la un an la altul. Astfel</w:t>
      </w:r>
      <w:r w:rsidR="004B4C77">
        <w:rPr>
          <w:rFonts w:ascii="Arial" w:eastAsia="Times New Roman" w:hAnsi="Arial" w:cs="Arial"/>
          <w:sz w:val="24"/>
          <w:szCs w:val="24"/>
          <w:lang w:val="en-US"/>
        </w:rPr>
        <w:t xml:space="preserve"> elevii mai multor generații au o </w:t>
      </w:r>
      <w:r w:rsidRPr="0081121B">
        <w:rPr>
          <w:rFonts w:ascii="Arial" w:eastAsia="Times New Roman" w:hAnsi="Arial" w:cs="Arial"/>
          <w:sz w:val="24"/>
          <w:szCs w:val="24"/>
          <w:lang w:val="en-US"/>
        </w:rPr>
        <w:t>s</w:t>
      </w:r>
      <w:r w:rsidR="004B4C77">
        <w:rPr>
          <w:rFonts w:ascii="Arial" w:eastAsia="Times New Roman" w:hAnsi="Arial" w:cs="Arial"/>
          <w:sz w:val="24"/>
          <w:szCs w:val="24"/>
          <w:lang w:val="en-US"/>
        </w:rPr>
        <w:t>in</w:t>
      </w:r>
      <w:r w:rsidRPr="0081121B">
        <w:rPr>
          <w:rFonts w:ascii="Arial" w:eastAsia="Times New Roman" w:hAnsi="Arial" w:cs="Arial"/>
          <w:sz w:val="24"/>
          <w:szCs w:val="24"/>
          <w:lang w:val="en-US"/>
        </w:rPr>
        <w:t xml:space="preserve">gură opțiune, dată de calificările pentru </w:t>
      </w:r>
      <w:r w:rsidR="004B4C77">
        <w:rPr>
          <w:rFonts w:ascii="Arial" w:eastAsia="Times New Roman" w:hAnsi="Arial" w:cs="Arial"/>
          <w:sz w:val="24"/>
          <w:szCs w:val="24"/>
          <w:lang w:val="en-US"/>
        </w:rPr>
        <w:t xml:space="preserve">că </w:t>
      </w:r>
      <w:r w:rsidRPr="0081121B">
        <w:rPr>
          <w:rFonts w:ascii="Arial" w:eastAsia="Times New Roman" w:hAnsi="Arial" w:cs="Arial"/>
          <w:sz w:val="24"/>
          <w:szCs w:val="24"/>
          <w:lang w:val="en-US"/>
        </w:rPr>
        <w:t>școala este acreditată, indiferent de asp</w:t>
      </w:r>
      <w:r w:rsidR="004B4C77">
        <w:rPr>
          <w:rFonts w:ascii="Arial" w:eastAsia="Times New Roman" w:hAnsi="Arial" w:cs="Arial"/>
          <w:sz w:val="24"/>
          <w:szCs w:val="24"/>
          <w:lang w:val="en-US"/>
        </w:rPr>
        <w:t>irațiile lor profesionale: astf</w:t>
      </w:r>
      <w:r w:rsidRPr="0081121B">
        <w:rPr>
          <w:rFonts w:ascii="Arial" w:eastAsia="Times New Roman" w:hAnsi="Arial" w:cs="Arial"/>
          <w:sz w:val="24"/>
          <w:szCs w:val="24"/>
          <w:lang w:val="en-US"/>
        </w:rPr>
        <w:t>e</w:t>
      </w:r>
      <w:r w:rsidR="004B4C77">
        <w:rPr>
          <w:rFonts w:ascii="Arial" w:eastAsia="Times New Roman" w:hAnsi="Arial" w:cs="Arial"/>
          <w:sz w:val="24"/>
          <w:szCs w:val="24"/>
          <w:lang w:val="en-US"/>
        </w:rPr>
        <w:t>l</w:t>
      </w:r>
      <w:r w:rsidRPr="0081121B">
        <w:rPr>
          <w:rFonts w:ascii="Arial" w:eastAsia="Times New Roman" w:hAnsi="Arial" w:cs="Arial"/>
          <w:sz w:val="24"/>
          <w:szCs w:val="24"/>
          <w:lang w:val="en-US"/>
        </w:rPr>
        <w:t xml:space="preserve"> este de în</w:t>
      </w:r>
      <w:r w:rsidR="004B4C77">
        <w:rPr>
          <w:rFonts w:ascii="Arial" w:eastAsia="Times New Roman" w:hAnsi="Arial" w:cs="Arial"/>
          <w:sz w:val="24"/>
          <w:szCs w:val="24"/>
          <w:lang w:val="en-US"/>
        </w:rPr>
        <w:t>ț</w:t>
      </w:r>
      <w:r w:rsidRPr="0081121B">
        <w:rPr>
          <w:rFonts w:ascii="Arial" w:eastAsia="Times New Roman" w:hAnsi="Arial" w:cs="Arial"/>
          <w:sz w:val="24"/>
          <w:szCs w:val="24"/>
          <w:lang w:val="en-US"/>
        </w:rPr>
        <w:t>ele</w:t>
      </w:r>
      <w:r w:rsidR="004B4C77">
        <w:rPr>
          <w:rFonts w:ascii="Arial" w:eastAsia="Times New Roman" w:hAnsi="Arial" w:cs="Arial"/>
          <w:sz w:val="24"/>
          <w:szCs w:val="24"/>
          <w:lang w:val="en-US"/>
        </w:rPr>
        <w:t>s</w:t>
      </w:r>
      <w:r w:rsidRPr="0081121B">
        <w:rPr>
          <w:rFonts w:ascii="Arial" w:eastAsia="Times New Roman" w:hAnsi="Arial" w:cs="Arial"/>
          <w:sz w:val="24"/>
          <w:szCs w:val="24"/>
          <w:lang w:val="en-US"/>
        </w:rPr>
        <w:t xml:space="preserve"> gradul de atractivitate redus în cazul acestor școli.</w:t>
      </w:r>
    </w:p>
    <w:p w:rsidR="001937AF" w:rsidRDefault="006D6716" w:rsidP="000C6A67">
      <w:pPr>
        <w:spacing w:after="0" w:line="240" w:lineRule="auto"/>
        <w:jc w:val="both"/>
        <w:rPr>
          <w:rFonts w:ascii="Arial" w:eastAsia="Times New Roman" w:hAnsi="Arial" w:cs="Arial"/>
          <w:sz w:val="24"/>
          <w:szCs w:val="24"/>
          <w:lang w:val="en-US"/>
        </w:rPr>
      </w:pPr>
      <w:r w:rsidRPr="0081121B">
        <w:rPr>
          <w:rFonts w:ascii="Arial" w:eastAsia="Times New Roman" w:hAnsi="Arial" w:cs="Arial"/>
          <w:sz w:val="24"/>
          <w:szCs w:val="24"/>
          <w:lang w:val="en-US"/>
        </w:rPr>
        <w:t xml:space="preserve">Soluțiile pot fi identificate doar pe baza unor analize detaliate </w:t>
      </w:r>
      <w:r w:rsidR="004B4C77">
        <w:rPr>
          <w:rFonts w:ascii="Arial" w:eastAsia="Times New Roman" w:hAnsi="Arial" w:cs="Arial"/>
          <w:sz w:val="24"/>
          <w:szCs w:val="24"/>
          <w:lang w:val="en-US"/>
        </w:rPr>
        <w:t>ș</w:t>
      </w:r>
      <w:r w:rsidRPr="0081121B">
        <w:rPr>
          <w:rFonts w:ascii="Arial" w:eastAsia="Times New Roman" w:hAnsi="Arial" w:cs="Arial"/>
          <w:sz w:val="24"/>
          <w:szCs w:val="24"/>
          <w:lang w:val="en-US"/>
        </w:rPr>
        <w:t>i complexe locale, cu luarea în considerare a creșterii mobilităților regionale. Având în vederea fenomenul de descreștere demografică, nu mai este posibilă diversificarea ofertei decât dacă se vor corela oferte</w:t>
      </w:r>
      <w:r w:rsidR="004B4C77">
        <w:rPr>
          <w:rFonts w:ascii="Arial" w:eastAsia="Times New Roman" w:hAnsi="Arial" w:cs="Arial"/>
          <w:sz w:val="24"/>
          <w:szCs w:val="24"/>
          <w:lang w:val="en-US"/>
        </w:rPr>
        <w:t>l</w:t>
      </w:r>
      <w:r w:rsidRPr="0081121B">
        <w:rPr>
          <w:rFonts w:ascii="Arial" w:eastAsia="Times New Roman" w:hAnsi="Arial" w:cs="Arial"/>
          <w:sz w:val="24"/>
          <w:szCs w:val="24"/>
          <w:lang w:val="en-US"/>
        </w:rPr>
        <w:t>e la nivel regional, inclusiv cu definirea a 2-3 calificări pentru o singur</w:t>
      </w:r>
      <w:r w:rsidR="004B4C77">
        <w:rPr>
          <w:rFonts w:ascii="Arial" w:eastAsia="Times New Roman" w:hAnsi="Arial" w:cs="Arial"/>
          <w:sz w:val="24"/>
          <w:szCs w:val="24"/>
          <w:lang w:val="en-US"/>
        </w:rPr>
        <w:t>ă</w:t>
      </w:r>
      <w:r w:rsidRPr="0081121B">
        <w:rPr>
          <w:rFonts w:ascii="Arial" w:eastAsia="Times New Roman" w:hAnsi="Arial" w:cs="Arial"/>
          <w:sz w:val="24"/>
          <w:szCs w:val="24"/>
          <w:lang w:val="en-US"/>
        </w:rPr>
        <w:t xml:space="preserve"> clasă. </w:t>
      </w:r>
    </w:p>
    <w:p w:rsidR="009B34CF" w:rsidRPr="002D3BDB" w:rsidRDefault="009B34CF" w:rsidP="000C6A67">
      <w:pPr>
        <w:spacing w:after="0" w:line="240" w:lineRule="auto"/>
        <w:jc w:val="both"/>
        <w:rPr>
          <w:rFonts w:ascii="Arial" w:eastAsia="Times New Roman" w:hAnsi="Arial" w:cs="Arial"/>
          <w:sz w:val="24"/>
          <w:szCs w:val="24"/>
          <w:lang w:val="en-US"/>
        </w:rPr>
      </w:pPr>
    </w:p>
    <w:p w:rsidR="00DD5F85" w:rsidRPr="004B4C77" w:rsidRDefault="00FE3CCA" w:rsidP="000C6A67">
      <w:pPr>
        <w:spacing w:after="0" w:line="240" w:lineRule="auto"/>
        <w:jc w:val="both"/>
        <w:rPr>
          <w:rFonts w:ascii="Arial" w:eastAsia="Times New Roman" w:hAnsi="Arial" w:cs="Arial"/>
          <w:i/>
          <w:sz w:val="24"/>
          <w:szCs w:val="24"/>
          <w:lang w:val="en-US"/>
        </w:rPr>
      </w:pPr>
      <w:r w:rsidRPr="004B4C77">
        <w:rPr>
          <w:rFonts w:ascii="Arial" w:eastAsia="Times New Roman" w:hAnsi="Arial" w:cs="Arial"/>
          <w:i/>
          <w:sz w:val="24"/>
          <w:szCs w:val="24"/>
          <w:lang w:val="en-US"/>
        </w:rPr>
        <w:t>6.1</w:t>
      </w:r>
      <w:r w:rsidR="007A2E92" w:rsidRPr="004B4C77">
        <w:rPr>
          <w:rFonts w:ascii="Arial" w:eastAsia="Times New Roman" w:hAnsi="Arial" w:cs="Arial"/>
          <w:i/>
          <w:sz w:val="24"/>
          <w:szCs w:val="24"/>
          <w:lang w:val="en-US"/>
        </w:rPr>
        <w:t>.1</w:t>
      </w:r>
      <w:r w:rsidR="00A05609" w:rsidRPr="004B4C77">
        <w:rPr>
          <w:rFonts w:ascii="Arial" w:eastAsia="Times New Roman" w:hAnsi="Arial" w:cs="Arial"/>
          <w:i/>
          <w:sz w:val="24"/>
          <w:szCs w:val="24"/>
          <w:lang w:val="en-US"/>
        </w:rPr>
        <w:t>2</w:t>
      </w:r>
      <w:r w:rsidR="00406DCE" w:rsidRPr="004B4C77">
        <w:rPr>
          <w:rFonts w:ascii="Arial" w:eastAsia="Times New Roman" w:hAnsi="Arial" w:cs="Arial"/>
          <w:i/>
          <w:sz w:val="24"/>
          <w:szCs w:val="24"/>
          <w:lang w:val="en-US"/>
        </w:rPr>
        <w:t>. Resursele umane din ÎPT</w:t>
      </w:r>
      <w:r w:rsidR="006B6068" w:rsidRPr="004B4C77">
        <w:rPr>
          <w:rFonts w:eastAsia="Times New Roman"/>
          <w:i/>
          <w:lang w:val="en-US"/>
        </w:rPr>
        <w:footnoteReference w:id="56"/>
      </w:r>
    </w:p>
    <w:p w:rsidR="001937AF" w:rsidRPr="002D3BDB" w:rsidRDefault="006D6716" w:rsidP="000C6A67">
      <w:pPr>
        <w:spacing w:after="0" w:line="240" w:lineRule="auto"/>
        <w:jc w:val="both"/>
        <w:rPr>
          <w:rFonts w:ascii="Arial" w:eastAsia="Times New Roman" w:hAnsi="Arial" w:cs="Arial"/>
          <w:sz w:val="24"/>
          <w:szCs w:val="24"/>
          <w:lang w:val="en-US"/>
        </w:rPr>
      </w:pPr>
      <w:r w:rsidRPr="002D3BDB">
        <w:rPr>
          <w:rFonts w:ascii="Arial" w:eastAsia="Times New Roman" w:hAnsi="Arial" w:cs="Arial"/>
          <w:sz w:val="24"/>
          <w:szCs w:val="24"/>
          <w:lang w:val="en-US"/>
        </w:rPr>
        <w:t>În ceea ce privește personalul din IPT, nivelul de calificare al acestora este foarte bun, însă distribuția pe grupe de vârstă arată p creștere a celor cuprinși în intervalul 55-64 ani.</w:t>
      </w:r>
    </w:p>
    <w:p w:rsidR="006D6716" w:rsidRPr="002D3BDB" w:rsidRDefault="006D6716" w:rsidP="000C6A67">
      <w:pPr>
        <w:spacing w:after="0" w:line="240" w:lineRule="auto"/>
        <w:jc w:val="both"/>
        <w:rPr>
          <w:rFonts w:ascii="Arial" w:eastAsia="Times New Roman" w:hAnsi="Arial" w:cs="Arial"/>
          <w:sz w:val="24"/>
          <w:szCs w:val="24"/>
          <w:lang w:val="en-US"/>
        </w:rPr>
      </w:pPr>
      <w:r w:rsidRPr="002D3BDB">
        <w:rPr>
          <w:rFonts w:ascii="Arial" w:eastAsia="Times New Roman" w:hAnsi="Arial" w:cs="Arial"/>
          <w:sz w:val="24"/>
          <w:szCs w:val="24"/>
          <w:lang w:val="en-US"/>
        </w:rPr>
        <w:t>Pentru această categorie devine o problemă care trebuie să stea în atenți</w:t>
      </w:r>
      <w:r w:rsidR="004B4C77">
        <w:rPr>
          <w:rFonts w:ascii="Arial" w:eastAsia="Times New Roman" w:hAnsi="Arial" w:cs="Arial"/>
          <w:sz w:val="24"/>
          <w:szCs w:val="24"/>
          <w:lang w:val="en-US"/>
        </w:rPr>
        <w:t>a</w:t>
      </w:r>
      <w:r w:rsidRPr="002D3BDB">
        <w:rPr>
          <w:rFonts w:ascii="Arial" w:eastAsia="Times New Roman" w:hAnsi="Arial" w:cs="Arial"/>
          <w:sz w:val="24"/>
          <w:szCs w:val="24"/>
          <w:lang w:val="en-US"/>
        </w:rPr>
        <w:t xml:space="preserve"> politicilor locale, deoarece cariera profesională în învățământ pierde din atractivitate, ceea ce va avea </w:t>
      </w:r>
      <w:r w:rsidR="004B4C77">
        <w:rPr>
          <w:rFonts w:ascii="Arial" w:eastAsia="Times New Roman" w:hAnsi="Arial" w:cs="Arial"/>
          <w:sz w:val="24"/>
          <w:szCs w:val="24"/>
          <w:lang w:val="en-US"/>
        </w:rPr>
        <w:t xml:space="preserve">ca </w:t>
      </w:r>
      <w:r w:rsidRPr="002D3BDB">
        <w:rPr>
          <w:rFonts w:ascii="Arial" w:eastAsia="Times New Roman" w:hAnsi="Arial" w:cs="Arial"/>
          <w:sz w:val="24"/>
          <w:szCs w:val="24"/>
          <w:lang w:val="en-US"/>
        </w:rPr>
        <w:t>efect fie o lipsa de personal</w:t>
      </w:r>
      <w:r w:rsidR="004B4C77">
        <w:rPr>
          <w:rFonts w:ascii="Arial" w:eastAsia="Times New Roman" w:hAnsi="Arial" w:cs="Arial"/>
          <w:sz w:val="24"/>
          <w:szCs w:val="24"/>
          <w:lang w:val="en-US"/>
        </w:rPr>
        <w:t>,</w:t>
      </w:r>
      <w:r w:rsidRPr="002D3BDB">
        <w:rPr>
          <w:rFonts w:ascii="Arial" w:eastAsia="Times New Roman" w:hAnsi="Arial" w:cs="Arial"/>
          <w:sz w:val="24"/>
          <w:szCs w:val="24"/>
          <w:lang w:val="en-US"/>
        </w:rPr>
        <w:t xml:space="preserve"> fie o calitate inferioară a celor care vor opta pentru ocupațiile din acest sector.</w:t>
      </w:r>
    </w:p>
    <w:p w:rsidR="006D6716" w:rsidRPr="002D3BDB" w:rsidRDefault="006D6716" w:rsidP="000C6A67">
      <w:pPr>
        <w:spacing w:after="0" w:line="240" w:lineRule="auto"/>
        <w:jc w:val="both"/>
        <w:rPr>
          <w:rFonts w:ascii="Arial" w:eastAsia="Times New Roman" w:hAnsi="Arial" w:cs="Arial"/>
          <w:sz w:val="24"/>
          <w:szCs w:val="24"/>
          <w:lang w:val="en-US"/>
        </w:rPr>
      </w:pPr>
      <w:r w:rsidRPr="002D3BDB">
        <w:rPr>
          <w:rFonts w:ascii="Arial" w:eastAsia="Times New Roman" w:hAnsi="Arial" w:cs="Arial"/>
          <w:sz w:val="24"/>
          <w:szCs w:val="24"/>
          <w:lang w:val="en-US"/>
        </w:rPr>
        <w:t>Analizele sunt necesar a fi realizate inclusiv pe domenii de calificare, deoarece pentru calificări aferente sectoarelor economice în dezvoltare se va înregistra inclusiv o m</w:t>
      </w:r>
      <w:r w:rsidR="004B4C77">
        <w:rPr>
          <w:rFonts w:ascii="Arial" w:eastAsia="Times New Roman" w:hAnsi="Arial" w:cs="Arial"/>
          <w:sz w:val="24"/>
          <w:szCs w:val="24"/>
          <w:lang w:val="en-US"/>
        </w:rPr>
        <w:t>i</w:t>
      </w:r>
      <w:r w:rsidRPr="002D3BDB">
        <w:rPr>
          <w:rFonts w:ascii="Arial" w:eastAsia="Times New Roman" w:hAnsi="Arial" w:cs="Arial"/>
          <w:sz w:val="24"/>
          <w:szCs w:val="24"/>
          <w:lang w:val="en-US"/>
        </w:rPr>
        <w:t xml:space="preserve">grare a resurselor umane tinere către sectorul industrial de stat sau privat. </w:t>
      </w:r>
    </w:p>
    <w:p w:rsidR="00B13F17" w:rsidRDefault="00B13F17" w:rsidP="000C6A67">
      <w:pPr>
        <w:spacing w:after="0" w:line="240" w:lineRule="auto"/>
        <w:jc w:val="center"/>
        <w:rPr>
          <w:rFonts w:ascii="Arial" w:hAnsi="Arial" w:cs="Arial"/>
          <w:lang w:eastAsia="ro-RO"/>
        </w:rPr>
      </w:pPr>
    </w:p>
    <w:p w:rsidR="002D3BDB" w:rsidRPr="004B4C77" w:rsidRDefault="002D3BDB" w:rsidP="000C6A67">
      <w:pPr>
        <w:spacing w:after="0" w:line="240" w:lineRule="auto"/>
        <w:jc w:val="center"/>
        <w:rPr>
          <w:rFonts w:ascii="Arial" w:hAnsi="Arial" w:cs="Arial"/>
          <w:lang w:eastAsia="ro-RO"/>
        </w:rPr>
      </w:pPr>
      <w:r w:rsidRPr="004B4C77">
        <w:rPr>
          <w:rFonts w:ascii="Arial" w:hAnsi="Arial" w:cs="Arial"/>
          <w:lang w:eastAsia="ro-RO"/>
        </w:rPr>
        <w:t>Figura 3</w:t>
      </w:r>
      <w:r w:rsidR="00373E67">
        <w:rPr>
          <w:rFonts w:ascii="Arial" w:hAnsi="Arial" w:cs="Arial"/>
          <w:lang w:eastAsia="ro-RO"/>
        </w:rPr>
        <w:t>7</w:t>
      </w:r>
    </w:p>
    <w:p w:rsidR="006D6716" w:rsidRDefault="006D6716" w:rsidP="000C6A67">
      <w:pPr>
        <w:spacing w:after="0" w:line="240" w:lineRule="auto"/>
        <w:jc w:val="both"/>
        <w:rPr>
          <w:rFonts w:ascii="Arial" w:hAnsi="Arial" w:cs="Arial"/>
          <w:sz w:val="24"/>
          <w:szCs w:val="24"/>
          <w:lang w:eastAsia="ro-RO"/>
        </w:rPr>
      </w:pPr>
      <w:r w:rsidRPr="00077B4B">
        <w:rPr>
          <w:noProof/>
          <w:bdr w:val="single" w:sz="4" w:space="0" w:color="auto"/>
          <w:lang w:val="en-US"/>
        </w:rPr>
        <w:drawing>
          <wp:inline distT="0" distB="0" distL="0" distR="0">
            <wp:extent cx="5334000" cy="3190875"/>
            <wp:effectExtent l="19050" t="0" r="19050" b="0"/>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1937AF" w:rsidRPr="009B34CF" w:rsidRDefault="009B34CF" w:rsidP="000C6A67">
      <w:pPr>
        <w:spacing w:after="0" w:line="240" w:lineRule="auto"/>
        <w:jc w:val="both"/>
        <w:rPr>
          <w:rFonts w:ascii="Arial" w:hAnsi="Arial" w:cs="Arial"/>
          <w:lang w:eastAsia="ro-RO"/>
        </w:rPr>
      </w:pPr>
      <w:r>
        <w:rPr>
          <w:rFonts w:ascii="Arial" w:hAnsi="Arial" w:cs="Arial"/>
          <w:lang w:eastAsia="ro-RO"/>
        </w:rPr>
        <w:t xml:space="preserve">                                                   </w:t>
      </w:r>
      <w:r w:rsidRPr="009B34CF">
        <w:rPr>
          <w:rFonts w:ascii="Arial" w:hAnsi="Arial" w:cs="Arial"/>
          <w:lang w:eastAsia="ro-RO"/>
        </w:rPr>
        <w:t>Sursa datelor: INS</w:t>
      </w:r>
    </w:p>
    <w:p w:rsidR="004B4C77" w:rsidRDefault="004B4C77" w:rsidP="000C6A67">
      <w:pPr>
        <w:pStyle w:val="Heading3"/>
        <w:spacing w:before="0" w:line="240" w:lineRule="auto"/>
        <w:jc w:val="both"/>
        <w:rPr>
          <w:rFonts w:ascii="Arial" w:hAnsi="Arial" w:cs="Arial"/>
          <w:b w:val="0"/>
          <w:i/>
          <w:color w:val="auto"/>
          <w:sz w:val="24"/>
          <w:szCs w:val="24"/>
          <w:lang w:eastAsia="ro-RO"/>
        </w:rPr>
      </w:pPr>
      <w:bookmarkStart w:id="96" w:name="_Toc487475183"/>
    </w:p>
    <w:p w:rsidR="00DD5F85" w:rsidRPr="00A01648" w:rsidRDefault="00FE3CCA" w:rsidP="00A01648">
      <w:pPr>
        <w:pStyle w:val="Heading3"/>
        <w:spacing w:before="0" w:line="240" w:lineRule="auto"/>
        <w:jc w:val="both"/>
        <w:rPr>
          <w:rFonts w:ascii="Arial" w:hAnsi="Arial" w:cs="Arial"/>
          <w:b w:val="0"/>
          <w:i/>
          <w:color w:val="auto"/>
          <w:sz w:val="24"/>
          <w:szCs w:val="24"/>
          <w:lang w:val="en-US" w:eastAsia="ro-RO"/>
        </w:rPr>
      </w:pPr>
      <w:bookmarkStart w:id="97" w:name="_Toc488066067"/>
      <w:r w:rsidRPr="004B4C77">
        <w:rPr>
          <w:rFonts w:ascii="Arial" w:hAnsi="Arial" w:cs="Arial"/>
          <w:b w:val="0"/>
          <w:i/>
          <w:color w:val="auto"/>
          <w:sz w:val="24"/>
          <w:szCs w:val="24"/>
          <w:lang w:eastAsia="ro-RO"/>
        </w:rPr>
        <w:t>6.1</w:t>
      </w:r>
      <w:r w:rsidR="00A05609" w:rsidRPr="004B4C77">
        <w:rPr>
          <w:rFonts w:ascii="Arial" w:hAnsi="Arial" w:cs="Arial"/>
          <w:b w:val="0"/>
          <w:i/>
          <w:color w:val="auto"/>
          <w:sz w:val="24"/>
          <w:szCs w:val="24"/>
          <w:lang w:eastAsia="ro-RO"/>
        </w:rPr>
        <w:t>.13</w:t>
      </w:r>
      <w:r w:rsidR="00406DCE" w:rsidRPr="004B4C77">
        <w:rPr>
          <w:rFonts w:ascii="Arial" w:hAnsi="Arial" w:cs="Arial"/>
          <w:b w:val="0"/>
          <w:i/>
          <w:color w:val="auto"/>
          <w:sz w:val="24"/>
          <w:szCs w:val="24"/>
          <w:lang w:eastAsia="ro-RO"/>
        </w:rPr>
        <w:t>. Infrastructura unităţilor şcolare  din IPT</w:t>
      </w:r>
      <w:r w:rsidR="005B6798" w:rsidRPr="004B4C77">
        <w:rPr>
          <w:rStyle w:val="FootnoteReference"/>
          <w:rFonts w:ascii="Arial" w:hAnsi="Arial" w:cs="Arial"/>
          <w:b w:val="0"/>
          <w:i/>
          <w:color w:val="auto"/>
          <w:sz w:val="24"/>
          <w:szCs w:val="24"/>
          <w:lang w:eastAsia="ro-RO"/>
        </w:rPr>
        <w:footnoteReference w:id="57"/>
      </w:r>
      <w:bookmarkEnd w:id="96"/>
      <w:bookmarkEnd w:id="97"/>
    </w:p>
    <w:p w:rsidR="001937AF" w:rsidRDefault="004C5B55" w:rsidP="000C6A67">
      <w:pPr>
        <w:spacing w:after="0" w:line="240" w:lineRule="auto"/>
        <w:jc w:val="both"/>
        <w:rPr>
          <w:rFonts w:ascii="Arial" w:hAnsi="Arial" w:cs="Arial"/>
          <w:sz w:val="24"/>
          <w:szCs w:val="24"/>
          <w:lang w:eastAsia="ro-RO"/>
        </w:rPr>
      </w:pPr>
      <w:r>
        <w:rPr>
          <w:rFonts w:ascii="Arial" w:hAnsi="Arial" w:cs="Arial"/>
          <w:sz w:val="24"/>
          <w:szCs w:val="24"/>
          <w:lang w:eastAsia="ro-RO"/>
        </w:rPr>
        <w:t>Pentru cele 124 de unități școlare din Regiune sunt raportate următoarele situații privind infrastructura:</w:t>
      </w:r>
    </w:p>
    <w:p w:rsidR="002D3BDB" w:rsidRPr="0088684F" w:rsidRDefault="002D3BDB" w:rsidP="000C6A67">
      <w:pPr>
        <w:spacing w:after="0" w:line="240" w:lineRule="auto"/>
        <w:jc w:val="center"/>
        <w:rPr>
          <w:rFonts w:ascii="Arial" w:hAnsi="Arial" w:cs="Arial"/>
          <w:lang w:eastAsia="ro-RO"/>
        </w:rPr>
      </w:pPr>
      <w:r w:rsidRPr="0088684F">
        <w:rPr>
          <w:rFonts w:ascii="Arial" w:hAnsi="Arial" w:cs="Arial"/>
          <w:lang w:eastAsia="ro-RO"/>
        </w:rPr>
        <w:t>Tabel nr.1</w:t>
      </w:r>
      <w:r w:rsidR="001714CD">
        <w:rPr>
          <w:rFonts w:ascii="Arial" w:hAnsi="Arial" w:cs="Arial"/>
          <w:lang w:eastAsia="ro-RO"/>
        </w:rPr>
        <w:t>5</w:t>
      </w:r>
      <w:r w:rsidRPr="0088684F">
        <w:rPr>
          <w:rFonts w:ascii="Arial" w:hAnsi="Arial" w:cs="Arial"/>
          <w:lang w:eastAsia="ro-RO"/>
        </w:rPr>
        <w:t>.</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5"/>
        <w:gridCol w:w="1208"/>
        <w:gridCol w:w="1444"/>
        <w:gridCol w:w="1725"/>
        <w:gridCol w:w="1175"/>
        <w:gridCol w:w="1423"/>
        <w:gridCol w:w="938"/>
      </w:tblGrid>
      <w:tr w:rsidR="004C5B55" w:rsidRPr="004C5B55" w:rsidTr="004C5B55">
        <w:trPr>
          <w:trHeight w:val="270"/>
        </w:trPr>
        <w:tc>
          <w:tcPr>
            <w:tcW w:w="1435" w:type="dxa"/>
            <w:vMerge w:val="restart"/>
            <w:shd w:val="clear" w:color="000000" w:fill="CCFFFF"/>
            <w:vAlign w:val="center"/>
            <w:hideMark/>
          </w:tcPr>
          <w:p w:rsidR="004C5B55" w:rsidRPr="00A01648" w:rsidRDefault="004C5B55" w:rsidP="0088684F">
            <w:pPr>
              <w:spacing w:after="0" w:line="240" w:lineRule="auto"/>
              <w:rPr>
                <w:rFonts w:ascii="Arial" w:eastAsia="Times New Roman" w:hAnsi="Arial" w:cs="Arial"/>
                <w:bCs/>
                <w:sz w:val="18"/>
                <w:szCs w:val="18"/>
                <w:lang w:val="en-US"/>
              </w:rPr>
            </w:pPr>
            <w:r w:rsidRPr="00A01648">
              <w:rPr>
                <w:rFonts w:ascii="Arial" w:eastAsia="Times New Roman" w:hAnsi="Arial" w:cs="Arial"/>
                <w:bCs/>
                <w:sz w:val="18"/>
                <w:szCs w:val="18"/>
                <w:lang w:val="en-US"/>
              </w:rPr>
              <w:t>REGIUNEA</w:t>
            </w:r>
            <w:r w:rsidRPr="00A01648">
              <w:rPr>
                <w:rFonts w:ascii="Arial" w:eastAsia="Times New Roman" w:hAnsi="Arial" w:cs="Arial"/>
                <w:bCs/>
                <w:sz w:val="18"/>
                <w:szCs w:val="18"/>
                <w:lang w:val="en-US"/>
              </w:rPr>
              <w:br/>
              <w:t>JUDETUL</w:t>
            </w:r>
            <w:r w:rsidRPr="00A01648">
              <w:rPr>
                <w:rFonts w:ascii="Arial" w:eastAsia="Times New Roman" w:hAnsi="Arial" w:cs="Arial"/>
                <w:bCs/>
                <w:sz w:val="18"/>
                <w:szCs w:val="18"/>
                <w:lang w:val="en-US"/>
              </w:rPr>
              <w:br/>
              <w:t>MEDIUL</w:t>
            </w:r>
          </w:p>
        </w:tc>
        <w:tc>
          <w:tcPr>
            <w:tcW w:w="1208" w:type="dxa"/>
            <w:vMerge w:val="restart"/>
            <w:shd w:val="clear" w:color="000000" w:fill="CCFFFF"/>
            <w:vAlign w:val="center"/>
            <w:hideMark/>
          </w:tcPr>
          <w:p w:rsidR="004C5B55" w:rsidRPr="00A01648" w:rsidRDefault="004C5B55" w:rsidP="000C6A67">
            <w:pPr>
              <w:spacing w:after="0" w:line="240" w:lineRule="auto"/>
              <w:jc w:val="center"/>
              <w:rPr>
                <w:rFonts w:ascii="Arial" w:eastAsia="Times New Roman" w:hAnsi="Arial" w:cs="Arial"/>
                <w:bCs/>
                <w:sz w:val="18"/>
                <w:szCs w:val="18"/>
                <w:lang w:val="en-US"/>
              </w:rPr>
            </w:pPr>
            <w:r w:rsidRPr="00A01648">
              <w:rPr>
                <w:rFonts w:ascii="Arial" w:eastAsia="Times New Roman" w:hAnsi="Arial" w:cs="Arial"/>
                <w:bCs/>
                <w:sz w:val="18"/>
                <w:szCs w:val="18"/>
                <w:lang w:val="en-US"/>
              </w:rPr>
              <w:t>SALI DE</w:t>
            </w:r>
            <w:r w:rsidRPr="00A01648">
              <w:rPr>
                <w:rFonts w:ascii="Arial" w:eastAsia="Times New Roman" w:hAnsi="Arial" w:cs="Arial"/>
                <w:bCs/>
                <w:sz w:val="18"/>
                <w:szCs w:val="18"/>
                <w:lang w:val="en-US"/>
              </w:rPr>
              <w:br/>
              <w:t>CLASA SI</w:t>
            </w:r>
            <w:r w:rsidRPr="00A01648">
              <w:rPr>
                <w:rFonts w:ascii="Arial" w:eastAsia="Times New Roman" w:hAnsi="Arial" w:cs="Arial"/>
                <w:bCs/>
                <w:sz w:val="18"/>
                <w:szCs w:val="18"/>
                <w:lang w:val="en-US"/>
              </w:rPr>
              <w:br/>
              <w:t>CABINETE</w:t>
            </w:r>
            <w:r w:rsidRPr="00A01648">
              <w:rPr>
                <w:rFonts w:ascii="Arial" w:eastAsia="Times New Roman" w:hAnsi="Arial" w:cs="Arial"/>
                <w:bCs/>
                <w:sz w:val="18"/>
                <w:szCs w:val="18"/>
                <w:lang w:val="en-US"/>
              </w:rPr>
              <w:br/>
              <w:t>SCOLARE</w:t>
            </w:r>
          </w:p>
        </w:tc>
        <w:tc>
          <w:tcPr>
            <w:tcW w:w="1444" w:type="dxa"/>
            <w:vMerge w:val="restart"/>
            <w:shd w:val="clear" w:color="000000" w:fill="CCFFFF"/>
            <w:vAlign w:val="center"/>
            <w:hideMark/>
          </w:tcPr>
          <w:p w:rsidR="004C5B55" w:rsidRPr="00A01648" w:rsidRDefault="004C5B55" w:rsidP="000C6A67">
            <w:pPr>
              <w:spacing w:after="0" w:line="240" w:lineRule="auto"/>
              <w:jc w:val="center"/>
              <w:rPr>
                <w:rFonts w:ascii="Arial" w:eastAsia="Times New Roman" w:hAnsi="Arial" w:cs="Arial"/>
                <w:bCs/>
                <w:sz w:val="18"/>
                <w:szCs w:val="18"/>
                <w:lang w:val="en-US"/>
              </w:rPr>
            </w:pPr>
            <w:r w:rsidRPr="00A01648">
              <w:rPr>
                <w:rFonts w:ascii="Arial" w:eastAsia="Times New Roman" w:hAnsi="Arial" w:cs="Arial"/>
                <w:bCs/>
                <w:sz w:val="18"/>
                <w:szCs w:val="18"/>
                <w:lang w:val="en-US"/>
              </w:rPr>
              <w:t>SALI</w:t>
            </w:r>
            <w:r w:rsidRPr="00A01648">
              <w:rPr>
                <w:rFonts w:ascii="Arial" w:eastAsia="Times New Roman" w:hAnsi="Arial" w:cs="Arial"/>
                <w:bCs/>
                <w:sz w:val="18"/>
                <w:szCs w:val="18"/>
                <w:lang w:val="en-US"/>
              </w:rPr>
              <w:br/>
              <w:t>DE</w:t>
            </w:r>
            <w:r w:rsidRPr="00A01648">
              <w:rPr>
                <w:rFonts w:ascii="Arial" w:eastAsia="Times New Roman" w:hAnsi="Arial" w:cs="Arial"/>
                <w:bCs/>
                <w:sz w:val="18"/>
                <w:szCs w:val="18"/>
                <w:lang w:val="en-US"/>
              </w:rPr>
              <w:br/>
              <w:t>GIMNASTICA</w:t>
            </w:r>
          </w:p>
        </w:tc>
        <w:tc>
          <w:tcPr>
            <w:tcW w:w="1725" w:type="dxa"/>
            <w:vMerge w:val="restart"/>
            <w:shd w:val="clear" w:color="000000" w:fill="CCFFFF"/>
            <w:vAlign w:val="center"/>
            <w:hideMark/>
          </w:tcPr>
          <w:p w:rsidR="004C5B55" w:rsidRPr="00A01648" w:rsidRDefault="004C5B55" w:rsidP="000C6A67">
            <w:pPr>
              <w:spacing w:after="0" w:line="240" w:lineRule="auto"/>
              <w:jc w:val="center"/>
              <w:rPr>
                <w:rFonts w:ascii="Arial" w:eastAsia="Times New Roman" w:hAnsi="Arial" w:cs="Arial"/>
                <w:bCs/>
                <w:sz w:val="18"/>
                <w:szCs w:val="18"/>
                <w:lang w:val="en-US"/>
              </w:rPr>
            </w:pPr>
            <w:r w:rsidRPr="00A01648">
              <w:rPr>
                <w:rFonts w:ascii="Arial" w:eastAsia="Times New Roman" w:hAnsi="Arial" w:cs="Arial"/>
                <w:bCs/>
                <w:sz w:val="18"/>
                <w:szCs w:val="18"/>
                <w:lang w:val="en-US"/>
              </w:rPr>
              <w:t>LABORATOARE</w:t>
            </w:r>
            <w:r w:rsidRPr="00A01648">
              <w:rPr>
                <w:rFonts w:ascii="Arial" w:eastAsia="Times New Roman" w:hAnsi="Arial" w:cs="Arial"/>
                <w:bCs/>
                <w:sz w:val="18"/>
                <w:szCs w:val="18"/>
                <w:lang w:val="en-US"/>
              </w:rPr>
              <w:br/>
              <w:t>SCOLARE</w:t>
            </w:r>
          </w:p>
        </w:tc>
        <w:tc>
          <w:tcPr>
            <w:tcW w:w="1175" w:type="dxa"/>
            <w:vMerge w:val="restart"/>
            <w:shd w:val="clear" w:color="000000" w:fill="CCFFFF"/>
            <w:vAlign w:val="center"/>
            <w:hideMark/>
          </w:tcPr>
          <w:p w:rsidR="004C5B55" w:rsidRPr="00A01648" w:rsidRDefault="004C5B55" w:rsidP="000C6A67">
            <w:pPr>
              <w:spacing w:after="0" w:line="240" w:lineRule="auto"/>
              <w:jc w:val="center"/>
              <w:rPr>
                <w:rFonts w:ascii="Arial" w:eastAsia="Times New Roman" w:hAnsi="Arial" w:cs="Arial"/>
                <w:bCs/>
                <w:sz w:val="18"/>
                <w:szCs w:val="18"/>
                <w:lang w:val="en-US"/>
              </w:rPr>
            </w:pPr>
            <w:r w:rsidRPr="00A01648">
              <w:rPr>
                <w:rFonts w:ascii="Arial" w:eastAsia="Times New Roman" w:hAnsi="Arial" w:cs="Arial"/>
                <w:bCs/>
                <w:sz w:val="18"/>
                <w:szCs w:val="18"/>
                <w:lang w:val="en-US"/>
              </w:rPr>
              <w:t>ATELIERE</w:t>
            </w:r>
            <w:r w:rsidRPr="00A01648">
              <w:rPr>
                <w:rFonts w:ascii="Arial" w:eastAsia="Times New Roman" w:hAnsi="Arial" w:cs="Arial"/>
                <w:bCs/>
                <w:sz w:val="18"/>
                <w:szCs w:val="18"/>
                <w:lang w:val="en-US"/>
              </w:rPr>
              <w:br/>
              <w:t>SCOLARE</w:t>
            </w:r>
          </w:p>
        </w:tc>
        <w:tc>
          <w:tcPr>
            <w:tcW w:w="1423" w:type="dxa"/>
            <w:vMerge w:val="restart"/>
            <w:shd w:val="clear" w:color="000000" w:fill="CCFFFF"/>
            <w:vAlign w:val="center"/>
            <w:hideMark/>
          </w:tcPr>
          <w:p w:rsidR="004C5B55" w:rsidRPr="00A01648" w:rsidRDefault="004C5B55" w:rsidP="000C6A67">
            <w:pPr>
              <w:spacing w:after="0" w:line="240" w:lineRule="auto"/>
              <w:jc w:val="center"/>
              <w:rPr>
                <w:rFonts w:ascii="Arial" w:eastAsia="Times New Roman" w:hAnsi="Arial" w:cs="Arial"/>
                <w:bCs/>
                <w:sz w:val="18"/>
                <w:szCs w:val="18"/>
                <w:lang w:val="en-US"/>
              </w:rPr>
            </w:pPr>
            <w:r w:rsidRPr="00A01648">
              <w:rPr>
                <w:rFonts w:ascii="Arial" w:eastAsia="Times New Roman" w:hAnsi="Arial" w:cs="Arial"/>
                <w:bCs/>
                <w:sz w:val="18"/>
                <w:szCs w:val="18"/>
                <w:lang w:val="en-US"/>
              </w:rPr>
              <w:t>TERENURI</w:t>
            </w:r>
            <w:r w:rsidRPr="00A01648">
              <w:rPr>
                <w:rFonts w:ascii="Arial" w:eastAsia="Times New Roman" w:hAnsi="Arial" w:cs="Arial"/>
                <w:bCs/>
                <w:sz w:val="18"/>
                <w:szCs w:val="18"/>
                <w:lang w:val="en-US"/>
              </w:rPr>
              <w:br/>
              <w:t>SPORTIVE</w:t>
            </w:r>
            <w:r w:rsidRPr="00A01648">
              <w:rPr>
                <w:rFonts w:ascii="Arial" w:eastAsia="Times New Roman" w:hAnsi="Arial" w:cs="Arial"/>
                <w:bCs/>
                <w:sz w:val="18"/>
                <w:szCs w:val="18"/>
                <w:lang w:val="en-US"/>
              </w:rPr>
              <w:br/>
              <w:t>AMENAJATE</w:t>
            </w:r>
          </w:p>
        </w:tc>
        <w:tc>
          <w:tcPr>
            <w:tcW w:w="938" w:type="dxa"/>
            <w:vMerge w:val="restart"/>
            <w:shd w:val="clear" w:color="000000" w:fill="CCFFFF"/>
            <w:vAlign w:val="center"/>
            <w:hideMark/>
          </w:tcPr>
          <w:p w:rsidR="004C5B55" w:rsidRPr="00A01648" w:rsidRDefault="004C5B55" w:rsidP="000C6A67">
            <w:pPr>
              <w:spacing w:after="0" w:line="240" w:lineRule="auto"/>
              <w:jc w:val="center"/>
              <w:rPr>
                <w:rFonts w:ascii="Arial" w:eastAsia="Times New Roman" w:hAnsi="Arial" w:cs="Arial"/>
                <w:bCs/>
                <w:sz w:val="18"/>
                <w:szCs w:val="18"/>
                <w:lang w:val="en-US"/>
              </w:rPr>
            </w:pPr>
            <w:r w:rsidRPr="00A01648">
              <w:rPr>
                <w:rFonts w:ascii="Arial" w:eastAsia="Times New Roman" w:hAnsi="Arial" w:cs="Arial"/>
                <w:bCs/>
                <w:sz w:val="18"/>
                <w:szCs w:val="18"/>
                <w:lang w:val="en-US"/>
              </w:rPr>
              <w:t>BAZINE</w:t>
            </w:r>
            <w:r w:rsidRPr="00A01648">
              <w:rPr>
                <w:rFonts w:ascii="Arial" w:eastAsia="Times New Roman" w:hAnsi="Arial" w:cs="Arial"/>
                <w:bCs/>
                <w:sz w:val="18"/>
                <w:szCs w:val="18"/>
                <w:lang w:val="en-US"/>
              </w:rPr>
              <w:br/>
              <w:t>DE</w:t>
            </w:r>
            <w:r w:rsidRPr="00A01648">
              <w:rPr>
                <w:rFonts w:ascii="Arial" w:eastAsia="Times New Roman" w:hAnsi="Arial" w:cs="Arial"/>
                <w:bCs/>
                <w:sz w:val="18"/>
                <w:szCs w:val="18"/>
                <w:lang w:val="en-US"/>
              </w:rPr>
              <w:br/>
              <w:t>INOT</w:t>
            </w:r>
          </w:p>
        </w:tc>
      </w:tr>
      <w:tr w:rsidR="004C5B55" w:rsidRPr="004C5B55" w:rsidTr="004C5B55">
        <w:trPr>
          <w:trHeight w:val="255"/>
        </w:trPr>
        <w:tc>
          <w:tcPr>
            <w:tcW w:w="1435" w:type="dxa"/>
            <w:vMerge/>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1208" w:type="dxa"/>
            <w:vMerge/>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1444" w:type="dxa"/>
            <w:vMerge/>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1725" w:type="dxa"/>
            <w:vMerge/>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1175" w:type="dxa"/>
            <w:vMerge/>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1423" w:type="dxa"/>
            <w:vMerge/>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938" w:type="dxa"/>
            <w:vMerge/>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r>
      <w:tr w:rsidR="004C5B55" w:rsidRPr="004C5B55" w:rsidTr="004C5B55">
        <w:trPr>
          <w:trHeight w:val="255"/>
        </w:trPr>
        <w:tc>
          <w:tcPr>
            <w:tcW w:w="1435" w:type="dxa"/>
            <w:vMerge/>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1208" w:type="dxa"/>
            <w:vMerge/>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1444" w:type="dxa"/>
            <w:vMerge/>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1725" w:type="dxa"/>
            <w:vMerge/>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1175" w:type="dxa"/>
            <w:vMerge/>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1423" w:type="dxa"/>
            <w:vMerge/>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938" w:type="dxa"/>
            <w:vMerge/>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r>
      <w:tr w:rsidR="004C5B55" w:rsidRPr="004C5B55" w:rsidTr="00A01648">
        <w:trPr>
          <w:trHeight w:val="230"/>
        </w:trPr>
        <w:tc>
          <w:tcPr>
            <w:tcW w:w="1435" w:type="dxa"/>
            <w:vMerge/>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1208" w:type="dxa"/>
            <w:vMerge/>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1444" w:type="dxa"/>
            <w:vMerge/>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1725" w:type="dxa"/>
            <w:vMerge/>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1175" w:type="dxa"/>
            <w:vMerge/>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1423" w:type="dxa"/>
            <w:vMerge/>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938" w:type="dxa"/>
            <w:vMerge/>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r>
      <w:tr w:rsidR="004C5B55" w:rsidRPr="004C5B55" w:rsidTr="004C5B55">
        <w:trPr>
          <w:trHeight w:val="255"/>
        </w:trPr>
        <w:tc>
          <w:tcPr>
            <w:tcW w:w="1435" w:type="dxa"/>
            <w:shd w:val="clear" w:color="auto" w:fill="auto"/>
            <w:hideMark/>
          </w:tcPr>
          <w:p w:rsidR="004C5B55" w:rsidRPr="004C5B55" w:rsidRDefault="004C5B55" w:rsidP="000C6A67">
            <w:pPr>
              <w:spacing w:after="0" w:line="240" w:lineRule="auto"/>
              <w:rPr>
                <w:rFonts w:ascii="Arial" w:eastAsia="Times New Roman" w:hAnsi="Arial" w:cs="Arial"/>
                <w:b/>
                <w:bCs/>
                <w:color w:val="000000"/>
                <w:sz w:val="20"/>
                <w:szCs w:val="20"/>
                <w:lang w:val="en-US"/>
              </w:rPr>
            </w:pPr>
            <w:r w:rsidRPr="004C5B55">
              <w:rPr>
                <w:rFonts w:ascii="Arial" w:eastAsia="Times New Roman" w:hAnsi="Arial" w:cs="Arial"/>
                <w:b/>
                <w:bCs/>
                <w:color w:val="000000"/>
                <w:sz w:val="20"/>
                <w:szCs w:val="20"/>
                <w:lang w:val="en-US"/>
              </w:rPr>
              <w:t>Vest</w:t>
            </w:r>
          </w:p>
        </w:tc>
        <w:tc>
          <w:tcPr>
            <w:tcW w:w="1208" w:type="dxa"/>
            <w:shd w:val="clear" w:color="auto" w:fill="auto"/>
            <w:hideMark/>
          </w:tcPr>
          <w:p w:rsidR="004C5B55" w:rsidRPr="004C5B55" w:rsidRDefault="004C5B55" w:rsidP="000C6A67">
            <w:pPr>
              <w:spacing w:after="0" w:line="240" w:lineRule="auto"/>
              <w:jc w:val="right"/>
              <w:rPr>
                <w:rFonts w:ascii="Arial" w:eastAsia="Times New Roman" w:hAnsi="Arial" w:cs="Arial"/>
                <w:b/>
                <w:bCs/>
                <w:color w:val="000000"/>
                <w:sz w:val="20"/>
                <w:szCs w:val="20"/>
                <w:lang w:val="en-US"/>
              </w:rPr>
            </w:pPr>
            <w:r w:rsidRPr="004C5B55">
              <w:rPr>
                <w:rFonts w:ascii="Arial" w:eastAsia="Times New Roman" w:hAnsi="Arial" w:cs="Arial"/>
                <w:b/>
                <w:bCs/>
                <w:color w:val="000000"/>
                <w:sz w:val="20"/>
                <w:szCs w:val="20"/>
                <w:lang w:val="en-US"/>
              </w:rPr>
              <w:t>4228</w:t>
            </w:r>
          </w:p>
        </w:tc>
        <w:tc>
          <w:tcPr>
            <w:tcW w:w="1444" w:type="dxa"/>
            <w:shd w:val="clear" w:color="auto" w:fill="auto"/>
            <w:hideMark/>
          </w:tcPr>
          <w:p w:rsidR="004C5B55" w:rsidRPr="004C5B55" w:rsidRDefault="004C5B55" w:rsidP="000C6A67">
            <w:pPr>
              <w:spacing w:after="0" w:line="240" w:lineRule="auto"/>
              <w:jc w:val="right"/>
              <w:rPr>
                <w:rFonts w:ascii="Arial" w:eastAsia="Times New Roman" w:hAnsi="Arial" w:cs="Arial"/>
                <w:b/>
                <w:bCs/>
                <w:color w:val="000000"/>
                <w:sz w:val="20"/>
                <w:szCs w:val="20"/>
                <w:lang w:val="en-US"/>
              </w:rPr>
            </w:pPr>
            <w:r w:rsidRPr="004C5B55">
              <w:rPr>
                <w:rFonts w:ascii="Arial" w:eastAsia="Times New Roman" w:hAnsi="Arial" w:cs="Arial"/>
                <w:b/>
                <w:bCs/>
                <w:color w:val="000000"/>
                <w:sz w:val="20"/>
                <w:szCs w:val="20"/>
                <w:lang w:val="en-US"/>
              </w:rPr>
              <w:t>150</w:t>
            </w:r>
          </w:p>
        </w:tc>
        <w:tc>
          <w:tcPr>
            <w:tcW w:w="1725" w:type="dxa"/>
            <w:shd w:val="clear" w:color="auto" w:fill="auto"/>
            <w:hideMark/>
          </w:tcPr>
          <w:p w:rsidR="004C5B55" w:rsidRPr="004C5B55" w:rsidRDefault="004C5B55" w:rsidP="000C6A67">
            <w:pPr>
              <w:spacing w:after="0" w:line="240" w:lineRule="auto"/>
              <w:jc w:val="right"/>
              <w:rPr>
                <w:rFonts w:ascii="Arial" w:eastAsia="Times New Roman" w:hAnsi="Arial" w:cs="Arial"/>
                <w:b/>
                <w:bCs/>
                <w:color w:val="000000"/>
                <w:sz w:val="20"/>
                <w:szCs w:val="20"/>
                <w:lang w:val="en-US"/>
              </w:rPr>
            </w:pPr>
            <w:r w:rsidRPr="004C5B55">
              <w:rPr>
                <w:rFonts w:ascii="Arial" w:eastAsia="Times New Roman" w:hAnsi="Arial" w:cs="Arial"/>
                <w:b/>
                <w:bCs/>
                <w:color w:val="000000"/>
                <w:sz w:val="20"/>
                <w:szCs w:val="20"/>
                <w:lang w:val="en-US"/>
              </w:rPr>
              <w:t>947</w:t>
            </w:r>
          </w:p>
        </w:tc>
        <w:tc>
          <w:tcPr>
            <w:tcW w:w="1175" w:type="dxa"/>
            <w:shd w:val="clear" w:color="auto" w:fill="auto"/>
            <w:hideMark/>
          </w:tcPr>
          <w:p w:rsidR="004C5B55" w:rsidRPr="004C5B55" w:rsidRDefault="004C5B55" w:rsidP="000C6A67">
            <w:pPr>
              <w:spacing w:after="0" w:line="240" w:lineRule="auto"/>
              <w:jc w:val="right"/>
              <w:rPr>
                <w:rFonts w:ascii="Arial" w:eastAsia="Times New Roman" w:hAnsi="Arial" w:cs="Arial"/>
                <w:b/>
                <w:bCs/>
                <w:color w:val="000000"/>
                <w:sz w:val="20"/>
                <w:szCs w:val="20"/>
                <w:lang w:val="en-US"/>
              </w:rPr>
            </w:pPr>
            <w:r w:rsidRPr="004C5B55">
              <w:rPr>
                <w:rFonts w:ascii="Arial" w:eastAsia="Times New Roman" w:hAnsi="Arial" w:cs="Arial"/>
                <w:b/>
                <w:bCs/>
                <w:color w:val="000000"/>
                <w:sz w:val="20"/>
                <w:szCs w:val="20"/>
                <w:lang w:val="en-US"/>
              </w:rPr>
              <w:t>406</w:t>
            </w:r>
          </w:p>
        </w:tc>
        <w:tc>
          <w:tcPr>
            <w:tcW w:w="1423" w:type="dxa"/>
            <w:shd w:val="clear" w:color="auto" w:fill="auto"/>
            <w:hideMark/>
          </w:tcPr>
          <w:p w:rsidR="004C5B55" w:rsidRPr="004C5B55" w:rsidRDefault="004C5B55" w:rsidP="000C6A67">
            <w:pPr>
              <w:spacing w:after="0" w:line="240" w:lineRule="auto"/>
              <w:jc w:val="right"/>
              <w:rPr>
                <w:rFonts w:ascii="Arial" w:eastAsia="Times New Roman" w:hAnsi="Arial" w:cs="Arial"/>
                <w:b/>
                <w:bCs/>
                <w:color w:val="000000"/>
                <w:sz w:val="20"/>
                <w:szCs w:val="20"/>
                <w:lang w:val="en-US"/>
              </w:rPr>
            </w:pPr>
            <w:r w:rsidRPr="004C5B55">
              <w:rPr>
                <w:rFonts w:ascii="Arial" w:eastAsia="Times New Roman" w:hAnsi="Arial" w:cs="Arial"/>
                <w:b/>
                <w:bCs/>
                <w:color w:val="000000"/>
                <w:sz w:val="20"/>
                <w:szCs w:val="20"/>
                <w:lang w:val="en-US"/>
              </w:rPr>
              <w:t>169</w:t>
            </w:r>
          </w:p>
        </w:tc>
        <w:tc>
          <w:tcPr>
            <w:tcW w:w="938" w:type="dxa"/>
            <w:shd w:val="clear" w:color="auto" w:fill="auto"/>
            <w:hideMark/>
          </w:tcPr>
          <w:p w:rsidR="004C5B55" w:rsidRPr="004C5B55" w:rsidRDefault="004C5B55" w:rsidP="000C6A67">
            <w:pPr>
              <w:spacing w:after="0" w:line="240" w:lineRule="auto"/>
              <w:jc w:val="right"/>
              <w:rPr>
                <w:rFonts w:ascii="Arial" w:eastAsia="Times New Roman" w:hAnsi="Arial" w:cs="Arial"/>
                <w:b/>
                <w:bCs/>
                <w:color w:val="000000"/>
                <w:sz w:val="20"/>
                <w:szCs w:val="20"/>
                <w:lang w:val="en-US"/>
              </w:rPr>
            </w:pPr>
            <w:r w:rsidRPr="004C5B55">
              <w:rPr>
                <w:rFonts w:ascii="Arial" w:eastAsia="Times New Roman" w:hAnsi="Arial" w:cs="Arial"/>
                <w:b/>
                <w:bCs/>
                <w:color w:val="000000"/>
                <w:sz w:val="20"/>
                <w:szCs w:val="20"/>
                <w:lang w:val="en-US"/>
              </w:rPr>
              <w:t>3</w:t>
            </w:r>
          </w:p>
        </w:tc>
      </w:tr>
      <w:tr w:rsidR="004C5B55" w:rsidRPr="004C5B55" w:rsidTr="004C5B55">
        <w:trPr>
          <w:trHeight w:val="255"/>
        </w:trPr>
        <w:tc>
          <w:tcPr>
            <w:tcW w:w="1435" w:type="dxa"/>
            <w:shd w:val="clear" w:color="auto" w:fill="auto"/>
            <w:hideMark/>
          </w:tcPr>
          <w:p w:rsidR="004C5B55" w:rsidRPr="004C5B55" w:rsidRDefault="004C5B55" w:rsidP="000C6A67">
            <w:pPr>
              <w:spacing w:after="0" w:line="240" w:lineRule="auto"/>
              <w:ind w:firstLineChars="100" w:firstLine="200"/>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URBAN</w:t>
            </w:r>
          </w:p>
        </w:tc>
        <w:tc>
          <w:tcPr>
            <w:tcW w:w="120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3924</w:t>
            </w:r>
          </w:p>
        </w:tc>
        <w:tc>
          <w:tcPr>
            <w:tcW w:w="1444"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139</w:t>
            </w:r>
          </w:p>
        </w:tc>
        <w:tc>
          <w:tcPr>
            <w:tcW w:w="172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893</w:t>
            </w:r>
          </w:p>
        </w:tc>
        <w:tc>
          <w:tcPr>
            <w:tcW w:w="117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387</w:t>
            </w:r>
          </w:p>
        </w:tc>
        <w:tc>
          <w:tcPr>
            <w:tcW w:w="1423"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154</w:t>
            </w:r>
          </w:p>
        </w:tc>
        <w:tc>
          <w:tcPr>
            <w:tcW w:w="93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w:t>
            </w:r>
          </w:p>
        </w:tc>
      </w:tr>
      <w:tr w:rsidR="004C5B55" w:rsidRPr="004C5B55" w:rsidTr="004C5B55">
        <w:trPr>
          <w:trHeight w:val="255"/>
        </w:trPr>
        <w:tc>
          <w:tcPr>
            <w:tcW w:w="1435" w:type="dxa"/>
            <w:shd w:val="clear" w:color="auto" w:fill="auto"/>
            <w:hideMark/>
          </w:tcPr>
          <w:p w:rsidR="004C5B55" w:rsidRPr="004C5B55" w:rsidRDefault="004C5B55" w:rsidP="000C6A67">
            <w:pPr>
              <w:spacing w:after="0" w:line="240" w:lineRule="auto"/>
              <w:ind w:firstLineChars="100" w:firstLine="200"/>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RURAL</w:t>
            </w:r>
          </w:p>
        </w:tc>
        <w:tc>
          <w:tcPr>
            <w:tcW w:w="120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304</w:t>
            </w:r>
          </w:p>
        </w:tc>
        <w:tc>
          <w:tcPr>
            <w:tcW w:w="1444"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11</w:t>
            </w:r>
          </w:p>
        </w:tc>
        <w:tc>
          <w:tcPr>
            <w:tcW w:w="172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54</w:t>
            </w:r>
          </w:p>
        </w:tc>
        <w:tc>
          <w:tcPr>
            <w:tcW w:w="117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19</w:t>
            </w:r>
          </w:p>
        </w:tc>
        <w:tc>
          <w:tcPr>
            <w:tcW w:w="1423"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15</w:t>
            </w:r>
          </w:p>
        </w:tc>
        <w:tc>
          <w:tcPr>
            <w:tcW w:w="93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w:t>
            </w:r>
          </w:p>
        </w:tc>
      </w:tr>
      <w:tr w:rsidR="004C5B55" w:rsidRPr="004C5B55" w:rsidTr="004C5B55">
        <w:trPr>
          <w:trHeight w:val="255"/>
        </w:trPr>
        <w:tc>
          <w:tcPr>
            <w:tcW w:w="1435" w:type="dxa"/>
            <w:shd w:val="clear" w:color="auto" w:fill="auto"/>
            <w:hideMark/>
          </w:tcPr>
          <w:p w:rsidR="004C5B55" w:rsidRPr="004C5B55" w:rsidRDefault="004C5B55" w:rsidP="000C6A67">
            <w:pPr>
              <w:spacing w:after="0" w:line="240" w:lineRule="auto"/>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Arad</w:t>
            </w:r>
          </w:p>
        </w:tc>
        <w:tc>
          <w:tcPr>
            <w:tcW w:w="120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991</w:t>
            </w:r>
          </w:p>
        </w:tc>
        <w:tc>
          <w:tcPr>
            <w:tcW w:w="1444"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44</w:t>
            </w:r>
          </w:p>
        </w:tc>
        <w:tc>
          <w:tcPr>
            <w:tcW w:w="172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217</w:t>
            </w:r>
          </w:p>
        </w:tc>
        <w:tc>
          <w:tcPr>
            <w:tcW w:w="117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100</w:t>
            </w:r>
          </w:p>
        </w:tc>
        <w:tc>
          <w:tcPr>
            <w:tcW w:w="1423"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46</w:t>
            </w:r>
          </w:p>
        </w:tc>
        <w:tc>
          <w:tcPr>
            <w:tcW w:w="93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w:t>
            </w:r>
          </w:p>
        </w:tc>
      </w:tr>
      <w:tr w:rsidR="004C5B55" w:rsidRPr="004C5B55" w:rsidTr="004C5B55">
        <w:trPr>
          <w:trHeight w:val="255"/>
        </w:trPr>
        <w:tc>
          <w:tcPr>
            <w:tcW w:w="1435" w:type="dxa"/>
            <w:shd w:val="clear" w:color="auto" w:fill="auto"/>
            <w:hideMark/>
          </w:tcPr>
          <w:p w:rsidR="004C5B55" w:rsidRPr="004C5B55" w:rsidRDefault="004C5B55" w:rsidP="000C6A67">
            <w:pPr>
              <w:spacing w:after="0" w:line="240" w:lineRule="auto"/>
              <w:ind w:firstLineChars="100" w:firstLine="200"/>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URBAN</w:t>
            </w:r>
          </w:p>
        </w:tc>
        <w:tc>
          <w:tcPr>
            <w:tcW w:w="120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934</w:t>
            </w:r>
          </w:p>
        </w:tc>
        <w:tc>
          <w:tcPr>
            <w:tcW w:w="1444"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42</w:t>
            </w:r>
          </w:p>
        </w:tc>
        <w:tc>
          <w:tcPr>
            <w:tcW w:w="172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205</w:t>
            </w:r>
          </w:p>
        </w:tc>
        <w:tc>
          <w:tcPr>
            <w:tcW w:w="117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99</w:t>
            </w:r>
          </w:p>
        </w:tc>
        <w:tc>
          <w:tcPr>
            <w:tcW w:w="1423"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43</w:t>
            </w:r>
          </w:p>
        </w:tc>
        <w:tc>
          <w:tcPr>
            <w:tcW w:w="93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w:t>
            </w:r>
          </w:p>
        </w:tc>
      </w:tr>
      <w:tr w:rsidR="004C5B55" w:rsidRPr="004C5B55" w:rsidTr="004C5B55">
        <w:trPr>
          <w:trHeight w:val="255"/>
        </w:trPr>
        <w:tc>
          <w:tcPr>
            <w:tcW w:w="1435" w:type="dxa"/>
            <w:shd w:val="clear" w:color="auto" w:fill="auto"/>
            <w:hideMark/>
          </w:tcPr>
          <w:p w:rsidR="004C5B55" w:rsidRPr="004C5B55" w:rsidRDefault="004C5B55" w:rsidP="000C6A67">
            <w:pPr>
              <w:spacing w:after="0" w:line="240" w:lineRule="auto"/>
              <w:ind w:firstLineChars="100" w:firstLine="200"/>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RURAL</w:t>
            </w:r>
          </w:p>
        </w:tc>
        <w:tc>
          <w:tcPr>
            <w:tcW w:w="120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57</w:t>
            </w:r>
          </w:p>
        </w:tc>
        <w:tc>
          <w:tcPr>
            <w:tcW w:w="1444"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w:t>
            </w:r>
          </w:p>
        </w:tc>
        <w:tc>
          <w:tcPr>
            <w:tcW w:w="172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12</w:t>
            </w:r>
          </w:p>
        </w:tc>
        <w:tc>
          <w:tcPr>
            <w:tcW w:w="117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w:t>
            </w:r>
          </w:p>
        </w:tc>
        <w:tc>
          <w:tcPr>
            <w:tcW w:w="1423"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w:t>
            </w:r>
          </w:p>
        </w:tc>
        <w:tc>
          <w:tcPr>
            <w:tcW w:w="93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w:t>
            </w:r>
          </w:p>
        </w:tc>
      </w:tr>
      <w:tr w:rsidR="004C5B55" w:rsidRPr="004C5B55" w:rsidTr="004C5B55">
        <w:trPr>
          <w:trHeight w:val="255"/>
        </w:trPr>
        <w:tc>
          <w:tcPr>
            <w:tcW w:w="1435" w:type="dxa"/>
            <w:shd w:val="clear" w:color="auto" w:fill="auto"/>
            <w:hideMark/>
          </w:tcPr>
          <w:p w:rsidR="004C5B55" w:rsidRPr="004C5B55" w:rsidRDefault="004C5B55" w:rsidP="000C6A67">
            <w:pPr>
              <w:spacing w:after="0" w:line="240" w:lineRule="auto"/>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Caras-Severin</w:t>
            </w:r>
          </w:p>
        </w:tc>
        <w:tc>
          <w:tcPr>
            <w:tcW w:w="120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735</w:t>
            </w:r>
          </w:p>
        </w:tc>
        <w:tc>
          <w:tcPr>
            <w:tcW w:w="1444"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24</w:t>
            </w:r>
          </w:p>
        </w:tc>
        <w:tc>
          <w:tcPr>
            <w:tcW w:w="172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196</w:t>
            </w:r>
          </w:p>
        </w:tc>
        <w:tc>
          <w:tcPr>
            <w:tcW w:w="117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90</w:t>
            </w:r>
          </w:p>
        </w:tc>
        <w:tc>
          <w:tcPr>
            <w:tcW w:w="1423"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21</w:t>
            </w:r>
          </w:p>
        </w:tc>
        <w:tc>
          <w:tcPr>
            <w:tcW w:w="93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w:t>
            </w:r>
          </w:p>
        </w:tc>
      </w:tr>
      <w:tr w:rsidR="004C5B55" w:rsidRPr="004C5B55" w:rsidTr="004C5B55">
        <w:trPr>
          <w:trHeight w:val="255"/>
        </w:trPr>
        <w:tc>
          <w:tcPr>
            <w:tcW w:w="1435" w:type="dxa"/>
            <w:shd w:val="clear" w:color="auto" w:fill="auto"/>
            <w:hideMark/>
          </w:tcPr>
          <w:p w:rsidR="004C5B55" w:rsidRPr="004C5B55" w:rsidRDefault="004C5B55" w:rsidP="000C6A67">
            <w:pPr>
              <w:spacing w:after="0" w:line="240" w:lineRule="auto"/>
              <w:ind w:firstLineChars="100" w:firstLine="200"/>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URBAN</w:t>
            </w:r>
          </w:p>
        </w:tc>
        <w:tc>
          <w:tcPr>
            <w:tcW w:w="120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648</w:t>
            </w:r>
          </w:p>
        </w:tc>
        <w:tc>
          <w:tcPr>
            <w:tcW w:w="1444"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23</w:t>
            </w:r>
          </w:p>
        </w:tc>
        <w:tc>
          <w:tcPr>
            <w:tcW w:w="172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186</w:t>
            </w:r>
          </w:p>
        </w:tc>
        <w:tc>
          <w:tcPr>
            <w:tcW w:w="117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87</w:t>
            </w:r>
          </w:p>
        </w:tc>
        <w:tc>
          <w:tcPr>
            <w:tcW w:w="1423"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18</w:t>
            </w:r>
          </w:p>
        </w:tc>
        <w:tc>
          <w:tcPr>
            <w:tcW w:w="93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w:t>
            </w:r>
          </w:p>
        </w:tc>
      </w:tr>
      <w:tr w:rsidR="004C5B55" w:rsidRPr="004C5B55" w:rsidTr="004C5B55">
        <w:trPr>
          <w:trHeight w:val="255"/>
        </w:trPr>
        <w:tc>
          <w:tcPr>
            <w:tcW w:w="1435" w:type="dxa"/>
            <w:shd w:val="clear" w:color="auto" w:fill="auto"/>
            <w:hideMark/>
          </w:tcPr>
          <w:p w:rsidR="004C5B55" w:rsidRPr="004C5B55" w:rsidRDefault="004C5B55" w:rsidP="000C6A67">
            <w:pPr>
              <w:spacing w:after="0" w:line="240" w:lineRule="auto"/>
              <w:ind w:firstLineChars="100" w:firstLine="200"/>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RURAL</w:t>
            </w:r>
          </w:p>
        </w:tc>
        <w:tc>
          <w:tcPr>
            <w:tcW w:w="120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87</w:t>
            </w:r>
          </w:p>
        </w:tc>
        <w:tc>
          <w:tcPr>
            <w:tcW w:w="1444"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w:t>
            </w:r>
          </w:p>
        </w:tc>
        <w:tc>
          <w:tcPr>
            <w:tcW w:w="172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10</w:t>
            </w:r>
          </w:p>
        </w:tc>
        <w:tc>
          <w:tcPr>
            <w:tcW w:w="117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w:t>
            </w:r>
          </w:p>
        </w:tc>
        <w:tc>
          <w:tcPr>
            <w:tcW w:w="1423"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w:t>
            </w:r>
          </w:p>
        </w:tc>
        <w:tc>
          <w:tcPr>
            <w:tcW w:w="93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w:t>
            </w:r>
          </w:p>
        </w:tc>
      </w:tr>
      <w:tr w:rsidR="004C5B55" w:rsidRPr="004C5B55" w:rsidTr="004C5B55">
        <w:trPr>
          <w:trHeight w:val="255"/>
        </w:trPr>
        <w:tc>
          <w:tcPr>
            <w:tcW w:w="1435" w:type="dxa"/>
            <w:shd w:val="clear" w:color="auto" w:fill="auto"/>
            <w:hideMark/>
          </w:tcPr>
          <w:p w:rsidR="004C5B55" w:rsidRPr="004C5B55" w:rsidRDefault="004C5B55" w:rsidP="000C6A67">
            <w:pPr>
              <w:spacing w:after="0" w:line="240" w:lineRule="auto"/>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Hunedoara</w:t>
            </w:r>
          </w:p>
        </w:tc>
        <w:tc>
          <w:tcPr>
            <w:tcW w:w="120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894</w:t>
            </w:r>
          </w:p>
        </w:tc>
        <w:tc>
          <w:tcPr>
            <w:tcW w:w="1444"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29</w:t>
            </w:r>
          </w:p>
        </w:tc>
        <w:tc>
          <w:tcPr>
            <w:tcW w:w="172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178</w:t>
            </w:r>
          </w:p>
        </w:tc>
        <w:tc>
          <w:tcPr>
            <w:tcW w:w="117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88</w:t>
            </w:r>
          </w:p>
        </w:tc>
        <w:tc>
          <w:tcPr>
            <w:tcW w:w="1423"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44</w:t>
            </w:r>
          </w:p>
        </w:tc>
        <w:tc>
          <w:tcPr>
            <w:tcW w:w="93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w:t>
            </w:r>
          </w:p>
        </w:tc>
      </w:tr>
      <w:tr w:rsidR="004C5B55" w:rsidRPr="004C5B55" w:rsidTr="004C5B55">
        <w:trPr>
          <w:trHeight w:val="255"/>
        </w:trPr>
        <w:tc>
          <w:tcPr>
            <w:tcW w:w="1435" w:type="dxa"/>
            <w:shd w:val="clear" w:color="auto" w:fill="auto"/>
            <w:hideMark/>
          </w:tcPr>
          <w:p w:rsidR="004C5B55" w:rsidRPr="004C5B55" w:rsidRDefault="004C5B55" w:rsidP="000C6A67">
            <w:pPr>
              <w:spacing w:after="0" w:line="240" w:lineRule="auto"/>
              <w:ind w:firstLineChars="100" w:firstLine="200"/>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URBAN</w:t>
            </w:r>
          </w:p>
        </w:tc>
        <w:tc>
          <w:tcPr>
            <w:tcW w:w="120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844</w:t>
            </w:r>
          </w:p>
        </w:tc>
        <w:tc>
          <w:tcPr>
            <w:tcW w:w="1444"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27</w:t>
            </w:r>
          </w:p>
        </w:tc>
        <w:tc>
          <w:tcPr>
            <w:tcW w:w="172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168</w:t>
            </w:r>
          </w:p>
        </w:tc>
        <w:tc>
          <w:tcPr>
            <w:tcW w:w="117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81</w:t>
            </w:r>
          </w:p>
        </w:tc>
        <w:tc>
          <w:tcPr>
            <w:tcW w:w="1423"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40</w:t>
            </w:r>
          </w:p>
        </w:tc>
        <w:tc>
          <w:tcPr>
            <w:tcW w:w="93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w:t>
            </w:r>
          </w:p>
        </w:tc>
      </w:tr>
      <w:tr w:rsidR="004C5B55" w:rsidRPr="004C5B55" w:rsidTr="004C5B55">
        <w:trPr>
          <w:trHeight w:val="255"/>
        </w:trPr>
        <w:tc>
          <w:tcPr>
            <w:tcW w:w="1435" w:type="dxa"/>
            <w:shd w:val="clear" w:color="auto" w:fill="auto"/>
            <w:hideMark/>
          </w:tcPr>
          <w:p w:rsidR="004C5B55" w:rsidRPr="004C5B55" w:rsidRDefault="004C5B55" w:rsidP="000C6A67">
            <w:pPr>
              <w:spacing w:after="0" w:line="240" w:lineRule="auto"/>
              <w:ind w:firstLineChars="100" w:firstLine="200"/>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RURAL</w:t>
            </w:r>
          </w:p>
        </w:tc>
        <w:tc>
          <w:tcPr>
            <w:tcW w:w="120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50</w:t>
            </w:r>
          </w:p>
        </w:tc>
        <w:tc>
          <w:tcPr>
            <w:tcW w:w="1444"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w:t>
            </w:r>
          </w:p>
        </w:tc>
        <w:tc>
          <w:tcPr>
            <w:tcW w:w="172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10</w:t>
            </w:r>
          </w:p>
        </w:tc>
        <w:tc>
          <w:tcPr>
            <w:tcW w:w="117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7</w:t>
            </w:r>
          </w:p>
        </w:tc>
        <w:tc>
          <w:tcPr>
            <w:tcW w:w="1423"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4</w:t>
            </w:r>
          </w:p>
        </w:tc>
        <w:tc>
          <w:tcPr>
            <w:tcW w:w="93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w:t>
            </w:r>
          </w:p>
        </w:tc>
      </w:tr>
      <w:tr w:rsidR="004C5B55" w:rsidRPr="004C5B55" w:rsidTr="004C5B55">
        <w:trPr>
          <w:trHeight w:val="255"/>
        </w:trPr>
        <w:tc>
          <w:tcPr>
            <w:tcW w:w="1435" w:type="dxa"/>
            <w:shd w:val="clear" w:color="auto" w:fill="auto"/>
            <w:hideMark/>
          </w:tcPr>
          <w:p w:rsidR="004C5B55" w:rsidRPr="004C5B55" w:rsidRDefault="004C5B55" w:rsidP="000C6A67">
            <w:pPr>
              <w:spacing w:after="0" w:line="240" w:lineRule="auto"/>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Timis</w:t>
            </w:r>
          </w:p>
        </w:tc>
        <w:tc>
          <w:tcPr>
            <w:tcW w:w="120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1608</w:t>
            </w:r>
          </w:p>
        </w:tc>
        <w:tc>
          <w:tcPr>
            <w:tcW w:w="1444"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53</w:t>
            </w:r>
          </w:p>
        </w:tc>
        <w:tc>
          <w:tcPr>
            <w:tcW w:w="172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356</w:t>
            </w:r>
          </w:p>
        </w:tc>
        <w:tc>
          <w:tcPr>
            <w:tcW w:w="117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128</w:t>
            </w:r>
          </w:p>
        </w:tc>
        <w:tc>
          <w:tcPr>
            <w:tcW w:w="1423"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58</w:t>
            </w:r>
          </w:p>
        </w:tc>
        <w:tc>
          <w:tcPr>
            <w:tcW w:w="93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w:t>
            </w:r>
          </w:p>
        </w:tc>
      </w:tr>
      <w:tr w:rsidR="004C5B55" w:rsidRPr="004C5B55" w:rsidTr="004C5B55">
        <w:trPr>
          <w:trHeight w:val="255"/>
        </w:trPr>
        <w:tc>
          <w:tcPr>
            <w:tcW w:w="1435" w:type="dxa"/>
            <w:shd w:val="clear" w:color="auto" w:fill="auto"/>
            <w:hideMark/>
          </w:tcPr>
          <w:p w:rsidR="004C5B55" w:rsidRPr="004C5B55" w:rsidRDefault="004C5B55" w:rsidP="000C6A67">
            <w:pPr>
              <w:spacing w:after="0" w:line="240" w:lineRule="auto"/>
              <w:ind w:firstLineChars="100" w:firstLine="200"/>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URBAN</w:t>
            </w:r>
          </w:p>
        </w:tc>
        <w:tc>
          <w:tcPr>
            <w:tcW w:w="120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1498</w:t>
            </w:r>
          </w:p>
        </w:tc>
        <w:tc>
          <w:tcPr>
            <w:tcW w:w="1444"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47</w:t>
            </w:r>
          </w:p>
        </w:tc>
        <w:tc>
          <w:tcPr>
            <w:tcW w:w="172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334</w:t>
            </w:r>
          </w:p>
        </w:tc>
        <w:tc>
          <w:tcPr>
            <w:tcW w:w="117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120</w:t>
            </w:r>
          </w:p>
        </w:tc>
        <w:tc>
          <w:tcPr>
            <w:tcW w:w="1423"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53</w:t>
            </w:r>
          </w:p>
        </w:tc>
        <w:tc>
          <w:tcPr>
            <w:tcW w:w="93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w:t>
            </w:r>
          </w:p>
        </w:tc>
      </w:tr>
      <w:tr w:rsidR="004C5B55" w:rsidRPr="004C5B55" w:rsidTr="004C5B55">
        <w:trPr>
          <w:trHeight w:val="255"/>
        </w:trPr>
        <w:tc>
          <w:tcPr>
            <w:tcW w:w="1435" w:type="dxa"/>
            <w:shd w:val="clear" w:color="auto" w:fill="auto"/>
            <w:hideMark/>
          </w:tcPr>
          <w:p w:rsidR="004C5B55" w:rsidRPr="004C5B55" w:rsidRDefault="004C5B55" w:rsidP="000C6A67">
            <w:pPr>
              <w:spacing w:after="0" w:line="240" w:lineRule="auto"/>
              <w:ind w:firstLineChars="100" w:firstLine="200"/>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RURAL</w:t>
            </w:r>
          </w:p>
        </w:tc>
        <w:tc>
          <w:tcPr>
            <w:tcW w:w="120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110</w:t>
            </w:r>
          </w:p>
        </w:tc>
        <w:tc>
          <w:tcPr>
            <w:tcW w:w="1444"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6</w:t>
            </w:r>
          </w:p>
        </w:tc>
        <w:tc>
          <w:tcPr>
            <w:tcW w:w="172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22</w:t>
            </w:r>
          </w:p>
        </w:tc>
        <w:tc>
          <w:tcPr>
            <w:tcW w:w="1175"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8</w:t>
            </w:r>
          </w:p>
        </w:tc>
        <w:tc>
          <w:tcPr>
            <w:tcW w:w="1423"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5</w:t>
            </w:r>
          </w:p>
        </w:tc>
        <w:tc>
          <w:tcPr>
            <w:tcW w:w="938" w:type="dxa"/>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w:t>
            </w:r>
          </w:p>
        </w:tc>
      </w:tr>
    </w:tbl>
    <w:p w:rsidR="004C5B55" w:rsidRPr="004C5B55" w:rsidRDefault="004C5B55" w:rsidP="000C6A67">
      <w:pPr>
        <w:spacing w:after="0" w:line="240" w:lineRule="auto"/>
        <w:jc w:val="center"/>
        <w:rPr>
          <w:rFonts w:ascii="Arial" w:hAnsi="Arial" w:cs="Arial"/>
          <w:lang w:eastAsia="ro-RO"/>
        </w:rPr>
      </w:pPr>
      <w:r w:rsidRPr="004C5B55">
        <w:rPr>
          <w:rFonts w:ascii="Arial" w:hAnsi="Arial" w:cs="Arial"/>
          <w:lang w:eastAsia="ro-RO"/>
        </w:rPr>
        <w:t xml:space="preserve">Sursa datelor: INS Statistica educaţiei </w:t>
      </w:r>
      <w:r w:rsidR="00864DFE" w:rsidRPr="004C5B55">
        <w:rPr>
          <w:rFonts w:ascii="Arial" w:hAnsi="Arial" w:cs="Arial"/>
          <w:lang w:eastAsia="ro-RO"/>
        </w:rPr>
        <w:t>"</w:t>
      </w:r>
      <w:r w:rsidR="00864DFE">
        <w:rPr>
          <w:rFonts w:ascii="Arial" w:hAnsi="Arial" w:cs="Arial"/>
          <w:lang w:eastAsia="ro-RO"/>
        </w:rPr>
        <w:t>Î</w:t>
      </w:r>
      <w:r w:rsidR="00864DFE" w:rsidRPr="004C5B55">
        <w:rPr>
          <w:rFonts w:ascii="Arial" w:hAnsi="Arial" w:cs="Arial"/>
          <w:lang w:eastAsia="ro-RO"/>
        </w:rPr>
        <w:t>nvăţământul liceal la începutul</w:t>
      </w:r>
    </w:p>
    <w:p w:rsidR="004C5B55" w:rsidRPr="004C5B55" w:rsidRDefault="00864DFE" w:rsidP="000C6A67">
      <w:pPr>
        <w:spacing w:after="0" w:line="240" w:lineRule="auto"/>
        <w:jc w:val="center"/>
        <w:rPr>
          <w:rFonts w:ascii="Arial" w:hAnsi="Arial" w:cs="Arial"/>
          <w:lang w:eastAsia="ro-RO"/>
        </w:rPr>
      </w:pPr>
      <w:r w:rsidRPr="004C5B55">
        <w:rPr>
          <w:rFonts w:ascii="Arial" w:hAnsi="Arial" w:cs="Arial"/>
          <w:lang w:eastAsia="ro-RO"/>
        </w:rPr>
        <w:t>Anului şcolar 2015 – 2016"</w:t>
      </w:r>
    </w:p>
    <w:p w:rsidR="004C5B55" w:rsidRPr="002D3BDB" w:rsidRDefault="004C5B55" w:rsidP="000C6A67">
      <w:pPr>
        <w:spacing w:after="0" w:line="240" w:lineRule="auto"/>
        <w:jc w:val="both"/>
        <w:rPr>
          <w:rFonts w:ascii="Arial" w:eastAsia="Times New Roman" w:hAnsi="Arial" w:cs="Arial"/>
          <w:sz w:val="24"/>
          <w:szCs w:val="24"/>
          <w:lang w:val="en-US"/>
        </w:rPr>
      </w:pPr>
    </w:p>
    <w:p w:rsidR="001937AF" w:rsidRPr="002D3BDB" w:rsidRDefault="004C5B55" w:rsidP="000C6A67">
      <w:pPr>
        <w:spacing w:after="0" w:line="240" w:lineRule="auto"/>
        <w:jc w:val="both"/>
        <w:rPr>
          <w:rFonts w:ascii="Arial" w:eastAsia="Times New Roman" w:hAnsi="Arial" w:cs="Arial"/>
          <w:sz w:val="24"/>
          <w:szCs w:val="24"/>
          <w:lang w:val="en-US"/>
        </w:rPr>
      </w:pPr>
      <w:r w:rsidRPr="002D3BDB">
        <w:rPr>
          <w:rFonts w:ascii="Arial" w:eastAsia="Times New Roman" w:hAnsi="Arial" w:cs="Arial"/>
          <w:sz w:val="24"/>
          <w:szCs w:val="24"/>
          <w:lang w:val="en-US"/>
        </w:rPr>
        <w:lastRenderedPageBreak/>
        <w:t xml:space="preserve">La nivel de județ, </w:t>
      </w:r>
      <w:r w:rsidR="004325BE">
        <w:rPr>
          <w:rFonts w:ascii="Arial" w:eastAsia="Times New Roman" w:hAnsi="Arial" w:cs="Arial"/>
          <w:sz w:val="24"/>
          <w:szCs w:val="24"/>
          <w:lang w:val="en-US"/>
        </w:rPr>
        <w:t>î</w:t>
      </w:r>
      <w:r w:rsidRPr="002D3BDB">
        <w:rPr>
          <w:rFonts w:ascii="Arial" w:eastAsia="Times New Roman" w:hAnsi="Arial" w:cs="Arial"/>
          <w:sz w:val="24"/>
          <w:szCs w:val="24"/>
          <w:lang w:val="en-US"/>
        </w:rPr>
        <w:t>n PLAI sunt necesar a fi analzați acești indicatori, pentru a scoate în evidență gradul lor de utilizare, nivelul lor de performanță în raport cu cerințele un</w:t>
      </w:r>
      <w:r w:rsidR="002F46B1">
        <w:rPr>
          <w:rFonts w:ascii="Arial" w:eastAsia="Times New Roman" w:hAnsi="Arial" w:cs="Arial"/>
          <w:sz w:val="24"/>
          <w:szCs w:val="24"/>
          <w:lang w:val="en-US"/>
        </w:rPr>
        <w:t xml:space="preserve">ei </w:t>
      </w:r>
      <w:r w:rsidRPr="002D3BDB">
        <w:rPr>
          <w:rFonts w:ascii="Arial" w:eastAsia="Times New Roman" w:hAnsi="Arial" w:cs="Arial"/>
          <w:sz w:val="24"/>
          <w:szCs w:val="24"/>
          <w:lang w:val="en-US"/>
        </w:rPr>
        <w:t xml:space="preserve">formări de calitate, adecvat nivelului de competivitate ale companiilor. </w:t>
      </w:r>
    </w:p>
    <w:p w:rsidR="00B4655E" w:rsidRDefault="00B4655E" w:rsidP="000C6A67">
      <w:pPr>
        <w:spacing w:after="0" w:line="240" w:lineRule="auto"/>
        <w:jc w:val="center"/>
        <w:rPr>
          <w:rFonts w:ascii="Arial" w:hAnsi="Arial" w:cs="Arial"/>
          <w:lang w:eastAsia="ro-RO"/>
        </w:rPr>
      </w:pPr>
    </w:p>
    <w:p w:rsidR="004C5B55" w:rsidRPr="00B4655E" w:rsidRDefault="002D3BDB" w:rsidP="000C6A67">
      <w:pPr>
        <w:spacing w:after="0" w:line="240" w:lineRule="auto"/>
        <w:jc w:val="center"/>
        <w:rPr>
          <w:rFonts w:ascii="Arial" w:hAnsi="Arial" w:cs="Arial"/>
          <w:lang w:eastAsia="ro-RO"/>
        </w:rPr>
      </w:pPr>
      <w:r w:rsidRPr="00B4655E">
        <w:rPr>
          <w:rFonts w:ascii="Arial" w:hAnsi="Arial" w:cs="Arial"/>
          <w:lang w:eastAsia="ro-RO"/>
        </w:rPr>
        <w:t>Tabel nr.1</w:t>
      </w:r>
      <w:r w:rsidR="001714CD" w:rsidRPr="00B4655E">
        <w:rPr>
          <w:rFonts w:ascii="Arial" w:hAnsi="Arial" w:cs="Arial"/>
          <w:lang w:eastAsia="ro-RO"/>
        </w:rPr>
        <w:t>6</w:t>
      </w:r>
      <w:r w:rsidRPr="00B4655E">
        <w:rPr>
          <w:rFonts w:ascii="Arial" w:hAnsi="Arial" w:cs="Arial"/>
          <w:lang w:eastAsia="ro-RO"/>
        </w:rPr>
        <w:t>.</w:t>
      </w:r>
    </w:p>
    <w:tbl>
      <w:tblPr>
        <w:tblW w:w="5000" w:type="pct"/>
        <w:tblLayout w:type="fixed"/>
        <w:tblLook w:val="04A0" w:firstRow="1" w:lastRow="0" w:firstColumn="1" w:lastColumn="0" w:noHBand="0" w:noVBand="1"/>
      </w:tblPr>
      <w:tblGrid>
        <w:gridCol w:w="1007"/>
        <w:gridCol w:w="902"/>
        <w:gridCol w:w="808"/>
        <w:gridCol w:w="812"/>
        <w:gridCol w:w="1354"/>
        <w:gridCol w:w="896"/>
        <w:gridCol w:w="1082"/>
        <w:gridCol w:w="1210"/>
        <w:gridCol w:w="1503"/>
      </w:tblGrid>
      <w:tr w:rsidR="004C5B55" w:rsidRPr="004C5B55" w:rsidTr="00D07B97">
        <w:trPr>
          <w:trHeight w:val="270"/>
        </w:trPr>
        <w:tc>
          <w:tcPr>
            <w:tcW w:w="526" w:type="pct"/>
            <w:vMerge w:val="restart"/>
            <w:tcBorders>
              <w:top w:val="single" w:sz="8" w:space="0" w:color="auto"/>
              <w:left w:val="single" w:sz="8" w:space="0" w:color="auto"/>
              <w:bottom w:val="single" w:sz="8" w:space="0" w:color="000000"/>
              <w:right w:val="single" w:sz="8" w:space="0" w:color="auto"/>
            </w:tcBorders>
            <w:shd w:val="clear" w:color="000000" w:fill="CCFFFF"/>
            <w:vAlign w:val="center"/>
            <w:hideMark/>
          </w:tcPr>
          <w:p w:rsidR="004C5B55" w:rsidRPr="001969D6" w:rsidRDefault="004C5B55" w:rsidP="000C6A67">
            <w:pPr>
              <w:spacing w:after="0" w:line="240" w:lineRule="auto"/>
              <w:ind w:firstLineChars="100" w:firstLine="201"/>
              <w:rPr>
                <w:rFonts w:ascii="Arial" w:eastAsia="Times New Roman" w:hAnsi="Arial" w:cs="Arial"/>
                <w:b/>
                <w:bCs/>
                <w:sz w:val="20"/>
                <w:szCs w:val="20"/>
                <w:lang w:val="en-US"/>
              </w:rPr>
            </w:pPr>
            <w:r w:rsidRPr="001969D6">
              <w:rPr>
                <w:rFonts w:ascii="Arial" w:eastAsia="Times New Roman" w:hAnsi="Arial" w:cs="Arial"/>
                <w:b/>
                <w:bCs/>
                <w:sz w:val="20"/>
                <w:szCs w:val="20"/>
                <w:lang w:val="en-US"/>
              </w:rPr>
              <w:t>REGIUNEA</w:t>
            </w:r>
            <w:r w:rsidRPr="001969D6">
              <w:rPr>
                <w:rFonts w:ascii="Arial" w:eastAsia="Times New Roman" w:hAnsi="Arial" w:cs="Arial"/>
                <w:b/>
                <w:bCs/>
                <w:sz w:val="20"/>
                <w:szCs w:val="20"/>
                <w:lang w:val="en-US"/>
              </w:rPr>
              <w:br/>
              <w:t>JUDETUL</w:t>
            </w:r>
            <w:r w:rsidRPr="001969D6">
              <w:rPr>
                <w:rFonts w:ascii="Arial" w:eastAsia="Times New Roman" w:hAnsi="Arial" w:cs="Arial"/>
                <w:b/>
                <w:bCs/>
                <w:sz w:val="20"/>
                <w:szCs w:val="20"/>
                <w:lang w:val="en-US"/>
              </w:rPr>
              <w:br/>
              <w:t>MEDIUL</w:t>
            </w:r>
          </w:p>
        </w:tc>
        <w:tc>
          <w:tcPr>
            <w:tcW w:w="3056" w:type="pct"/>
            <w:gridSpan w:val="6"/>
            <w:tcBorders>
              <w:top w:val="single" w:sz="8" w:space="0" w:color="auto"/>
              <w:left w:val="single" w:sz="8" w:space="0" w:color="auto"/>
              <w:bottom w:val="single" w:sz="4" w:space="0" w:color="auto"/>
              <w:right w:val="single" w:sz="8" w:space="0" w:color="000000"/>
            </w:tcBorders>
            <w:shd w:val="clear" w:color="000000" w:fill="CCFFFF"/>
            <w:noWrap/>
            <w:vAlign w:val="center"/>
            <w:hideMark/>
          </w:tcPr>
          <w:p w:rsidR="004C5B55" w:rsidRPr="001969D6" w:rsidRDefault="004C5B55" w:rsidP="000C6A67">
            <w:pPr>
              <w:spacing w:after="0" w:line="240" w:lineRule="auto"/>
              <w:jc w:val="center"/>
              <w:rPr>
                <w:rFonts w:ascii="Arial" w:eastAsia="Times New Roman" w:hAnsi="Arial" w:cs="Arial"/>
                <w:b/>
                <w:bCs/>
                <w:sz w:val="20"/>
                <w:szCs w:val="20"/>
                <w:lang w:val="en-US"/>
              </w:rPr>
            </w:pPr>
            <w:r w:rsidRPr="001969D6">
              <w:rPr>
                <w:rFonts w:ascii="Arial" w:eastAsia="Times New Roman" w:hAnsi="Arial" w:cs="Arial"/>
                <w:b/>
                <w:bCs/>
                <w:sz w:val="20"/>
                <w:szCs w:val="20"/>
                <w:lang w:val="en-US"/>
              </w:rPr>
              <w:t>PC (PERSONAL COMPUTERS)</w:t>
            </w:r>
          </w:p>
        </w:tc>
        <w:tc>
          <w:tcPr>
            <w:tcW w:w="1418" w:type="pct"/>
            <w:gridSpan w:val="2"/>
            <w:tcBorders>
              <w:top w:val="single" w:sz="8" w:space="0" w:color="auto"/>
              <w:left w:val="nil"/>
              <w:bottom w:val="single" w:sz="4" w:space="0" w:color="auto"/>
              <w:right w:val="single" w:sz="8" w:space="0" w:color="000000"/>
            </w:tcBorders>
            <w:shd w:val="clear" w:color="000000" w:fill="CCFFFF"/>
            <w:noWrap/>
            <w:vAlign w:val="center"/>
            <w:hideMark/>
          </w:tcPr>
          <w:p w:rsidR="004C5B55" w:rsidRPr="001969D6" w:rsidRDefault="004C5B55" w:rsidP="000C6A67">
            <w:pPr>
              <w:spacing w:after="0" w:line="240" w:lineRule="auto"/>
              <w:jc w:val="center"/>
              <w:rPr>
                <w:rFonts w:ascii="Arial" w:eastAsia="Times New Roman" w:hAnsi="Arial" w:cs="Arial"/>
                <w:b/>
                <w:bCs/>
                <w:sz w:val="20"/>
                <w:szCs w:val="20"/>
                <w:lang w:val="en-US"/>
              </w:rPr>
            </w:pPr>
            <w:r w:rsidRPr="001969D6">
              <w:rPr>
                <w:rFonts w:ascii="Arial" w:eastAsia="Times New Roman" w:hAnsi="Arial" w:cs="Arial"/>
                <w:b/>
                <w:bCs/>
                <w:sz w:val="20"/>
                <w:szCs w:val="20"/>
                <w:lang w:val="en-US"/>
              </w:rPr>
              <w:t>CONECTAREA LA INTERNET</w:t>
            </w:r>
          </w:p>
        </w:tc>
      </w:tr>
      <w:tr w:rsidR="004C5B55" w:rsidRPr="004C5B55" w:rsidTr="001969D6">
        <w:trPr>
          <w:trHeight w:val="255"/>
        </w:trPr>
        <w:tc>
          <w:tcPr>
            <w:tcW w:w="526" w:type="pct"/>
            <w:vMerge/>
            <w:tcBorders>
              <w:top w:val="single" w:sz="8" w:space="0" w:color="auto"/>
              <w:left w:val="single" w:sz="8" w:space="0" w:color="auto"/>
              <w:bottom w:val="single" w:sz="8" w:space="0" w:color="000000"/>
              <w:right w:val="single" w:sz="8" w:space="0" w:color="auto"/>
            </w:tcBorders>
            <w:vAlign w:val="center"/>
            <w:hideMark/>
          </w:tcPr>
          <w:p w:rsidR="004C5B55" w:rsidRPr="001969D6" w:rsidRDefault="004C5B55" w:rsidP="000C6A67">
            <w:pPr>
              <w:spacing w:after="0" w:line="240" w:lineRule="auto"/>
              <w:rPr>
                <w:rFonts w:ascii="Arial" w:eastAsia="Times New Roman" w:hAnsi="Arial" w:cs="Arial"/>
                <w:b/>
                <w:bCs/>
                <w:sz w:val="20"/>
                <w:szCs w:val="20"/>
                <w:lang w:val="en-US"/>
              </w:rPr>
            </w:pPr>
          </w:p>
        </w:tc>
        <w:tc>
          <w:tcPr>
            <w:tcW w:w="471" w:type="pct"/>
            <w:vMerge w:val="restart"/>
            <w:tcBorders>
              <w:top w:val="nil"/>
              <w:left w:val="single" w:sz="8" w:space="0" w:color="auto"/>
              <w:bottom w:val="single" w:sz="8" w:space="0" w:color="000000"/>
              <w:right w:val="single" w:sz="4" w:space="0" w:color="auto"/>
            </w:tcBorders>
            <w:shd w:val="clear" w:color="000000" w:fill="CCFFFF"/>
            <w:noWrap/>
            <w:textDirection w:val="btLr"/>
            <w:vAlign w:val="center"/>
            <w:hideMark/>
          </w:tcPr>
          <w:p w:rsidR="004C5B55" w:rsidRPr="001969D6" w:rsidRDefault="004C5B55" w:rsidP="001969D6">
            <w:pPr>
              <w:spacing w:after="0" w:line="240" w:lineRule="auto"/>
              <w:ind w:left="113" w:right="113"/>
              <w:jc w:val="center"/>
              <w:rPr>
                <w:rFonts w:ascii="Arial" w:eastAsia="Times New Roman" w:hAnsi="Arial" w:cs="Arial"/>
                <w:b/>
                <w:bCs/>
                <w:sz w:val="20"/>
                <w:szCs w:val="20"/>
                <w:lang w:val="en-US"/>
              </w:rPr>
            </w:pPr>
            <w:r w:rsidRPr="001969D6">
              <w:rPr>
                <w:rFonts w:ascii="Arial" w:eastAsia="Times New Roman" w:hAnsi="Arial" w:cs="Arial"/>
                <w:b/>
                <w:bCs/>
                <w:sz w:val="20"/>
                <w:szCs w:val="20"/>
                <w:lang w:val="en-US"/>
              </w:rPr>
              <w:t>TOTAL</w:t>
            </w:r>
          </w:p>
        </w:tc>
        <w:tc>
          <w:tcPr>
            <w:tcW w:w="2020" w:type="pct"/>
            <w:gridSpan w:val="4"/>
            <w:tcBorders>
              <w:top w:val="single" w:sz="4" w:space="0" w:color="auto"/>
              <w:left w:val="nil"/>
              <w:bottom w:val="single" w:sz="4" w:space="0" w:color="auto"/>
              <w:right w:val="single" w:sz="4" w:space="0" w:color="auto"/>
            </w:tcBorders>
            <w:shd w:val="clear" w:color="000000" w:fill="CCFFFF"/>
            <w:noWrap/>
            <w:vAlign w:val="center"/>
            <w:hideMark/>
          </w:tcPr>
          <w:p w:rsidR="004C5B55" w:rsidRPr="001969D6" w:rsidRDefault="004C5B55" w:rsidP="000C6A67">
            <w:pPr>
              <w:spacing w:after="0" w:line="240" w:lineRule="auto"/>
              <w:jc w:val="center"/>
              <w:rPr>
                <w:rFonts w:ascii="Arial" w:eastAsia="Times New Roman" w:hAnsi="Arial" w:cs="Arial"/>
                <w:b/>
                <w:bCs/>
                <w:sz w:val="20"/>
                <w:szCs w:val="20"/>
                <w:lang w:val="en-US"/>
              </w:rPr>
            </w:pPr>
            <w:r w:rsidRPr="001969D6">
              <w:rPr>
                <w:rFonts w:ascii="Arial" w:eastAsia="Times New Roman" w:hAnsi="Arial" w:cs="Arial"/>
                <w:b/>
                <w:bCs/>
                <w:sz w:val="20"/>
                <w:szCs w:val="20"/>
                <w:lang w:val="en-US"/>
              </w:rPr>
              <w:t>UTILIZATE IN:</w:t>
            </w:r>
          </w:p>
        </w:tc>
        <w:tc>
          <w:tcPr>
            <w:tcW w:w="565" w:type="pct"/>
            <w:vMerge w:val="restart"/>
            <w:tcBorders>
              <w:top w:val="nil"/>
              <w:left w:val="single" w:sz="4" w:space="0" w:color="auto"/>
              <w:bottom w:val="single" w:sz="8" w:space="0" w:color="000000"/>
              <w:right w:val="single" w:sz="8" w:space="0" w:color="auto"/>
            </w:tcBorders>
            <w:shd w:val="clear" w:color="000000" w:fill="CCFFFF"/>
            <w:textDirection w:val="btLr"/>
            <w:vAlign w:val="center"/>
            <w:hideMark/>
          </w:tcPr>
          <w:p w:rsidR="004C5B55" w:rsidRPr="001969D6" w:rsidRDefault="004C5B55" w:rsidP="00D07B97">
            <w:pPr>
              <w:spacing w:after="0" w:line="240" w:lineRule="auto"/>
              <w:ind w:left="113" w:right="113"/>
              <w:jc w:val="center"/>
              <w:rPr>
                <w:rFonts w:ascii="Arial" w:eastAsia="Times New Roman" w:hAnsi="Arial" w:cs="Arial"/>
                <w:b/>
                <w:bCs/>
                <w:sz w:val="16"/>
                <w:szCs w:val="16"/>
                <w:lang w:val="en-US"/>
              </w:rPr>
            </w:pPr>
            <w:r w:rsidRPr="001969D6">
              <w:rPr>
                <w:rFonts w:ascii="Arial" w:eastAsia="Times New Roman" w:hAnsi="Arial" w:cs="Arial"/>
                <w:b/>
                <w:bCs/>
                <w:sz w:val="16"/>
                <w:szCs w:val="16"/>
                <w:lang w:val="en-US"/>
              </w:rPr>
              <w:t>DIN CARE:</w:t>
            </w:r>
            <w:r w:rsidRPr="001969D6">
              <w:rPr>
                <w:rFonts w:ascii="Arial" w:eastAsia="Times New Roman" w:hAnsi="Arial" w:cs="Arial"/>
                <w:b/>
                <w:bCs/>
                <w:sz w:val="16"/>
                <w:szCs w:val="16"/>
                <w:lang w:val="en-US"/>
              </w:rPr>
              <w:br/>
              <w:t>CU</w:t>
            </w:r>
            <w:r w:rsidRPr="001969D6">
              <w:rPr>
                <w:rFonts w:ascii="Arial" w:eastAsia="Times New Roman" w:hAnsi="Arial" w:cs="Arial"/>
                <w:b/>
                <w:bCs/>
                <w:sz w:val="16"/>
                <w:szCs w:val="16"/>
                <w:lang w:val="en-US"/>
              </w:rPr>
              <w:br/>
              <w:t>CONECTARE</w:t>
            </w:r>
            <w:r w:rsidRPr="001969D6">
              <w:rPr>
                <w:rFonts w:ascii="Arial" w:eastAsia="Times New Roman" w:hAnsi="Arial" w:cs="Arial"/>
                <w:b/>
                <w:bCs/>
                <w:sz w:val="16"/>
                <w:szCs w:val="16"/>
                <w:lang w:val="en-US"/>
              </w:rPr>
              <w:br/>
              <w:t>LA RETEA</w:t>
            </w:r>
          </w:p>
        </w:tc>
        <w:tc>
          <w:tcPr>
            <w:tcW w:w="632" w:type="pct"/>
            <w:vMerge w:val="restart"/>
            <w:tcBorders>
              <w:top w:val="nil"/>
              <w:left w:val="nil"/>
              <w:bottom w:val="single" w:sz="8" w:space="0" w:color="000000"/>
              <w:right w:val="single" w:sz="4" w:space="0" w:color="auto"/>
            </w:tcBorders>
            <w:shd w:val="clear" w:color="000000" w:fill="CCFFFF"/>
            <w:textDirection w:val="btLr"/>
            <w:vAlign w:val="center"/>
            <w:hideMark/>
          </w:tcPr>
          <w:p w:rsidR="004C5B55" w:rsidRPr="001969D6" w:rsidRDefault="004C5B55" w:rsidP="00D07B97">
            <w:pPr>
              <w:spacing w:after="0" w:line="240" w:lineRule="auto"/>
              <w:ind w:left="113" w:right="113"/>
              <w:jc w:val="center"/>
              <w:rPr>
                <w:rFonts w:ascii="Arial" w:eastAsia="Times New Roman" w:hAnsi="Arial" w:cs="Arial"/>
                <w:b/>
                <w:bCs/>
                <w:sz w:val="16"/>
                <w:szCs w:val="16"/>
                <w:lang w:val="en-US"/>
              </w:rPr>
            </w:pPr>
            <w:r w:rsidRPr="001969D6">
              <w:rPr>
                <w:rFonts w:ascii="Arial" w:eastAsia="Times New Roman" w:hAnsi="Arial" w:cs="Arial"/>
                <w:b/>
                <w:bCs/>
                <w:sz w:val="16"/>
                <w:szCs w:val="16"/>
                <w:lang w:val="en-US"/>
              </w:rPr>
              <w:t xml:space="preserve">NUMAR DE </w:t>
            </w:r>
            <w:r w:rsidRPr="001969D6">
              <w:rPr>
                <w:rFonts w:ascii="Arial" w:eastAsia="Times New Roman" w:hAnsi="Arial" w:cs="Arial"/>
                <w:b/>
                <w:bCs/>
                <w:sz w:val="16"/>
                <w:szCs w:val="16"/>
                <w:lang w:val="en-US"/>
              </w:rPr>
              <w:br/>
              <w:t>UNITATI</w:t>
            </w:r>
            <w:r w:rsidRPr="001969D6">
              <w:rPr>
                <w:rFonts w:ascii="Arial" w:eastAsia="Times New Roman" w:hAnsi="Arial" w:cs="Arial"/>
                <w:b/>
                <w:bCs/>
                <w:sz w:val="16"/>
                <w:szCs w:val="16"/>
                <w:lang w:val="en-US"/>
              </w:rPr>
              <w:br/>
              <w:t>SCOLARE</w:t>
            </w:r>
            <w:r w:rsidRPr="001969D6">
              <w:rPr>
                <w:rFonts w:ascii="Arial" w:eastAsia="Times New Roman" w:hAnsi="Arial" w:cs="Arial"/>
                <w:b/>
                <w:bCs/>
                <w:sz w:val="16"/>
                <w:szCs w:val="16"/>
                <w:lang w:val="en-US"/>
              </w:rPr>
              <w:br/>
              <w:t>CONECTATE LA</w:t>
            </w:r>
            <w:r w:rsidRPr="001969D6">
              <w:rPr>
                <w:rFonts w:ascii="Arial" w:eastAsia="Times New Roman" w:hAnsi="Arial" w:cs="Arial"/>
                <w:b/>
                <w:bCs/>
                <w:sz w:val="16"/>
                <w:szCs w:val="16"/>
                <w:lang w:val="en-US"/>
              </w:rPr>
              <w:br/>
              <w:t>INTERNET</w:t>
            </w:r>
          </w:p>
        </w:tc>
        <w:tc>
          <w:tcPr>
            <w:tcW w:w="786" w:type="pct"/>
            <w:vMerge w:val="restart"/>
            <w:tcBorders>
              <w:top w:val="nil"/>
              <w:left w:val="single" w:sz="4" w:space="0" w:color="auto"/>
              <w:bottom w:val="single" w:sz="8" w:space="0" w:color="000000"/>
              <w:right w:val="single" w:sz="8" w:space="0" w:color="auto"/>
            </w:tcBorders>
            <w:shd w:val="clear" w:color="000000" w:fill="CCFFFF"/>
            <w:textDirection w:val="btLr"/>
            <w:vAlign w:val="center"/>
            <w:hideMark/>
          </w:tcPr>
          <w:p w:rsidR="004C5B55" w:rsidRPr="001969D6" w:rsidRDefault="004C5B55" w:rsidP="00D07B97">
            <w:pPr>
              <w:spacing w:after="0" w:line="240" w:lineRule="auto"/>
              <w:ind w:left="113" w:right="113"/>
              <w:jc w:val="center"/>
              <w:rPr>
                <w:rFonts w:ascii="Arial" w:eastAsia="Times New Roman" w:hAnsi="Arial" w:cs="Arial"/>
                <w:b/>
                <w:bCs/>
                <w:sz w:val="16"/>
                <w:szCs w:val="16"/>
                <w:lang w:val="en-US"/>
              </w:rPr>
            </w:pPr>
            <w:r w:rsidRPr="001969D6">
              <w:rPr>
                <w:rFonts w:ascii="Arial" w:eastAsia="Times New Roman" w:hAnsi="Arial" w:cs="Arial"/>
                <w:b/>
                <w:bCs/>
                <w:sz w:val="16"/>
                <w:szCs w:val="16"/>
                <w:lang w:val="en-US"/>
              </w:rPr>
              <w:t>NUMAR DE</w:t>
            </w:r>
            <w:r w:rsidRPr="001969D6">
              <w:rPr>
                <w:rFonts w:ascii="Arial" w:eastAsia="Times New Roman" w:hAnsi="Arial" w:cs="Arial"/>
                <w:b/>
                <w:bCs/>
                <w:sz w:val="16"/>
                <w:szCs w:val="16"/>
                <w:lang w:val="en-US"/>
              </w:rPr>
              <w:br/>
              <w:t>CALCULATOARE</w:t>
            </w:r>
            <w:r w:rsidRPr="001969D6">
              <w:rPr>
                <w:rFonts w:ascii="Arial" w:eastAsia="Times New Roman" w:hAnsi="Arial" w:cs="Arial"/>
                <w:b/>
                <w:bCs/>
                <w:sz w:val="16"/>
                <w:szCs w:val="16"/>
                <w:lang w:val="en-US"/>
              </w:rPr>
              <w:br/>
              <w:t>CONECTATE</w:t>
            </w:r>
            <w:r w:rsidRPr="001969D6">
              <w:rPr>
                <w:rFonts w:ascii="Arial" w:eastAsia="Times New Roman" w:hAnsi="Arial" w:cs="Arial"/>
                <w:b/>
                <w:bCs/>
                <w:sz w:val="16"/>
                <w:szCs w:val="16"/>
                <w:lang w:val="en-US"/>
              </w:rPr>
              <w:br/>
              <w:t>LA INTERNET</w:t>
            </w:r>
          </w:p>
        </w:tc>
      </w:tr>
      <w:tr w:rsidR="00D07B97" w:rsidRPr="004C5B55" w:rsidTr="00D07B97">
        <w:trPr>
          <w:trHeight w:val="255"/>
        </w:trPr>
        <w:tc>
          <w:tcPr>
            <w:tcW w:w="526" w:type="pct"/>
            <w:vMerge/>
            <w:tcBorders>
              <w:top w:val="single" w:sz="8" w:space="0" w:color="auto"/>
              <w:left w:val="single" w:sz="8" w:space="0" w:color="auto"/>
              <w:bottom w:val="single" w:sz="8" w:space="0" w:color="000000"/>
              <w:right w:val="single" w:sz="8" w:space="0" w:color="auto"/>
            </w:tcBorders>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471" w:type="pct"/>
            <w:vMerge/>
            <w:tcBorders>
              <w:top w:val="nil"/>
              <w:left w:val="single" w:sz="8" w:space="0" w:color="auto"/>
              <w:bottom w:val="single" w:sz="8" w:space="0" w:color="000000"/>
              <w:right w:val="single" w:sz="4" w:space="0" w:color="auto"/>
            </w:tcBorders>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1552" w:type="pct"/>
            <w:gridSpan w:val="3"/>
            <w:tcBorders>
              <w:top w:val="single" w:sz="4" w:space="0" w:color="auto"/>
              <w:left w:val="nil"/>
              <w:bottom w:val="single" w:sz="4" w:space="0" w:color="auto"/>
              <w:right w:val="single" w:sz="4" w:space="0" w:color="auto"/>
            </w:tcBorders>
            <w:shd w:val="clear" w:color="000000" w:fill="CCFFFF"/>
            <w:noWrap/>
            <w:vAlign w:val="center"/>
            <w:hideMark/>
          </w:tcPr>
          <w:p w:rsidR="004C5B55" w:rsidRPr="004C5B55" w:rsidRDefault="004C5B55" w:rsidP="000C6A67">
            <w:pPr>
              <w:spacing w:after="0" w:line="240" w:lineRule="auto"/>
              <w:jc w:val="center"/>
              <w:rPr>
                <w:rFonts w:ascii="Arial" w:eastAsia="Times New Roman" w:hAnsi="Arial" w:cs="Arial"/>
                <w:b/>
                <w:bCs/>
                <w:sz w:val="16"/>
                <w:szCs w:val="16"/>
                <w:lang w:val="en-US"/>
              </w:rPr>
            </w:pPr>
            <w:r w:rsidRPr="004C5B55">
              <w:rPr>
                <w:rFonts w:ascii="Arial" w:eastAsia="Times New Roman" w:hAnsi="Arial" w:cs="Arial"/>
                <w:b/>
                <w:bCs/>
                <w:sz w:val="16"/>
                <w:szCs w:val="16"/>
                <w:lang w:val="en-US"/>
              </w:rPr>
              <w:t>PROCESUL DE INVATAMANT</w:t>
            </w:r>
          </w:p>
        </w:tc>
        <w:tc>
          <w:tcPr>
            <w:tcW w:w="468" w:type="pct"/>
            <w:vMerge w:val="restart"/>
            <w:tcBorders>
              <w:top w:val="nil"/>
              <w:left w:val="single" w:sz="4" w:space="0" w:color="auto"/>
              <w:bottom w:val="single" w:sz="8" w:space="0" w:color="000000"/>
              <w:right w:val="single" w:sz="4" w:space="0" w:color="auto"/>
            </w:tcBorders>
            <w:shd w:val="clear" w:color="000000" w:fill="CCFFFF"/>
            <w:noWrap/>
            <w:textDirection w:val="btLr"/>
            <w:vAlign w:val="center"/>
            <w:hideMark/>
          </w:tcPr>
          <w:p w:rsidR="004C5B55" w:rsidRPr="004C5B55" w:rsidRDefault="004C5B55" w:rsidP="00D07B97">
            <w:pPr>
              <w:spacing w:after="0" w:line="240" w:lineRule="auto"/>
              <w:ind w:left="113" w:right="113"/>
              <w:jc w:val="center"/>
              <w:rPr>
                <w:rFonts w:ascii="Arial" w:eastAsia="Times New Roman" w:hAnsi="Arial" w:cs="Arial"/>
                <w:b/>
                <w:bCs/>
                <w:sz w:val="16"/>
                <w:szCs w:val="16"/>
                <w:lang w:val="en-US"/>
              </w:rPr>
            </w:pPr>
            <w:r w:rsidRPr="004C5B55">
              <w:rPr>
                <w:rFonts w:ascii="Arial" w:eastAsia="Times New Roman" w:hAnsi="Arial" w:cs="Arial"/>
                <w:b/>
                <w:bCs/>
                <w:sz w:val="16"/>
                <w:szCs w:val="16"/>
                <w:lang w:val="en-US"/>
              </w:rPr>
              <w:t>ADMINISTRATIE</w:t>
            </w:r>
          </w:p>
        </w:tc>
        <w:tc>
          <w:tcPr>
            <w:tcW w:w="565" w:type="pct"/>
            <w:vMerge/>
            <w:tcBorders>
              <w:top w:val="nil"/>
              <w:left w:val="single" w:sz="4" w:space="0" w:color="auto"/>
              <w:bottom w:val="single" w:sz="8" w:space="0" w:color="000000"/>
              <w:right w:val="single" w:sz="8" w:space="0" w:color="auto"/>
            </w:tcBorders>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632" w:type="pct"/>
            <w:vMerge/>
            <w:tcBorders>
              <w:top w:val="nil"/>
              <w:left w:val="nil"/>
              <w:bottom w:val="single" w:sz="8" w:space="0" w:color="000000"/>
              <w:right w:val="single" w:sz="4" w:space="0" w:color="auto"/>
            </w:tcBorders>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786" w:type="pct"/>
            <w:vMerge/>
            <w:tcBorders>
              <w:top w:val="nil"/>
              <w:left w:val="single" w:sz="4" w:space="0" w:color="auto"/>
              <w:bottom w:val="single" w:sz="8" w:space="0" w:color="000000"/>
              <w:right w:val="single" w:sz="8" w:space="0" w:color="auto"/>
            </w:tcBorders>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r>
      <w:tr w:rsidR="00D07B97" w:rsidRPr="004C5B55" w:rsidTr="001969D6">
        <w:trPr>
          <w:cantSplit/>
          <w:trHeight w:val="1398"/>
        </w:trPr>
        <w:tc>
          <w:tcPr>
            <w:tcW w:w="526" w:type="pct"/>
            <w:vMerge/>
            <w:tcBorders>
              <w:top w:val="single" w:sz="8" w:space="0" w:color="auto"/>
              <w:left w:val="single" w:sz="8" w:space="0" w:color="auto"/>
              <w:bottom w:val="single" w:sz="8" w:space="0" w:color="000000"/>
              <w:right w:val="single" w:sz="8" w:space="0" w:color="auto"/>
            </w:tcBorders>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471" w:type="pct"/>
            <w:vMerge/>
            <w:tcBorders>
              <w:top w:val="nil"/>
              <w:left w:val="single" w:sz="8" w:space="0" w:color="auto"/>
              <w:bottom w:val="single" w:sz="8" w:space="0" w:color="000000"/>
              <w:right w:val="single" w:sz="4" w:space="0" w:color="auto"/>
            </w:tcBorders>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422" w:type="pct"/>
            <w:tcBorders>
              <w:top w:val="nil"/>
              <w:left w:val="nil"/>
              <w:bottom w:val="single" w:sz="8" w:space="0" w:color="auto"/>
              <w:right w:val="single" w:sz="4" w:space="0" w:color="auto"/>
            </w:tcBorders>
            <w:shd w:val="clear" w:color="000000" w:fill="CCFFFF"/>
            <w:noWrap/>
            <w:textDirection w:val="btLr"/>
            <w:vAlign w:val="center"/>
            <w:hideMark/>
          </w:tcPr>
          <w:p w:rsidR="004C5B55" w:rsidRPr="004C5B55" w:rsidRDefault="004C5B55" w:rsidP="001969D6">
            <w:pPr>
              <w:spacing w:after="0" w:line="240" w:lineRule="auto"/>
              <w:ind w:left="113" w:right="113"/>
              <w:jc w:val="center"/>
              <w:rPr>
                <w:rFonts w:ascii="Arial" w:eastAsia="Times New Roman" w:hAnsi="Arial" w:cs="Arial"/>
                <w:b/>
                <w:bCs/>
                <w:sz w:val="16"/>
                <w:szCs w:val="16"/>
                <w:lang w:val="en-US"/>
              </w:rPr>
            </w:pPr>
            <w:r w:rsidRPr="004C5B55">
              <w:rPr>
                <w:rFonts w:ascii="Arial" w:eastAsia="Times New Roman" w:hAnsi="Arial" w:cs="Arial"/>
                <w:b/>
                <w:bCs/>
                <w:sz w:val="16"/>
                <w:szCs w:val="16"/>
                <w:lang w:val="en-US"/>
              </w:rPr>
              <w:t>TOTAL</w:t>
            </w:r>
          </w:p>
        </w:tc>
        <w:tc>
          <w:tcPr>
            <w:tcW w:w="424" w:type="pct"/>
            <w:tcBorders>
              <w:top w:val="nil"/>
              <w:left w:val="nil"/>
              <w:bottom w:val="single" w:sz="8" w:space="0" w:color="auto"/>
              <w:right w:val="single" w:sz="4" w:space="0" w:color="auto"/>
            </w:tcBorders>
            <w:shd w:val="clear" w:color="000000" w:fill="CCFFFF"/>
            <w:textDirection w:val="btLr"/>
            <w:vAlign w:val="center"/>
            <w:hideMark/>
          </w:tcPr>
          <w:p w:rsidR="004C5B55" w:rsidRPr="004C5B55" w:rsidRDefault="004C5B55" w:rsidP="001969D6">
            <w:pPr>
              <w:spacing w:after="0" w:line="240" w:lineRule="auto"/>
              <w:ind w:left="113" w:right="113"/>
              <w:jc w:val="center"/>
              <w:rPr>
                <w:rFonts w:ascii="Arial" w:eastAsia="Times New Roman" w:hAnsi="Arial" w:cs="Arial"/>
                <w:b/>
                <w:bCs/>
                <w:sz w:val="16"/>
                <w:szCs w:val="16"/>
                <w:lang w:val="en-US"/>
              </w:rPr>
            </w:pPr>
            <w:r w:rsidRPr="004C5B55">
              <w:rPr>
                <w:rFonts w:ascii="Arial" w:eastAsia="Times New Roman" w:hAnsi="Arial" w:cs="Arial"/>
                <w:b/>
                <w:bCs/>
                <w:sz w:val="16"/>
                <w:szCs w:val="16"/>
                <w:lang w:val="en-US"/>
              </w:rPr>
              <w:t xml:space="preserve">DE CATRE </w:t>
            </w:r>
            <w:r w:rsidRPr="004C5B55">
              <w:rPr>
                <w:rFonts w:ascii="Arial" w:eastAsia="Times New Roman" w:hAnsi="Arial" w:cs="Arial"/>
                <w:b/>
                <w:bCs/>
                <w:sz w:val="16"/>
                <w:szCs w:val="16"/>
                <w:lang w:val="en-US"/>
              </w:rPr>
              <w:br/>
              <w:t>ELEVI</w:t>
            </w:r>
          </w:p>
        </w:tc>
        <w:tc>
          <w:tcPr>
            <w:tcW w:w="707" w:type="pct"/>
            <w:tcBorders>
              <w:top w:val="nil"/>
              <w:left w:val="nil"/>
              <w:bottom w:val="single" w:sz="8" w:space="0" w:color="auto"/>
              <w:right w:val="single" w:sz="4" w:space="0" w:color="auto"/>
            </w:tcBorders>
            <w:shd w:val="clear" w:color="000000" w:fill="CCFFFF"/>
            <w:textDirection w:val="btLr"/>
            <w:vAlign w:val="center"/>
            <w:hideMark/>
          </w:tcPr>
          <w:p w:rsidR="004C5B55" w:rsidRPr="004C5B55" w:rsidRDefault="004C5B55" w:rsidP="001969D6">
            <w:pPr>
              <w:spacing w:after="0" w:line="240" w:lineRule="auto"/>
              <w:ind w:left="113" w:right="113"/>
              <w:jc w:val="center"/>
              <w:rPr>
                <w:rFonts w:ascii="Arial" w:eastAsia="Times New Roman" w:hAnsi="Arial" w:cs="Arial"/>
                <w:b/>
                <w:bCs/>
                <w:sz w:val="16"/>
                <w:szCs w:val="16"/>
                <w:lang w:val="en-US"/>
              </w:rPr>
            </w:pPr>
            <w:r w:rsidRPr="004C5B55">
              <w:rPr>
                <w:rFonts w:ascii="Arial" w:eastAsia="Times New Roman" w:hAnsi="Arial" w:cs="Arial"/>
                <w:b/>
                <w:bCs/>
                <w:sz w:val="16"/>
                <w:szCs w:val="16"/>
                <w:lang w:val="en-US"/>
              </w:rPr>
              <w:t>DE CATRE</w:t>
            </w:r>
            <w:r w:rsidRPr="004C5B55">
              <w:rPr>
                <w:rFonts w:ascii="Arial" w:eastAsia="Times New Roman" w:hAnsi="Arial" w:cs="Arial"/>
                <w:b/>
                <w:bCs/>
                <w:sz w:val="16"/>
                <w:szCs w:val="16"/>
                <w:lang w:val="en-US"/>
              </w:rPr>
              <w:br/>
              <w:t>PERSONALUL</w:t>
            </w:r>
            <w:r w:rsidRPr="004C5B55">
              <w:rPr>
                <w:rFonts w:ascii="Arial" w:eastAsia="Times New Roman" w:hAnsi="Arial" w:cs="Arial"/>
                <w:b/>
                <w:bCs/>
                <w:sz w:val="16"/>
                <w:szCs w:val="16"/>
                <w:lang w:val="en-US"/>
              </w:rPr>
              <w:br/>
              <w:t>DIDACTIC</w:t>
            </w:r>
          </w:p>
        </w:tc>
        <w:tc>
          <w:tcPr>
            <w:tcW w:w="468" w:type="pct"/>
            <w:vMerge/>
            <w:tcBorders>
              <w:top w:val="nil"/>
              <w:left w:val="single" w:sz="4" w:space="0" w:color="auto"/>
              <w:bottom w:val="single" w:sz="8" w:space="0" w:color="000000"/>
              <w:right w:val="single" w:sz="4" w:space="0" w:color="auto"/>
            </w:tcBorders>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565" w:type="pct"/>
            <w:vMerge/>
            <w:tcBorders>
              <w:top w:val="nil"/>
              <w:left w:val="single" w:sz="4" w:space="0" w:color="auto"/>
              <w:bottom w:val="single" w:sz="8" w:space="0" w:color="000000"/>
              <w:right w:val="single" w:sz="8" w:space="0" w:color="auto"/>
            </w:tcBorders>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632" w:type="pct"/>
            <w:vMerge/>
            <w:tcBorders>
              <w:top w:val="nil"/>
              <w:left w:val="nil"/>
              <w:bottom w:val="single" w:sz="8" w:space="0" w:color="000000"/>
              <w:right w:val="single" w:sz="4" w:space="0" w:color="auto"/>
            </w:tcBorders>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c>
          <w:tcPr>
            <w:tcW w:w="786" w:type="pct"/>
            <w:vMerge/>
            <w:tcBorders>
              <w:top w:val="nil"/>
              <w:left w:val="single" w:sz="4" w:space="0" w:color="auto"/>
              <w:bottom w:val="single" w:sz="8" w:space="0" w:color="000000"/>
              <w:right w:val="single" w:sz="8" w:space="0" w:color="auto"/>
            </w:tcBorders>
            <w:vAlign w:val="center"/>
            <w:hideMark/>
          </w:tcPr>
          <w:p w:rsidR="004C5B55" w:rsidRPr="004C5B55" w:rsidRDefault="004C5B55" w:rsidP="000C6A67">
            <w:pPr>
              <w:spacing w:after="0" w:line="240" w:lineRule="auto"/>
              <w:rPr>
                <w:rFonts w:ascii="Arial" w:eastAsia="Times New Roman" w:hAnsi="Arial" w:cs="Arial"/>
                <w:b/>
                <w:bCs/>
                <w:sz w:val="20"/>
                <w:szCs w:val="20"/>
                <w:lang w:val="en-US"/>
              </w:rPr>
            </w:pPr>
          </w:p>
        </w:tc>
      </w:tr>
      <w:tr w:rsidR="00D07B97" w:rsidRPr="004C5B55" w:rsidTr="001969D6">
        <w:trPr>
          <w:trHeight w:val="255"/>
        </w:trPr>
        <w:tc>
          <w:tcPr>
            <w:tcW w:w="526" w:type="pct"/>
            <w:tcBorders>
              <w:top w:val="nil"/>
              <w:left w:val="single" w:sz="8" w:space="0" w:color="auto"/>
              <w:bottom w:val="single" w:sz="4" w:space="0" w:color="auto"/>
              <w:right w:val="single" w:sz="8" w:space="0" w:color="auto"/>
            </w:tcBorders>
            <w:shd w:val="clear" w:color="auto" w:fill="auto"/>
            <w:hideMark/>
          </w:tcPr>
          <w:p w:rsidR="004C5B55" w:rsidRPr="00D07B97" w:rsidRDefault="004C5B55" w:rsidP="000C6A67">
            <w:pPr>
              <w:spacing w:after="0" w:line="240" w:lineRule="auto"/>
              <w:rPr>
                <w:rFonts w:ascii="Arial" w:eastAsia="Times New Roman" w:hAnsi="Arial" w:cs="Arial"/>
                <w:bCs/>
                <w:color w:val="C00000"/>
                <w:sz w:val="20"/>
                <w:szCs w:val="20"/>
                <w:lang w:val="en-US"/>
              </w:rPr>
            </w:pPr>
            <w:r w:rsidRPr="00D07B97">
              <w:rPr>
                <w:rFonts w:ascii="Arial" w:eastAsia="Times New Roman" w:hAnsi="Arial" w:cs="Arial"/>
                <w:bCs/>
                <w:color w:val="C00000"/>
                <w:sz w:val="20"/>
                <w:szCs w:val="20"/>
                <w:lang w:val="en-US"/>
              </w:rPr>
              <w:t>Vest</w:t>
            </w:r>
          </w:p>
        </w:tc>
        <w:tc>
          <w:tcPr>
            <w:tcW w:w="471" w:type="pct"/>
            <w:tcBorders>
              <w:top w:val="nil"/>
              <w:left w:val="single" w:sz="8" w:space="0" w:color="auto"/>
              <w:bottom w:val="single" w:sz="4" w:space="0" w:color="auto"/>
              <w:right w:val="single" w:sz="4" w:space="0" w:color="auto"/>
            </w:tcBorders>
            <w:shd w:val="clear" w:color="auto" w:fill="auto"/>
            <w:hideMark/>
          </w:tcPr>
          <w:p w:rsidR="004C5B55" w:rsidRPr="00D07B97" w:rsidRDefault="004C5B55" w:rsidP="000C6A67">
            <w:pPr>
              <w:spacing w:after="0" w:line="240" w:lineRule="auto"/>
              <w:jc w:val="right"/>
              <w:rPr>
                <w:rFonts w:ascii="Arial" w:eastAsia="Times New Roman" w:hAnsi="Arial" w:cs="Arial"/>
                <w:bCs/>
                <w:color w:val="C00000"/>
                <w:sz w:val="20"/>
                <w:szCs w:val="20"/>
                <w:lang w:val="en-US"/>
              </w:rPr>
            </w:pPr>
            <w:r w:rsidRPr="00D07B97">
              <w:rPr>
                <w:rFonts w:ascii="Arial" w:eastAsia="Times New Roman" w:hAnsi="Arial" w:cs="Arial"/>
                <w:bCs/>
                <w:color w:val="C00000"/>
                <w:sz w:val="20"/>
                <w:szCs w:val="20"/>
                <w:lang w:val="en-US"/>
              </w:rPr>
              <w:t>11472</w:t>
            </w:r>
          </w:p>
        </w:tc>
        <w:tc>
          <w:tcPr>
            <w:tcW w:w="422" w:type="pct"/>
            <w:tcBorders>
              <w:top w:val="nil"/>
              <w:left w:val="nil"/>
              <w:bottom w:val="single" w:sz="4" w:space="0" w:color="auto"/>
              <w:right w:val="single" w:sz="4" w:space="0" w:color="auto"/>
            </w:tcBorders>
            <w:shd w:val="clear" w:color="auto" w:fill="auto"/>
            <w:hideMark/>
          </w:tcPr>
          <w:p w:rsidR="004C5B55" w:rsidRPr="00D07B97" w:rsidRDefault="004C5B55" w:rsidP="000C6A67">
            <w:pPr>
              <w:spacing w:after="0" w:line="240" w:lineRule="auto"/>
              <w:jc w:val="right"/>
              <w:rPr>
                <w:rFonts w:ascii="Arial" w:eastAsia="Times New Roman" w:hAnsi="Arial" w:cs="Arial"/>
                <w:bCs/>
                <w:color w:val="C00000"/>
                <w:sz w:val="20"/>
                <w:szCs w:val="20"/>
                <w:lang w:val="en-US"/>
              </w:rPr>
            </w:pPr>
            <w:r w:rsidRPr="00D07B97">
              <w:rPr>
                <w:rFonts w:ascii="Arial" w:eastAsia="Times New Roman" w:hAnsi="Arial" w:cs="Arial"/>
                <w:bCs/>
                <w:color w:val="C00000"/>
                <w:sz w:val="20"/>
                <w:szCs w:val="20"/>
                <w:lang w:val="en-US"/>
              </w:rPr>
              <w:t>10254</w:t>
            </w:r>
          </w:p>
        </w:tc>
        <w:tc>
          <w:tcPr>
            <w:tcW w:w="424" w:type="pct"/>
            <w:tcBorders>
              <w:top w:val="nil"/>
              <w:left w:val="nil"/>
              <w:bottom w:val="single" w:sz="4" w:space="0" w:color="auto"/>
              <w:right w:val="single" w:sz="4" w:space="0" w:color="auto"/>
            </w:tcBorders>
            <w:shd w:val="clear" w:color="auto" w:fill="auto"/>
            <w:hideMark/>
          </w:tcPr>
          <w:p w:rsidR="004C5B55" w:rsidRPr="00D07B97" w:rsidRDefault="004C5B55" w:rsidP="000C6A67">
            <w:pPr>
              <w:spacing w:after="0" w:line="240" w:lineRule="auto"/>
              <w:jc w:val="right"/>
              <w:rPr>
                <w:rFonts w:ascii="Arial" w:eastAsia="Times New Roman" w:hAnsi="Arial" w:cs="Arial"/>
                <w:bCs/>
                <w:color w:val="C00000"/>
                <w:sz w:val="20"/>
                <w:szCs w:val="20"/>
                <w:lang w:val="en-US"/>
              </w:rPr>
            </w:pPr>
            <w:r w:rsidRPr="00D07B97">
              <w:rPr>
                <w:rFonts w:ascii="Arial" w:eastAsia="Times New Roman" w:hAnsi="Arial" w:cs="Arial"/>
                <w:bCs/>
                <w:color w:val="C00000"/>
                <w:sz w:val="20"/>
                <w:szCs w:val="20"/>
                <w:lang w:val="en-US"/>
              </w:rPr>
              <w:t>8866</w:t>
            </w:r>
          </w:p>
        </w:tc>
        <w:tc>
          <w:tcPr>
            <w:tcW w:w="707" w:type="pct"/>
            <w:tcBorders>
              <w:top w:val="nil"/>
              <w:left w:val="nil"/>
              <w:bottom w:val="single" w:sz="4" w:space="0" w:color="auto"/>
              <w:right w:val="single" w:sz="4" w:space="0" w:color="auto"/>
            </w:tcBorders>
            <w:shd w:val="clear" w:color="auto" w:fill="auto"/>
            <w:hideMark/>
          </w:tcPr>
          <w:p w:rsidR="004C5B55" w:rsidRPr="00D07B97" w:rsidRDefault="004C5B55" w:rsidP="000C6A67">
            <w:pPr>
              <w:spacing w:after="0" w:line="240" w:lineRule="auto"/>
              <w:jc w:val="right"/>
              <w:rPr>
                <w:rFonts w:ascii="Arial" w:eastAsia="Times New Roman" w:hAnsi="Arial" w:cs="Arial"/>
                <w:bCs/>
                <w:color w:val="C00000"/>
                <w:sz w:val="20"/>
                <w:szCs w:val="20"/>
                <w:lang w:val="en-US"/>
              </w:rPr>
            </w:pPr>
            <w:r w:rsidRPr="00D07B97">
              <w:rPr>
                <w:rFonts w:ascii="Arial" w:eastAsia="Times New Roman" w:hAnsi="Arial" w:cs="Arial"/>
                <w:bCs/>
                <w:color w:val="C00000"/>
                <w:sz w:val="20"/>
                <w:szCs w:val="20"/>
                <w:lang w:val="en-US"/>
              </w:rPr>
              <w:t>1388</w:t>
            </w:r>
          </w:p>
        </w:tc>
        <w:tc>
          <w:tcPr>
            <w:tcW w:w="468" w:type="pct"/>
            <w:tcBorders>
              <w:top w:val="nil"/>
              <w:left w:val="nil"/>
              <w:bottom w:val="single" w:sz="4" w:space="0" w:color="auto"/>
              <w:right w:val="single" w:sz="4" w:space="0" w:color="auto"/>
            </w:tcBorders>
            <w:shd w:val="clear" w:color="auto" w:fill="auto"/>
            <w:hideMark/>
          </w:tcPr>
          <w:p w:rsidR="004C5B55" w:rsidRPr="00D07B97" w:rsidRDefault="004C5B55" w:rsidP="000C6A67">
            <w:pPr>
              <w:spacing w:after="0" w:line="240" w:lineRule="auto"/>
              <w:jc w:val="right"/>
              <w:rPr>
                <w:rFonts w:ascii="Arial" w:eastAsia="Times New Roman" w:hAnsi="Arial" w:cs="Arial"/>
                <w:bCs/>
                <w:color w:val="C00000"/>
                <w:sz w:val="20"/>
                <w:szCs w:val="20"/>
                <w:lang w:val="en-US"/>
              </w:rPr>
            </w:pPr>
            <w:r w:rsidRPr="00D07B97">
              <w:rPr>
                <w:rFonts w:ascii="Arial" w:eastAsia="Times New Roman" w:hAnsi="Arial" w:cs="Arial"/>
                <w:bCs/>
                <w:color w:val="C00000"/>
                <w:sz w:val="20"/>
                <w:szCs w:val="20"/>
                <w:lang w:val="en-US"/>
              </w:rPr>
              <w:t>1218</w:t>
            </w:r>
          </w:p>
        </w:tc>
        <w:tc>
          <w:tcPr>
            <w:tcW w:w="565" w:type="pct"/>
            <w:tcBorders>
              <w:top w:val="nil"/>
              <w:left w:val="nil"/>
              <w:bottom w:val="single" w:sz="4" w:space="0" w:color="auto"/>
              <w:right w:val="single" w:sz="8" w:space="0" w:color="auto"/>
            </w:tcBorders>
            <w:shd w:val="clear" w:color="auto" w:fill="auto"/>
            <w:hideMark/>
          </w:tcPr>
          <w:p w:rsidR="004C5B55" w:rsidRPr="00D07B97" w:rsidRDefault="004C5B55" w:rsidP="000C6A67">
            <w:pPr>
              <w:spacing w:after="0" w:line="240" w:lineRule="auto"/>
              <w:jc w:val="right"/>
              <w:rPr>
                <w:rFonts w:ascii="Arial" w:eastAsia="Times New Roman" w:hAnsi="Arial" w:cs="Arial"/>
                <w:bCs/>
                <w:color w:val="C00000"/>
                <w:sz w:val="20"/>
                <w:szCs w:val="20"/>
                <w:lang w:val="en-US"/>
              </w:rPr>
            </w:pPr>
            <w:r w:rsidRPr="00D07B97">
              <w:rPr>
                <w:rFonts w:ascii="Arial" w:eastAsia="Times New Roman" w:hAnsi="Arial" w:cs="Arial"/>
                <w:bCs/>
                <w:color w:val="C00000"/>
                <w:sz w:val="20"/>
                <w:szCs w:val="20"/>
                <w:lang w:val="en-US"/>
              </w:rPr>
              <w:t>9617</w:t>
            </w:r>
          </w:p>
        </w:tc>
        <w:tc>
          <w:tcPr>
            <w:tcW w:w="632" w:type="pct"/>
            <w:tcBorders>
              <w:top w:val="nil"/>
              <w:left w:val="nil"/>
              <w:bottom w:val="single" w:sz="4" w:space="0" w:color="auto"/>
              <w:right w:val="single" w:sz="4" w:space="0" w:color="auto"/>
            </w:tcBorders>
            <w:shd w:val="clear" w:color="auto" w:fill="auto"/>
            <w:hideMark/>
          </w:tcPr>
          <w:p w:rsidR="004C5B55" w:rsidRPr="00D07B97" w:rsidRDefault="004C5B55" w:rsidP="000C6A67">
            <w:pPr>
              <w:spacing w:after="0" w:line="240" w:lineRule="auto"/>
              <w:jc w:val="right"/>
              <w:rPr>
                <w:rFonts w:ascii="Arial" w:eastAsia="Times New Roman" w:hAnsi="Arial" w:cs="Arial"/>
                <w:bCs/>
                <w:color w:val="C00000"/>
                <w:sz w:val="20"/>
                <w:szCs w:val="20"/>
                <w:lang w:val="en-US"/>
              </w:rPr>
            </w:pPr>
            <w:r w:rsidRPr="00D07B97">
              <w:rPr>
                <w:rFonts w:ascii="Arial" w:eastAsia="Times New Roman" w:hAnsi="Arial" w:cs="Arial"/>
                <w:bCs/>
                <w:color w:val="C00000"/>
                <w:sz w:val="20"/>
                <w:szCs w:val="20"/>
                <w:lang w:val="en-US"/>
              </w:rPr>
              <w:t>157</w:t>
            </w:r>
          </w:p>
        </w:tc>
        <w:tc>
          <w:tcPr>
            <w:tcW w:w="786" w:type="pct"/>
            <w:tcBorders>
              <w:top w:val="nil"/>
              <w:left w:val="nil"/>
              <w:bottom w:val="single" w:sz="4" w:space="0" w:color="auto"/>
              <w:right w:val="single" w:sz="8" w:space="0" w:color="auto"/>
            </w:tcBorders>
            <w:shd w:val="clear" w:color="auto" w:fill="auto"/>
            <w:hideMark/>
          </w:tcPr>
          <w:p w:rsidR="004C5B55" w:rsidRPr="00D07B97" w:rsidRDefault="004C5B55" w:rsidP="000C6A67">
            <w:pPr>
              <w:spacing w:after="0" w:line="240" w:lineRule="auto"/>
              <w:jc w:val="right"/>
              <w:rPr>
                <w:rFonts w:ascii="Arial" w:eastAsia="Times New Roman" w:hAnsi="Arial" w:cs="Arial"/>
                <w:bCs/>
                <w:color w:val="C00000"/>
                <w:sz w:val="20"/>
                <w:szCs w:val="20"/>
                <w:lang w:val="en-US"/>
              </w:rPr>
            </w:pPr>
            <w:r w:rsidRPr="00D07B97">
              <w:rPr>
                <w:rFonts w:ascii="Arial" w:eastAsia="Times New Roman" w:hAnsi="Arial" w:cs="Arial"/>
                <w:bCs/>
                <w:color w:val="C00000"/>
                <w:sz w:val="20"/>
                <w:szCs w:val="20"/>
                <w:lang w:val="en-US"/>
              </w:rPr>
              <w:t>10726</w:t>
            </w:r>
          </w:p>
        </w:tc>
      </w:tr>
      <w:tr w:rsidR="00D07B97" w:rsidRPr="004C5B55" w:rsidTr="001969D6">
        <w:trPr>
          <w:trHeight w:val="255"/>
        </w:trPr>
        <w:tc>
          <w:tcPr>
            <w:tcW w:w="526" w:type="pct"/>
            <w:tcBorders>
              <w:top w:val="nil"/>
              <w:left w:val="single" w:sz="8" w:space="0" w:color="auto"/>
              <w:bottom w:val="single" w:sz="4" w:space="0" w:color="auto"/>
              <w:right w:val="single" w:sz="8" w:space="0" w:color="auto"/>
            </w:tcBorders>
            <w:shd w:val="clear" w:color="auto" w:fill="auto"/>
            <w:hideMark/>
          </w:tcPr>
          <w:p w:rsidR="004C5B55" w:rsidRPr="004C5B55" w:rsidRDefault="004C5B55" w:rsidP="000C6A67">
            <w:pPr>
              <w:spacing w:after="0" w:line="240" w:lineRule="auto"/>
              <w:ind w:firstLineChars="100" w:firstLine="160"/>
              <w:rPr>
                <w:rFonts w:ascii="Arial" w:eastAsia="Times New Roman" w:hAnsi="Arial" w:cs="Arial"/>
                <w:color w:val="000000"/>
                <w:sz w:val="16"/>
                <w:szCs w:val="16"/>
                <w:lang w:val="en-US"/>
              </w:rPr>
            </w:pPr>
            <w:r w:rsidRPr="004C5B55">
              <w:rPr>
                <w:rFonts w:ascii="Arial" w:eastAsia="Times New Roman" w:hAnsi="Arial" w:cs="Arial"/>
                <w:color w:val="000000"/>
                <w:sz w:val="16"/>
                <w:szCs w:val="16"/>
                <w:lang w:val="en-US"/>
              </w:rPr>
              <w:t>URBAN</w:t>
            </w:r>
          </w:p>
        </w:tc>
        <w:tc>
          <w:tcPr>
            <w:tcW w:w="471" w:type="pct"/>
            <w:tcBorders>
              <w:top w:val="nil"/>
              <w:left w:val="single" w:sz="8" w:space="0" w:color="auto"/>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10634</w:t>
            </w:r>
          </w:p>
        </w:tc>
        <w:tc>
          <w:tcPr>
            <w:tcW w:w="42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9479</w:t>
            </w:r>
          </w:p>
        </w:tc>
        <w:tc>
          <w:tcPr>
            <w:tcW w:w="424"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8149</w:t>
            </w:r>
          </w:p>
        </w:tc>
        <w:tc>
          <w:tcPr>
            <w:tcW w:w="707"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1330</w:t>
            </w:r>
          </w:p>
        </w:tc>
        <w:tc>
          <w:tcPr>
            <w:tcW w:w="468"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1155</w:t>
            </w:r>
          </w:p>
        </w:tc>
        <w:tc>
          <w:tcPr>
            <w:tcW w:w="565"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8926</w:t>
            </w:r>
          </w:p>
        </w:tc>
        <w:tc>
          <w:tcPr>
            <w:tcW w:w="63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137</w:t>
            </w:r>
          </w:p>
        </w:tc>
        <w:tc>
          <w:tcPr>
            <w:tcW w:w="786"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10004</w:t>
            </w:r>
          </w:p>
        </w:tc>
      </w:tr>
      <w:tr w:rsidR="00D07B97" w:rsidRPr="004C5B55" w:rsidTr="001969D6">
        <w:trPr>
          <w:trHeight w:val="255"/>
        </w:trPr>
        <w:tc>
          <w:tcPr>
            <w:tcW w:w="526" w:type="pct"/>
            <w:tcBorders>
              <w:top w:val="nil"/>
              <w:left w:val="single" w:sz="8" w:space="0" w:color="auto"/>
              <w:bottom w:val="single" w:sz="4" w:space="0" w:color="auto"/>
              <w:right w:val="single" w:sz="8" w:space="0" w:color="auto"/>
            </w:tcBorders>
            <w:shd w:val="clear" w:color="auto" w:fill="auto"/>
            <w:hideMark/>
          </w:tcPr>
          <w:p w:rsidR="004C5B55" w:rsidRPr="004C5B55" w:rsidRDefault="004C5B55" w:rsidP="000C6A67">
            <w:pPr>
              <w:spacing w:after="0" w:line="240" w:lineRule="auto"/>
              <w:ind w:firstLineChars="100" w:firstLine="160"/>
              <w:rPr>
                <w:rFonts w:ascii="Arial" w:eastAsia="Times New Roman" w:hAnsi="Arial" w:cs="Arial"/>
                <w:color w:val="000000"/>
                <w:sz w:val="16"/>
                <w:szCs w:val="16"/>
                <w:lang w:val="en-US"/>
              </w:rPr>
            </w:pPr>
            <w:r w:rsidRPr="004C5B55">
              <w:rPr>
                <w:rFonts w:ascii="Arial" w:eastAsia="Times New Roman" w:hAnsi="Arial" w:cs="Arial"/>
                <w:color w:val="000000"/>
                <w:sz w:val="16"/>
                <w:szCs w:val="16"/>
                <w:lang w:val="en-US"/>
              </w:rPr>
              <w:t>RURAL</w:t>
            </w:r>
          </w:p>
        </w:tc>
        <w:tc>
          <w:tcPr>
            <w:tcW w:w="471" w:type="pct"/>
            <w:tcBorders>
              <w:top w:val="nil"/>
              <w:left w:val="single" w:sz="8" w:space="0" w:color="auto"/>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838</w:t>
            </w:r>
          </w:p>
        </w:tc>
        <w:tc>
          <w:tcPr>
            <w:tcW w:w="42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775</w:t>
            </w:r>
          </w:p>
        </w:tc>
        <w:tc>
          <w:tcPr>
            <w:tcW w:w="424"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717</w:t>
            </w:r>
          </w:p>
        </w:tc>
        <w:tc>
          <w:tcPr>
            <w:tcW w:w="707"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58</w:t>
            </w:r>
          </w:p>
        </w:tc>
        <w:tc>
          <w:tcPr>
            <w:tcW w:w="468"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63</w:t>
            </w:r>
          </w:p>
        </w:tc>
        <w:tc>
          <w:tcPr>
            <w:tcW w:w="565"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691</w:t>
            </w:r>
          </w:p>
        </w:tc>
        <w:tc>
          <w:tcPr>
            <w:tcW w:w="63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20</w:t>
            </w:r>
          </w:p>
        </w:tc>
        <w:tc>
          <w:tcPr>
            <w:tcW w:w="786"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722</w:t>
            </w:r>
          </w:p>
        </w:tc>
      </w:tr>
      <w:tr w:rsidR="00D07B97" w:rsidRPr="004C5B55" w:rsidTr="001969D6">
        <w:trPr>
          <w:trHeight w:val="255"/>
        </w:trPr>
        <w:tc>
          <w:tcPr>
            <w:tcW w:w="526" w:type="pct"/>
            <w:tcBorders>
              <w:top w:val="nil"/>
              <w:left w:val="single" w:sz="8" w:space="0" w:color="auto"/>
              <w:bottom w:val="single" w:sz="4" w:space="0" w:color="auto"/>
              <w:right w:val="single" w:sz="8" w:space="0" w:color="auto"/>
            </w:tcBorders>
            <w:shd w:val="clear" w:color="auto" w:fill="auto"/>
            <w:hideMark/>
          </w:tcPr>
          <w:p w:rsidR="004C5B55" w:rsidRPr="004C5B55" w:rsidRDefault="004C5B55" w:rsidP="000C6A67">
            <w:pPr>
              <w:spacing w:after="0" w:line="240" w:lineRule="auto"/>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Arad</w:t>
            </w:r>
          </w:p>
        </w:tc>
        <w:tc>
          <w:tcPr>
            <w:tcW w:w="471" w:type="pct"/>
            <w:tcBorders>
              <w:top w:val="nil"/>
              <w:left w:val="single" w:sz="8" w:space="0" w:color="auto"/>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2985</w:t>
            </w:r>
          </w:p>
        </w:tc>
        <w:tc>
          <w:tcPr>
            <w:tcW w:w="42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2695</w:t>
            </w:r>
          </w:p>
        </w:tc>
        <w:tc>
          <w:tcPr>
            <w:tcW w:w="424"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2383</w:t>
            </w:r>
          </w:p>
        </w:tc>
        <w:tc>
          <w:tcPr>
            <w:tcW w:w="707"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312</w:t>
            </w:r>
          </w:p>
        </w:tc>
        <w:tc>
          <w:tcPr>
            <w:tcW w:w="468"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290</w:t>
            </w:r>
          </w:p>
        </w:tc>
        <w:tc>
          <w:tcPr>
            <w:tcW w:w="565"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2389</w:t>
            </w:r>
          </w:p>
        </w:tc>
        <w:tc>
          <w:tcPr>
            <w:tcW w:w="63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39</w:t>
            </w:r>
          </w:p>
        </w:tc>
        <w:tc>
          <w:tcPr>
            <w:tcW w:w="786"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2822</w:t>
            </w:r>
          </w:p>
        </w:tc>
      </w:tr>
      <w:tr w:rsidR="00D07B97" w:rsidRPr="004C5B55" w:rsidTr="001969D6">
        <w:trPr>
          <w:trHeight w:val="255"/>
        </w:trPr>
        <w:tc>
          <w:tcPr>
            <w:tcW w:w="526" w:type="pct"/>
            <w:tcBorders>
              <w:top w:val="nil"/>
              <w:left w:val="single" w:sz="8" w:space="0" w:color="auto"/>
              <w:bottom w:val="single" w:sz="4" w:space="0" w:color="auto"/>
              <w:right w:val="single" w:sz="8" w:space="0" w:color="auto"/>
            </w:tcBorders>
            <w:shd w:val="clear" w:color="auto" w:fill="auto"/>
            <w:hideMark/>
          </w:tcPr>
          <w:p w:rsidR="004C5B55" w:rsidRPr="004C5B55" w:rsidRDefault="004C5B55" w:rsidP="000C6A67">
            <w:pPr>
              <w:spacing w:after="0" w:line="240" w:lineRule="auto"/>
              <w:ind w:firstLineChars="100" w:firstLine="160"/>
              <w:rPr>
                <w:rFonts w:ascii="Arial" w:eastAsia="Times New Roman" w:hAnsi="Arial" w:cs="Arial"/>
                <w:color w:val="000000"/>
                <w:sz w:val="16"/>
                <w:szCs w:val="16"/>
                <w:lang w:val="en-US"/>
              </w:rPr>
            </w:pPr>
            <w:r w:rsidRPr="004C5B55">
              <w:rPr>
                <w:rFonts w:ascii="Arial" w:eastAsia="Times New Roman" w:hAnsi="Arial" w:cs="Arial"/>
                <w:color w:val="000000"/>
                <w:sz w:val="16"/>
                <w:szCs w:val="16"/>
                <w:lang w:val="en-US"/>
              </w:rPr>
              <w:t>URBAN</w:t>
            </w:r>
          </w:p>
        </w:tc>
        <w:tc>
          <w:tcPr>
            <w:tcW w:w="471" w:type="pct"/>
            <w:tcBorders>
              <w:top w:val="nil"/>
              <w:left w:val="single" w:sz="8" w:space="0" w:color="auto"/>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2813</w:t>
            </w:r>
          </w:p>
        </w:tc>
        <w:tc>
          <w:tcPr>
            <w:tcW w:w="42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2537</w:t>
            </w:r>
          </w:p>
        </w:tc>
        <w:tc>
          <w:tcPr>
            <w:tcW w:w="424"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2233</w:t>
            </w:r>
          </w:p>
        </w:tc>
        <w:tc>
          <w:tcPr>
            <w:tcW w:w="707"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304</w:t>
            </w:r>
          </w:p>
        </w:tc>
        <w:tc>
          <w:tcPr>
            <w:tcW w:w="468"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276</w:t>
            </w:r>
          </w:p>
        </w:tc>
        <w:tc>
          <w:tcPr>
            <w:tcW w:w="565"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2309</w:t>
            </w:r>
          </w:p>
        </w:tc>
        <w:tc>
          <w:tcPr>
            <w:tcW w:w="63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36</w:t>
            </w:r>
          </w:p>
        </w:tc>
        <w:tc>
          <w:tcPr>
            <w:tcW w:w="786"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2729</w:t>
            </w:r>
          </w:p>
        </w:tc>
      </w:tr>
      <w:tr w:rsidR="00D07B97" w:rsidRPr="004C5B55" w:rsidTr="001969D6">
        <w:trPr>
          <w:trHeight w:val="255"/>
        </w:trPr>
        <w:tc>
          <w:tcPr>
            <w:tcW w:w="526" w:type="pct"/>
            <w:tcBorders>
              <w:top w:val="nil"/>
              <w:left w:val="single" w:sz="8" w:space="0" w:color="auto"/>
              <w:bottom w:val="single" w:sz="4" w:space="0" w:color="auto"/>
              <w:right w:val="single" w:sz="8" w:space="0" w:color="auto"/>
            </w:tcBorders>
            <w:shd w:val="clear" w:color="auto" w:fill="auto"/>
            <w:hideMark/>
          </w:tcPr>
          <w:p w:rsidR="004C5B55" w:rsidRPr="004C5B55" w:rsidRDefault="004C5B55" w:rsidP="000C6A67">
            <w:pPr>
              <w:spacing w:after="0" w:line="240" w:lineRule="auto"/>
              <w:ind w:firstLineChars="100" w:firstLine="160"/>
              <w:rPr>
                <w:rFonts w:ascii="Arial" w:eastAsia="Times New Roman" w:hAnsi="Arial" w:cs="Arial"/>
                <w:color w:val="000000"/>
                <w:sz w:val="16"/>
                <w:szCs w:val="16"/>
                <w:lang w:val="en-US"/>
              </w:rPr>
            </w:pPr>
            <w:r w:rsidRPr="004C5B55">
              <w:rPr>
                <w:rFonts w:ascii="Arial" w:eastAsia="Times New Roman" w:hAnsi="Arial" w:cs="Arial"/>
                <w:color w:val="000000"/>
                <w:sz w:val="16"/>
                <w:szCs w:val="16"/>
                <w:lang w:val="en-US"/>
              </w:rPr>
              <w:t>RURAL</w:t>
            </w:r>
          </w:p>
        </w:tc>
        <w:tc>
          <w:tcPr>
            <w:tcW w:w="471" w:type="pct"/>
            <w:tcBorders>
              <w:top w:val="nil"/>
              <w:left w:val="single" w:sz="8" w:space="0" w:color="auto"/>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172</w:t>
            </w:r>
          </w:p>
        </w:tc>
        <w:tc>
          <w:tcPr>
            <w:tcW w:w="42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158</w:t>
            </w:r>
          </w:p>
        </w:tc>
        <w:tc>
          <w:tcPr>
            <w:tcW w:w="424"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150</w:t>
            </w:r>
          </w:p>
        </w:tc>
        <w:tc>
          <w:tcPr>
            <w:tcW w:w="707"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8</w:t>
            </w:r>
          </w:p>
        </w:tc>
        <w:tc>
          <w:tcPr>
            <w:tcW w:w="468"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14</w:t>
            </w:r>
          </w:p>
        </w:tc>
        <w:tc>
          <w:tcPr>
            <w:tcW w:w="565"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80</w:t>
            </w:r>
          </w:p>
        </w:tc>
        <w:tc>
          <w:tcPr>
            <w:tcW w:w="63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w:t>
            </w:r>
          </w:p>
        </w:tc>
        <w:tc>
          <w:tcPr>
            <w:tcW w:w="786"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93</w:t>
            </w:r>
          </w:p>
        </w:tc>
      </w:tr>
      <w:tr w:rsidR="00D07B97" w:rsidRPr="004C5B55" w:rsidTr="001969D6">
        <w:trPr>
          <w:trHeight w:val="255"/>
        </w:trPr>
        <w:tc>
          <w:tcPr>
            <w:tcW w:w="526" w:type="pct"/>
            <w:tcBorders>
              <w:top w:val="nil"/>
              <w:left w:val="single" w:sz="8" w:space="0" w:color="auto"/>
              <w:bottom w:val="single" w:sz="4" w:space="0" w:color="auto"/>
              <w:right w:val="single" w:sz="8" w:space="0" w:color="auto"/>
            </w:tcBorders>
            <w:shd w:val="clear" w:color="auto" w:fill="auto"/>
            <w:hideMark/>
          </w:tcPr>
          <w:p w:rsidR="004C5B55" w:rsidRPr="004C5B55" w:rsidRDefault="004C5B55" w:rsidP="000C6A67">
            <w:pPr>
              <w:spacing w:after="0" w:line="240" w:lineRule="auto"/>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Caras-Severin</w:t>
            </w:r>
          </w:p>
        </w:tc>
        <w:tc>
          <w:tcPr>
            <w:tcW w:w="471" w:type="pct"/>
            <w:tcBorders>
              <w:top w:val="nil"/>
              <w:left w:val="single" w:sz="8" w:space="0" w:color="auto"/>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1635</w:t>
            </w:r>
          </w:p>
        </w:tc>
        <w:tc>
          <w:tcPr>
            <w:tcW w:w="42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1489</w:t>
            </w:r>
          </w:p>
        </w:tc>
        <w:tc>
          <w:tcPr>
            <w:tcW w:w="424"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1356</w:t>
            </w:r>
          </w:p>
        </w:tc>
        <w:tc>
          <w:tcPr>
            <w:tcW w:w="707"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133</w:t>
            </w:r>
          </w:p>
        </w:tc>
        <w:tc>
          <w:tcPr>
            <w:tcW w:w="468"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146</w:t>
            </w:r>
          </w:p>
        </w:tc>
        <w:tc>
          <w:tcPr>
            <w:tcW w:w="565"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1294</w:t>
            </w:r>
          </w:p>
        </w:tc>
        <w:tc>
          <w:tcPr>
            <w:tcW w:w="63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28</w:t>
            </w:r>
          </w:p>
        </w:tc>
        <w:tc>
          <w:tcPr>
            <w:tcW w:w="786"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1439</w:t>
            </w:r>
          </w:p>
        </w:tc>
      </w:tr>
      <w:tr w:rsidR="00D07B97" w:rsidRPr="004C5B55" w:rsidTr="001969D6">
        <w:trPr>
          <w:trHeight w:val="255"/>
        </w:trPr>
        <w:tc>
          <w:tcPr>
            <w:tcW w:w="526" w:type="pct"/>
            <w:tcBorders>
              <w:top w:val="nil"/>
              <w:left w:val="single" w:sz="8" w:space="0" w:color="auto"/>
              <w:bottom w:val="single" w:sz="4" w:space="0" w:color="auto"/>
              <w:right w:val="single" w:sz="8" w:space="0" w:color="auto"/>
            </w:tcBorders>
            <w:shd w:val="clear" w:color="auto" w:fill="auto"/>
            <w:hideMark/>
          </w:tcPr>
          <w:p w:rsidR="004C5B55" w:rsidRPr="004C5B55" w:rsidRDefault="004C5B55" w:rsidP="000C6A67">
            <w:pPr>
              <w:spacing w:after="0" w:line="240" w:lineRule="auto"/>
              <w:ind w:firstLineChars="100" w:firstLine="160"/>
              <w:rPr>
                <w:rFonts w:ascii="Arial" w:eastAsia="Times New Roman" w:hAnsi="Arial" w:cs="Arial"/>
                <w:color w:val="000000"/>
                <w:sz w:val="16"/>
                <w:szCs w:val="16"/>
                <w:lang w:val="en-US"/>
              </w:rPr>
            </w:pPr>
            <w:r w:rsidRPr="004C5B55">
              <w:rPr>
                <w:rFonts w:ascii="Arial" w:eastAsia="Times New Roman" w:hAnsi="Arial" w:cs="Arial"/>
                <w:color w:val="000000"/>
                <w:sz w:val="16"/>
                <w:szCs w:val="16"/>
                <w:lang w:val="en-US"/>
              </w:rPr>
              <w:t>URBAN</w:t>
            </w:r>
          </w:p>
        </w:tc>
        <w:tc>
          <w:tcPr>
            <w:tcW w:w="471" w:type="pct"/>
            <w:tcBorders>
              <w:top w:val="nil"/>
              <w:left w:val="single" w:sz="8" w:space="0" w:color="auto"/>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1483</w:t>
            </w:r>
          </w:p>
        </w:tc>
        <w:tc>
          <w:tcPr>
            <w:tcW w:w="42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1349</w:t>
            </w:r>
          </w:p>
        </w:tc>
        <w:tc>
          <w:tcPr>
            <w:tcW w:w="424"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1232</w:t>
            </w:r>
          </w:p>
        </w:tc>
        <w:tc>
          <w:tcPr>
            <w:tcW w:w="707"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117</w:t>
            </w:r>
          </w:p>
        </w:tc>
        <w:tc>
          <w:tcPr>
            <w:tcW w:w="468"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134</w:t>
            </w:r>
          </w:p>
        </w:tc>
        <w:tc>
          <w:tcPr>
            <w:tcW w:w="565"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1152</w:t>
            </w:r>
          </w:p>
        </w:tc>
        <w:tc>
          <w:tcPr>
            <w:tcW w:w="63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22</w:t>
            </w:r>
          </w:p>
        </w:tc>
        <w:tc>
          <w:tcPr>
            <w:tcW w:w="786"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1287</w:t>
            </w:r>
          </w:p>
        </w:tc>
      </w:tr>
      <w:tr w:rsidR="00D07B97" w:rsidRPr="004C5B55" w:rsidTr="001969D6">
        <w:trPr>
          <w:trHeight w:val="255"/>
        </w:trPr>
        <w:tc>
          <w:tcPr>
            <w:tcW w:w="526" w:type="pct"/>
            <w:tcBorders>
              <w:top w:val="nil"/>
              <w:left w:val="single" w:sz="8" w:space="0" w:color="auto"/>
              <w:bottom w:val="single" w:sz="4" w:space="0" w:color="auto"/>
              <w:right w:val="single" w:sz="8" w:space="0" w:color="auto"/>
            </w:tcBorders>
            <w:shd w:val="clear" w:color="auto" w:fill="auto"/>
            <w:hideMark/>
          </w:tcPr>
          <w:p w:rsidR="004C5B55" w:rsidRPr="004C5B55" w:rsidRDefault="004C5B55" w:rsidP="000C6A67">
            <w:pPr>
              <w:spacing w:after="0" w:line="240" w:lineRule="auto"/>
              <w:ind w:firstLineChars="100" w:firstLine="160"/>
              <w:rPr>
                <w:rFonts w:ascii="Arial" w:eastAsia="Times New Roman" w:hAnsi="Arial" w:cs="Arial"/>
                <w:color w:val="000000"/>
                <w:sz w:val="16"/>
                <w:szCs w:val="16"/>
                <w:lang w:val="en-US"/>
              </w:rPr>
            </w:pPr>
            <w:r w:rsidRPr="004C5B55">
              <w:rPr>
                <w:rFonts w:ascii="Arial" w:eastAsia="Times New Roman" w:hAnsi="Arial" w:cs="Arial"/>
                <w:color w:val="000000"/>
                <w:sz w:val="16"/>
                <w:szCs w:val="16"/>
                <w:lang w:val="en-US"/>
              </w:rPr>
              <w:t>RURAL</w:t>
            </w:r>
          </w:p>
        </w:tc>
        <w:tc>
          <w:tcPr>
            <w:tcW w:w="471" w:type="pct"/>
            <w:tcBorders>
              <w:top w:val="nil"/>
              <w:left w:val="single" w:sz="8" w:space="0" w:color="auto"/>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152</w:t>
            </w:r>
          </w:p>
        </w:tc>
        <w:tc>
          <w:tcPr>
            <w:tcW w:w="42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140</w:t>
            </w:r>
          </w:p>
        </w:tc>
        <w:tc>
          <w:tcPr>
            <w:tcW w:w="424"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124</w:t>
            </w:r>
          </w:p>
        </w:tc>
        <w:tc>
          <w:tcPr>
            <w:tcW w:w="707"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16</w:t>
            </w:r>
          </w:p>
        </w:tc>
        <w:tc>
          <w:tcPr>
            <w:tcW w:w="468"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12</w:t>
            </w:r>
          </w:p>
        </w:tc>
        <w:tc>
          <w:tcPr>
            <w:tcW w:w="565"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142</w:t>
            </w:r>
          </w:p>
        </w:tc>
        <w:tc>
          <w:tcPr>
            <w:tcW w:w="63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6</w:t>
            </w:r>
          </w:p>
        </w:tc>
        <w:tc>
          <w:tcPr>
            <w:tcW w:w="786"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152</w:t>
            </w:r>
          </w:p>
        </w:tc>
      </w:tr>
      <w:tr w:rsidR="00D07B97" w:rsidRPr="004C5B55" w:rsidTr="001969D6">
        <w:trPr>
          <w:trHeight w:val="255"/>
        </w:trPr>
        <w:tc>
          <w:tcPr>
            <w:tcW w:w="526" w:type="pct"/>
            <w:tcBorders>
              <w:top w:val="nil"/>
              <w:left w:val="single" w:sz="8" w:space="0" w:color="auto"/>
              <w:bottom w:val="single" w:sz="4" w:space="0" w:color="auto"/>
              <w:right w:val="single" w:sz="8" w:space="0" w:color="auto"/>
            </w:tcBorders>
            <w:shd w:val="clear" w:color="auto" w:fill="auto"/>
            <w:hideMark/>
          </w:tcPr>
          <w:p w:rsidR="004C5B55" w:rsidRPr="004C5B55" w:rsidRDefault="004C5B55" w:rsidP="000C6A67">
            <w:pPr>
              <w:spacing w:after="0" w:line="240" w:lineRule="auto"/>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Hunedoara</w:t>
            </w:r>
          </w:p>
        </w:tc>
        <w:tc>
          <w:tcPr>
            <w:tcW w:w="471" w:type="pct"/>
            <w:tcBorders>
              <w:top w:val="nil"/>
              <w:left w:val="single" w:sz="8" w:space="0" w:color="auto"/>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2521</w:t>
            </w:r>
          </w:p>
        </w:tc>
        <w:tc>
          <w:tcPr>
            <w:tcW w:w="42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2217</w:t>
            </w:r>
          </w:p>
        </w:tc>
        <w:tc>
          <w:tcPr>
            <w:tcW w:w="424"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1888</w:t>
            </w:r>
          </w:p>
        </w:tc>
        <w:tc>
          <w:tcPr>
            <w:tcW w:w="707"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329</w:t>
            </w:r>
          </w:p>
        </w:tc>
        <w:tc>
          <w:tcPr>
            <w:tcW w:w="468"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304</w:t>
            </w:r>
          </w:p>
        </w:tc>
        <w:tc>
          <w:tcPr>
            <w:tcW w:w="565"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2121</w:t>
            </w:r>
          </w:p>
        </w:tc>
        <w:tc>
          <w:tcPr>
            <w:tcW w:w="63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32</w:t>
            </w:r>
          </w:p>
        </w:tc>
        <w:tc>
          <w:tcPr>
            <w:tcW w:w="786"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2341</w:t>
            </w:r>
          </w:p>
        </w:tc>
      </w:tr>
      <w:tr w:rsidR="00D07B97" w:rsidRPr="004C5B55" w:rsidTr="001969D6">
        <w:trPr>
          <w:trHeight w:val="255"/>
        </w:trPr>
        <w:tc>
          <w:tcPr>
            <w:tcW w:w="526" w:type="pct"/>
            <w:tcBorders>
              <w:top w:val="nil"/>
              <w:left w:val="single" w:sz="8" w:space="0" w:color="auto"/>
              <w:bottom w:val="single" w:sz="4" w:space="0" w:color="auto"/>
              <w:right w:val="single" w:sz="8" w:space="0" w:color="auto"/>
            </w:tcBorders>
            <w:shd w:val="clear" w:color="auto" w:fill="auto"/>
            <w:hideMark/>
          </w:tcPr>
          <w:p w:rsidR="004C5B55" w:rsidRPr="004C5B55" w:rsidRDefault="004C5B55" w:rsidP="000C6A67">
            <w:pPr>
              <w:spacing w:after="0" w:line="240" w:lineRule="auto"/>
              <w:ind w:firstLineChars="100" w:firstLine="160"/>
              <w:rPr>
                <w:rFonts w:ascii="Arial" w:eastAsia="Times New Roman" w:hAnsi="Arial" w:cs="Arial"/>
                <w:color w:val="000000"/>
                <w:sz w:val="16"/>
                <w:szCs w:val="16"/>
                <w:lang w:val="en-US"/>
              </w:rPr>
            </w:pPr>
            <w:r w:rsidRPr="004C5B55">
              <w:rPr>
                <w:rFonts w:ascii="Arial" w:eastAsia="Times New Roman" w:hAnsi="Arial" w:cs="Arial"/>
                <w:color w:val="000000"/>
                <w:sz w:val="16"/>
                <w:szCs w:val="16"/>
                <w:lang w:val="en-US"/>
              </w:rPr>
              <w:t>URBAN</w:t>
            </w:r>
          </w:p>
        </w:tc>
        <w:tc>
          <w:tcPr>
            <w:tcW w:w="471" w:type="pct"/>
            <w:tcBorders>
              <w:top w:val="nil"/>
              <w:left w:val="single" w:sz="8" w:space="0" w:color="auto"/>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2361</w:t>
            </w:r>
          </w:p>
        </w:tc>
        <w:tc>
          <w:tcPr>
            <w:tcW w:w="42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2065</w:t>
            </w:r>
          </w:p>
        </w:tc>
        <w:tc>
          <w:tcPr>
            <w:tcW w:w="424"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1744</w:t>
            </w:r>
          </w:p>
        </w:tc>
        <w:tc>
          <w:tcPr>
            <w:tcW w:w="707"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321</w:t>
            </w:r>
          </w:p>
        </w:tc>
        <w:tc>
          <w:tcPr>
            <w:tcW w:w="468"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296</w:t>
            </w:r>
          </w:p>
        </w:tc>
        <w:tc>
          <w:tcPr>
            <w:tcW w:w="565"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1965</w:t>
            </w:r>
          </w:p>
        </w:tc>
        <w:tc>
          <w:tcPr>
            <w:tcW w:w="63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29</w:t>
            </w:r>
          </w:p>
        </w:tc>
        <w:tc>
          <w:tcPr>
            <w:tcW w:w="786"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2183</w:t>
            </w:r>
          </w:p>
        </w:tc>
      </w:tr>
      <w:tr w:rsidR="00D07B97" w:rsidRPr="004C5B55" w:rsidTr="001969D6">
        <w:trPr>
          <w:trHeight w:val="255"/>
        </w:trPr>
        <w:tc>
          <w:tcPr>
            <w:tcW w:w="526" w:type="pct"/>
            <w:tcBorders>
              <w:top w:val="nil"/>
              <w:left w:val="single" w:sz="8" w:space="0" w:color="auto"/>
              <w:bottom w:val="single" w:sz="4" w:space="0" w:color="auto"/>
              <w:right w:val="single" w:sz="8" w:space="0" w:color="auto"/>
            </w:tcBorders>
            <w:shd w:val="clear" w:color="auto" w:fill="auto"/>
            <w:hideMark/>
          </w:tcPr>
          <w:p w:rsidR="004C5B55" w:rsidRPr="004C5B55" w:rsidRDefault="004C5B55" w:rsidP="000C6A67">
            <w:pPr>
              <w:spacing w:after="0" w:line="240" w:lineRule="auto"/>
              <w:ind w:firstLineChars="100" w:firstLine="160"/>
              <w:rPr>
                <w:rFonts w:ascii="Arial" w:eastAsia="Times New Roman" w:hAnsi="Arial" w:cs="Arial"/>
                <w:color w:val="000000"/>
                <w:sz w:val="16"/>
                <w:szCs w:val="16"/>
                <w:lang w:val="en-US"/>
              </w:rPr>
            </w:pPr>
            <w:r w:rsidRPr="004C5B55">
              <w:rPr>
                <w:rFonts w:ascii="Arial" w:eastAsia="Times New Roman" w:hAnsi="Arial" w:cs="Arial"/>
                <w:color w:val="000000"/>
                <w:sz w:val="16"/>
                <w:szCs w:val="16"/>
                <w:lang w:val="en-US"/>
              </w:rPr>
              <w:t>RURAL</w:t>
            </w:r>
          </w:p>
        </w:tc>
        <w:tc>
          <w:tcPr>
            <w:tcW w:w="471" w:type="pct"/>
            <w:tcBorders>
              <w:top w:val="nil"/>
              <w:left w:val="single" w:sz="8" w:space="0" w:color="auto"/>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160</w:t>
            </w:r>
          </w:p>
        </w:tc>
        <w:tc>
          <w:tcPr>
            <w:tcW w:w="42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152</w:t>
            </w:r>
          </w:p>
        </w:tc>
        <w:tc>
          <w:tcPr>
            <w:tcW w:w="424"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144</w:t>
            </w:r>
          </w:p>
        </w:tc>
        <w:tc>
          <w:tcPr>
            <w:tcW w:w="707"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8</w:t>
            </w:r>
          </w:p>
        </w:tc>
        <w:tc>
          <w:tcPr>
            <w:tcW w:w="468"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8</w:t>
            </w:r>
          </w:p>
        </w:tc>
        <w:tc>
          <w:tcPr>
            <w:tcW w:w="565"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156</w:t>
            </w:r>
          </w:p>
        </w:tc>
        <w:tc>
          <w:tcPr>
            <w:tcW w:w="63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w:t>
            </w:r>
          </w:p>
        </w:tc>
        <w:tc>
          <w:tcPr>
            <w:tcW w:w="786"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158</w:t>
            </w:r>
          </w:p>
        </w:tc>
      </w:tr>
      <w:tr w:rsidR="00D07B97" w:rsidRPr="004C5B55" w:rsidTr="001969D6">
        <w:trPr>
          <w:trHeight w:val="255"/>
        </w:trPr>
        <w:tc>
          <w:tcPr>
            <w:tcW w:w="526" w:type="pct"/>
            <w:tcBorders>
              <w:top w:val="nil"/>
              <w:left w:val="single" w:sz="8" w:space="0" w:color="auto"/>
              <w:bottom w:val="single" w:sz="4" w:space="0" w:color="auto"/>
              <w:right w:val="single" w:sz="8" w:space="0" w:color="auto"/>
            </w:tcBorders>
            <w:shd w:val="clear" w:color="auto" w:fill="auto"/>
            <w:hideMark/>
          </w:tcPr>
          <w:p w:rsidR="004C5B55" w:rsidRPr="004C5B55" w:rsidRDefault="004C5B55" w:rsidP="000C6A67">
            <w:pPr>
              <w:spacing w:after="0" w:line="240" w:lineRule="auto"/>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Timis</w:t>
            </w:r>
          </w:p>
        </w:tc>
        <w:tc>
          <w:tcPr>
            <w:tcW w:w="471" w:type="pct"/>
            <w:tcBorders>
              <w:top w:val="nil"/>
              <w:left w:val="single" w:sz="8" w:space="0" w:color="auto"/>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4331</w:t>
            </w:r>
          </w:p>
        </w:tc>
        <w:tc>
          <w:tcPr>
            <w:tcW w:w="42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3853</w:t>
            </w:r>
          </w:p>
        </w:tc>
        <w:tc>
          <w:tcPr>
            <w:tcW w:w="424"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3239</w:t>
            </w:r>
          </w:p>
        </w:tc>
        <w:tc>
          <w:tcPr>
            <w:tcW w:w="707"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614</w:t>
            </w:r>
          </w:p>
        </w:tc>
        <w:tc>
          <w:tcPr>
            <w:tcW w:w="468"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478</w:t>
            </w:r>
          </w:p>
        </w:tc>
        <w:tc>
          <w:tcPr>
            <w:tcW w:w="565"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3813</w:t>
            </w:r>
          </w:p>
        </w:tc>
        <w:tc>
          <w:tcPr>
            <w:tcW w:w="63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58</w:t>
            </w:r>
          </w:p>
        </w:tc>
        <w:tc>
          <w:tcPr>
            <w:tcW w:w="786"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4124</w:t>
            </w:r>
          </w:p>
        </w:tc>
      </w:tr>
      <w:tr w:rsidR="00D07B97" w:rsidRPr="004C5B55" w:rsidTr="001969D6">
        <w:trPr>
          <w:trHeight w:val="255"/>
        </w:trPr>
        <w:tc>
          <w:tcPr>
            <w:tcW w:w="526" w:type="pct"/>
            <w:tcBorders>
              <w:top w:val="nil"/>
              <w:left w:val="single" w:sz="8" w:space="0" w:color="auto"/>
              <w:bottom w:val="single" w:sz="4" w:space="0" w:color="auto"/>
              <w:right w:val="single" w:sz="8" w:space="0" w:color="auto"/>
            </w:tcBorders>
            <w:shd w:val="clear" w:color="auto" w:fill="auto"/>
            <w:hideMark/>
          </w:tcPr>
          <w:p w:rsidR="004C5B55" w:rsidRPr="004C5B55" w:rsidRDefault="004C5B55" w:rsidP="000C6A67">
            <w:pPr>
              <w:spacing w:after="0" w:line="240" w:lineRule="auto"/>
              <w:ind w:firstLineChars="100" w:firstLine="160"/>
              <w:rPr>
                <w:rFonts w:ascii="Arial" w:eastAsia="Times New Roman" w:hAnsi="Arial" w:cs="Arial"/>
                <w:color w:val="000000"/>
                <w:sz w:val="16"/>
                <w:szCs w:val="16"/>
                <w:lang w:val="en-US"/>
              </w:rPr>
            </w:pPr>
            <w:r w:rsidRPr="004C5B55">
              <w:rPr>
                <w:rFonts w:ascii="Arial" w:eastAsia="Times New Roman" w:hAnsi="Arial" w:cs="Arial"/>
                <w:color w:val="000000"/>
                <w:sz w:val="16"/>
                <w:szCs w:val="16"/>
                <w:lang w:val="en-US"/>
              </w:rPr>
              <w:t>URBAN</w:t>
            </w:r>
          </w:p>
        </w:tc>
        <w:tc>
          <w:tcPr>
            <w:tcW w:w="471" w:type="pct"/>
            <w:tcBorders>
              <w:top w:val="nil"/>
              <w:left w:val="single" w:sz="8" w:space="0" w:color="auto"/>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3977</w:t>
            </w:r>
          </w:p>
        </w:tc>
        <w:tc>
          <w:tcPr>
            <w:tcW w:w="42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3528</w:t>
            </w:r>
          </w:p>
        </w:tc>
        <w:tc>
          <w:tcPr>
            <w:tcW w:w="424"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2940</w:t>
            </w:r>
          </w:p>
        </w:tc>
        <w:tc>
          <w:tcPr>
            <w:tcW w:w="707"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588</w:t>
            </w:r>
          </w:p>
        </w:tc>
        <w:tc>
          <w:tcPr>
            <w:tcW w:w="468"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449</w:t>
            </w:r>
          </w:p>
        </w:tc>
        <w:tc>
          <w:tcPr>
            <w:tcW w:w="565"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3500</w:t>
            </w:r>
          </w:p>
        </w:tc>
        <w:tc>
          <w:tcPr>
            <w:tcW w:w="632" w:type="pct"/>
            <w:tcBorders>
              <w:top w:val="nil"/>
              <w:left w:val="nil"/>
              <w:bottom w:val="single" w:sz="4"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50</w:t>
            </w:r>
          </w:p>
        </w:tc>
        <w:tc>
          <w:tcPr>
            <w:tcW w:w="786" w:type="pct"/>
            <w:tcBorders>
              <w:top w:val="nil"/>
              <w:left w:val="nil"/>
              <w:bottom w:val="single" w:sz="4"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3805</w:t>
            </w:r>
          </w:p>
        </w:tc>
      </w:tr>
      <w:tr w:rsidR="00D07B97" w:rsidRPr="004C5B55" w:rsidTr="001969D6">
        <w:trPr>
          <w:trHeight w:val="255"/>
        </w:trPr>
        <w:tc>
          <w:tcPr>
            <w:tcW w:w="526" w:type="pct"/>
            <w:tcBorders>
              <w:top w:val="nil"/>
              <w:left w:val="single" w:sz="8" w:space="0" w:color="auto"/>
              <w:bottom w:val="single" w:sz="8" w:space="0" w:color="auto"/>
              <w:right w:val="single" w:sz="8" w:space="0" w:color="auto"/>
            </w:tcBorders>
            <w:shd w:val="clear" w:color="auto" w:fill="auto"/>
            <w:hideMark/>
          </w:tcPr>
          <w:p w:rsidR="004C5B55" w:rsidRPr="004C5B55" w:rsidRDefault="004C5B55" w:rsidP="000C6A67">
            <w:pPr>
              <w:spacing w:after="0" w:line="240" w:lineRule="auto"/>
              <w:ind w:firstLineChars="100" w:firstLine="160"/>
              <w:rPr>
                <w:rFonts w:ascii="Arial" w:eastAsia="Times New Roman" w:hAnsi="Arial" w:cs="Arial"/>
                <w:color w:val="000000"/>
                <w:sz w:val="16"/>
                <w:szCs w:val="16"/>
                <w:lang w:val="en-US"/>
              </w:rPr>
            </w:pPr>
            <w:r w:rsidRPr="004C5B55">
              <w:rPr>
                <w:rFonts w:ascii="Arial" w:eastAsia="Times New Roman" w:hAnsi="Arial" w:cs="Arial"/>
                <w:color w:val="000000"/>
                <w:sz w:val="16"/>
                <w:szCs w:val="16"/>
                <w:lang w:val="en-US"/>
              </w:rPr>
              <w:t>RURAL</w:t>
            </w:r>
          </w:p>
        </w:tc>
        <w:tc>
          <w:tcPr>
            <w:tcW w:w="471" w:type="pct"/>
            <w:tcBorders>
              <w:top w:val="nil"/>
              <w:left w:val="single" w:sz="8" w:space="0" w:color="auto"/>
              <w:bottom w:val="single" w:sz="8"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354</w:t>
            </w:r>
          </w:p>
        </w:tc>
        <w:tc>
          <w:tcPr>
            <w:tcW w:w="422" w:type="pct"/>
            <w:tcBorders>
              <w:top w:val="nil"/>
              <w:left w:val="nil"/>
              <w:bottom w:val="single" w:sz="8"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325</w:t>
            </w:r>
          </w:p>
        </w:tc>
        <w:tc>
          <w:tcPr>
            <w:tcW w:w="424" w:type="pct"/>
            <w:tcBorders>
              <w:top w:val="nil"/>
              <w:left w:val="nil"/>
              <w:bottom w:val="single" w:sz="8"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299</w:t>
            </w:r>
          </w:p>
        </w:tc>
        <w:tc>
          <w:tcPr>
            <w:tcW w:w="707" w:type="pct"/>
            <w:tcBorders>
              <w:top w:val="nil"/>
              <w:left w:val="nil"/>
              <w:bottom w:val="single" w:sz="8"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26</w:t>
            </w:r>
          </w:p>
        </w:tc>
        <w:tc>
          <w:tcPr>
            <w:tcW w:w="468" w:type="pct"/>
            <w:tcBorders>
              <w:top w:val="nil"/>
              <w:left w:val="nil"/>
              <w:bottom w:val="single" w:sz="8"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29</w:t>
            </w:r>
          </w:p>
        </w:tc>
        <w:tc>
          <w:tcPr>
            <w:tcW w:w="565" w:type="pct"/>
            <w:tcBorders>
              <w:top w:val="nil"/>
              <w:left w:val="nil"/>
              <w:bottom w:val="single" w:sz="8"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313</w:t>
            </w:r>
          </w:p>
        </w:tc>
        <w:tc>
          <w:tcPr>
            <w:tcW w:w="632" w:type="pct"/>
            <w:tcBorders>
              <w:top w:val="nil"/>
              <w:left w:val="nil"/>
              <w:bottom w:val="single" w:sz="8" w:space="0" w:color="auto"/>
              <w:right w:val="single" w:sz="4"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8</w:t>
            </w:r>
          </w:p>
        </w:tc>
        <w:tc>
          <w:tcPr>
            <w:tcW w:w="786" w:type="pct"/>
            <w:tcBorders>
              <w:top w:val="nil"/>
              <w:left w:val="nil"/>
              <w:bottom w:val="single" w:sz="8" w:space="0" w:color="auto"/>
              <w:right w:val="single" w:sz="8" w:space="0" w:color="auto"/>
            </w:tcBorders>
            <w:shd w:val="clear" w:color="auto" w:fill="auto"/>
            <w:hideMark/>
          </w:tcPr>
          <w:p w:rsidR="004C5B55" w:rsidRPr="004C5B55" w:rsidRDefault="004C5B55" w:rsidP="000C6A67">
            <w:pPr>
              <w:spacing w:after="0" w:line="240" w:lineRule="auto"/>
              <w:jc w:val="right"/>
              <w:rPr>
                <w:rFonts w:ascii="Arial" w:eastAsia="Times New Roman" w:hAnsi="Arial" w:cs="Arial"/>
                <w:color w:val="000000"/>
                <w:sz w:val="20"/>
                <w:szCs w:val="20"/>
                <w:lang w:val="en-US"/>
              </w:rPr>
            </w:pPr>
            <w:r w:rsidRPr="004C5B55">
              <w:rPr>
                <w:rFonts w:ascii="Arial" w:eastAsia="Times New Roman" w:hAnsi="Arial" w:cs="Arial"/>
                <w:color w:val="000000"/>
                <w:sz w:val="20"/>
                <w:szCs w:val="20"/>
                <w:lang w:val="en-US"/>
              </w:rPr>
              <w:t>319</w:t>
            </w:r>
          </w:p>
        </w:tc>
      </w:tr>
    </w:tbl>
    <w:p w:rsidR="004C5B55" w:rsidRPr="004C5B55" w:rsidRDefault="004C5B55" w:rsidP="000C6A67">
      <w:pPr>
        <w:spacing w:after="0" w:line="240" w:lineRule="auto"/>
        <w:jc w:val="center"/>
        <w:rPr>
          <w:rFonts w:ascii="Arial" w:hAnsi="Arial" w:cs="Arial"/>
          <w:lang w:eastAsia="ro-RO"/>
        </w:rPr>
      </w:pPr>
      <w:r w:rsidRPr="004C5B55">
        <w:rPr>
          <w:rFonts w:ascii="Arial" w:hAnsi="Arial" w:cs="Arial"/>
          <w:lang w:eastAsia="ro-RO"/>
        </w:rPr>
        <w:t>Sursa datelor: INS Statistica educaţiei "ÎNVĂŢĂMÂNTUL LICEAL LA ÎNCEPUTUL</w:t>
      </w:r>
    </w:p>
    <w:p w:rsidR="004C5B55" w:rsidRPr="004C5B55" w:rsidRDefault="004C5B55" w:rsidP="000C6A67">
      <w:pPr>
        <w:spacing w:after="0" w:line="240" w:lineRule="auto"/>
        <w:jc w:val="center"/>
        <w:rPr>
          <w:rFonts w:ascii="Arial" w:hAnsi="Arial" w:cs="Arial"/>
          <w:lang w:eastAsia="ro-RO"/>
        </w:rPr>
      </w:pPr>
      <w:r w:rsidRPr="004C5B55">
        <w:rPr>
          <w:rFonts w:ascii="Arial" w:hAnsi="Arial" w:cs="Arial"/>
          <w:lang w:eastAsia="ro-RO"/>
        </w:rPr>
        <w:t>ANULUI ŞCOLAR 2015 – 2016"</w:t>
      </w:r>
    </w:p>
    <w:p w:rsidR="004C5B55" w:rsidRPr="001937AF" w:rsidRDefault="004C5B55" w:rsidP="000C6A67">
      <w:pPr>
        <w:spacing w:after="0" w:line="240" w:lineRule="auto"/>
        <w:jc w:val="both"/>
        <w:rPr>
          <w:rFonts w:ascii="Arial" w:hAnsi="Arial" w:cs="Arial"/>
          <w:sz w:val="24"/>
          <w:szCs w:val="24"/>
          <w:lang w:eastAsia="ro-RO"/>
        </w:rPr>
      </w:pPr>
    </w:p>
    <w:p w:rsidR="00B330F5" w:rsidRDefault="00FE3CCA" w:rsidP="000C6A67">
      <w:pPr>
        <w:pStyle w:val="Heading3"/>
        <w:spacing w:before="0" w:line="240" w:lineRule="auto"/>
        <w:jc w:val="both"/>
        <w:rPr>
          <w:rFonts w:ascii="Arial" w:eastAsia="Times New Roman" w:hAnsi="Arial" w:cs="Arial"/>
          <w:b w:val="0"/>
          <w:bCs w:val="0"/>
          <w:color w:val="auto"/>
          <w:sz w:val="24"/>
          <w:szCs w:val="24"/>
          <w:lang w:val="en-US"/>
        </w:rPr>
      </w:pPr>
      <w:bookmarkStart w:id="98" w:name="_Toc488066068"/>
      <w:bookmarkStart w:id="99" w:name="_Toc487475184"/>
      <w:r w:rsidRPr="0088684F">
        <w:rPr>
          <w:rFonts w:ascii="Arial" w:eastAsia="Times New Roman" w:hAnsi="Arial" w:cs="Arial"/>
          <w:b w:val="0"/>
          <w:bCs w:val="0"/>
          <w:i/>
          <w:color w:val="auto"/>
          <w:sz w:val="24"/>
          <w:szCs w:val="24"/>
          <w:lang w:val="en-US"/>
        </w:rPr>
        <w:t>6.1</w:t>
      </w:r>
      <w:r w:rsidR="00A05609" w:rsidRPr="0088684F">
        <w:rPr>
          <w:rFonts w:ascii="Arial" w:eastAsia="Times New Roman" w:hAnsi="Arial" w:cs="Arial"/>
          <w:b w:val="0"/>
          <w:bCs w:val="0"/>
          <w:i/>
          <w:color w:val="auto"/>
          <w:sz w:val="24"/>
          <w:szCs w:val="24"/>
          <w:lang w:val="en-US"/>
        </w:rPr>
        <w:t>.14</w:t>
      </w:r>
      <w:r w:rsidR="00406DCE" w:rsidRPr="0088684F">
        <w:rPr>
          <w:rFonts w:ascii="Arial" w:eastAsia="Times New Roman" w:hAnsi="Arial" w:cs="Arial"/>
          <w:b w:val="0"/>
          <w:bCs w:val="0"/>
          <w:i/>
          <w:color w:val="auto"/>
          <w:sz w:val="24"/>
          <w:szCs w:val="24"/>
          <w:lang w:val="en-US"/>
        </w:rPr>
        <w:t>. Cheltuieli publice pentru educaţie</w:t>
      </w:r>
      <w:r w:rsidR="00B91DE3" w:rsidRPr="0088684F">
        <w:rPr>
          <w:rFonts w:eastAsia="Times New Roman"/>
          <w:bCs w:val="0"/>
          <w:i/>
          <w:lang w:val="en-US"/>
        </w:rPr>
        <w:footnoteReference w:id="58"/>
      </w:r>
      <w:r w:rsidR="007E701D" w:rsidRPr="002D3BDB">
        <w:rPr>
          <w:rFonts w:ascii="Arial" w:eastAsia="Times New Roman" w:hAnsi="Arial" w:cs="Arial"/>
          <w:b w:val="0"/>
          <w:bCs w:val="0"/>
          <w:color w:val="auto"/>
          <w:sz w:val="24"/>
          <w:szCs w:val="24"/>
          <w:lang w:val="en-US"/>
        </w:rPr>
        <w:t xml:space="preserve"> </w:t>
      </w:r>
      <w:r w:rsidR="00B330F5">
        <w:rPr>
          <w:rFonts w:ascii="Arial" w:eastAsia="Times New Roman" w:hAnsi="Arial" w:cs="Arial"/>
          <w:b w:val="0"/>
          <w:bCs w:val="0"/>
          <w:color w:val="auto"/>
          <w:sz w:val="24"/>
          <w:szCs w:val="24"/>
          <w:lang w:val="en-US"/>
        </w:rPr>
        <w:t>–</w:t>
      </w:r>
      <w:bookmarkEnd w:id="98"/>
      <w:r w:rsidR="007E701D" w:rsidRPr="002D3BDB">
        <w:rPr>
          <w:rFonts w:ascii="Arial" w:eastAsia="Times New Roman" w:hAnsi="Arial" w:cs="Arial"/>
          <w:b w:val="0"/>
          <w:bCs w:val="0"/>
          <w:color w:val="auto"/>
          <w:sz w:val="24"/>
          <w:szCs w:val="24"/>
          <w:lang w:val="en-US"/>
        </w:rPr>
        <w:t xml:space="preserve"> </w:t>
      </w:r>
    </w:p>
    <w:p w:rsidR="00B330F5" w:rsidRDefault="00B330F5" w:rsidP="000C6A67">
      <w:pPr>
        <w:pStyle w:val="Heading3"/>
        <w:spacing w:before="0" w:line="240" w:lineRule="auto"/>
        <w:jc w:val="both"/>
        <w:rPr>
          <w:rFonts w:ascii="Arial" w:eastAsia="Times New Roman" w:hAnsi="Arial" w:cs="Arial"/>
          <w:b w:val="0"/>
          <w:bCs w:val="0"/>
          <w:color w:val="auto"/>
          <w:sz w:val="24"/>
          <w:szCs w:val="24"/>
          <w:lang w:val="en-US"/>
        </w:rPr>
      </w:pPr>
    </w:p>
    <w:p w:rsidR="00406DCE" w:rsidRDefault="00077B4B" w:rsidP="00077B4B">
      <w:pPr>
        <w:spacing w:after="0" w:line="240" w:lineRule="auto"/>
        <w:jc w:val="both"/>
        <w:rPr>
          <w:rFonts w:ascii="Arial" w:hAnsi="Arial" w:cs="Arial"/>
          <w:sz w:val="24"/>
          <w:szCs w:val="24"/>
          <w:lang w:val="en-US"/>
        </w:rPr>
      </w:pPr>
      <w:r>
        <w:rPr>
          <w:rFonts w:ascii="Arial" w:hAnsi="Arial" w:cs="Arial"/>
          <w:sz w:val="24"/>
          <w:szCs w:val="24"/>
          <w:lang w:val="en-US"/>
        </w:rPr>
        <w:t xml:space="preserve">Cheltuielile publice pentru educație </w:t>
      </w:r>
      <w:r w:rsidR="007E701D" w:rsidRPr="00B330F5">
        <w:rPr>
          <w:rFonts w:ascii="Arial" w:hAnsi="Arial" w:cs="Arial"/>
          <w:sz w:val="24"/>
          <w:szCs w:val="24"/>
          <w:lang w:val="en-US"/>
        </w:rPr>
        <w:t>au cuno</w:t>
      </w:r>
      <w:r w:rsidR="00B330F5">
        <w:rPr>
          <w:rFonts w:ascii="Arial" w:hAnsi="Arial" w:cs="Arial"/>
          <w:sz w:val="24"/>
          <w:szCs w:val="24"/>
          <w:lang w:val="en-US"/>
        </w:rPr>
        <w:t>s</w:t>
      </w:r>
      <w:r w:rsidR="007E701D" w:rsidRPr="00B330F5">
        <w:rPr>
          <w:rFonts w:ascii="Arial" w:hAnsi="Arial" w:cs="Arial"/>
          <w:sz w:val="24"/>
          <w:szCs w:val="24"/>
          <w:lang w:val="en-US"/>
        </w:rPr>
        <w:t>cut o foarte mică cr</w:t>
      </w:r>
      <w:r>
        <w:rPr>
          <w:rFonts w:ascii="Arial" w:hAnsi="Arial" w:cs="Arial"/>
          <w:sz w:val="24"/>
          <w:szCs w:val="24"/>
          <w:lang w:val="en-US"/>
        </w:rPr>
        <w:t>e</w:t>
      </w:r>
      <w:r w:rsidR="007E701D" w:rsidRPr="00B330F5">
        <w:rPr>
          <w:rFonts w:ascii="Arial" w:hAnsi="Arial" w:cs="Arial"/>
          <w:sz w:val="24"/>
          <w:szCs w:val="24"/>
          <w:lang w:val="en-US"/>
        </w:rPr>
        <w:t xml:space="preserve">ștere, de la 2,64% din PIB la 2,75% din PIB </w:t>
      </w:r>
      <w:r w:rsidR="0088684F" w:rsidRPr="00B330F5">
        <w:rPr>
          <w:rFonts w:ascii="Arial" w:hAnsi="Arial" w:cs="Arial"/>
          <w:sz w:val="24"/>
          <w:szCs w:val="24"/>
          <w:lang w:val="en-US"/>
        </w:rPr>
        <w:t>î</w:t>
      </w:r>
      <w:r w:rsidR="007E701D" w:rsidRPr="00B330F5">
        <w:rPr>
          <w:rFonts w:ascii="Arial" w:hAnsi="Arial" w:cs="Arial"/>
          <w:sz w:val="24"/>
          <w:szCs w:val="24"/>
          <w:lang w:val="en-US"/>
        </w:rPr>
        <w:t xml:space="preserve">n anii 2012, 2014, </w:t>
      </w:r>
      <w:r w:rsidR="002D3BDB" w:rsidRPr="00B330F5">
        <w:rPr>
          <w:rFonts w:ascii="Arial" w:hAnsi="Arial" w:cs="Arial"/>
          <w:sz w:val="24"/>
          <w:szCs w:val="24"/>
          <w:lang w:val="en-US"/>
        </w:rPr>
        <w:t>însă pentru a estima efectul așteptat al ace</w:t>
      </w:r>
      <w:r w:rsidR="00B330F5">
        <w:rPr>
          <w:rFonts w:ascii="Arial" w:hAnsi="Arial" w:cs="Arial"/>
          <w:sz w:val="24"/>
          <w:szCs w:val="24"/>
          <w:lang w:val="en-US"/>
        </w:rPr>
        <w:t>stor investiții este relevant să</w:t>
      </w:r>
      <w:r w:rsidR="002D3BDB" w:rsidRPr="00B330F5">
        <w:rPr>
          <w:rFonts w:ascii="Arial" w:hAnsi="Arial" w:cs="Arial"/>
          <w:sz w:val="24"/>
          <w:szCs w:val="24"/>
          <w:lang w:val="en-US"/>
        </w:rPr>
        <w:t xml:space="preserve"> ne raportăm la nivelul acestora în statele membre ale UE;</w:t>
      </w:r>
      <w:bookmarkEnd w:id="99"/>
    </w:p>
    <w:p w:rsidR="00077B4B" w:rsidRDefault="00077B4B" w:rsidP="00077B4B">
      <w:pPr>
        <w:spacing w:after="0" w:line="240" w:lineRule="auto"/>
        <w:jc w:val="both"/>
        <w:rPr>
          <w:rFonts w:ascii="Arial" w:eastAsia="Times New Roman" w:hAnsi="Arial" w:cs="Arial"/>
          <w:sz w:val="24"/>
          <w:szCs w:val="24"/>
          <w:lang w:val="en-US"/>
        </w:rPr>
      </w:pPr>
      <w:r w:rsidRPr="002D3BDB">
        <w:rPr>
          <w:rFonts w:ascii="Arial" w:eastAsia="Times New Roman" w:hAnsi="Arial" w:cs="Arial"/>
          <w:sz w:val="24"/>
          <w:szCs w:val="24"/>
          <w:lang w:val="en-US"/>
        </w:rPr>
        <w:t xml:space="preserve">În aceasta analiză comparativă, România se află pe ultimul loc în rândul statelor europene, și la mare distanță de economiile dezvoltate. </w:t>
      </w:r>
    </w:p>
    <w:p w:rsidR="00077B4B" w:rsidRDefault="00077B4B" w:rsidP="00077B4B">
      <w:pPr>
        <w:spacing w:after="0" w:line="240" w:lineRule="auto"/>
        <w:jc w:val="both"/>
        <w:rPr>
          <w:rFonts w:ascii="Arial" w:eastAsia="Times New Roman" w:hAnsi="Arial" w:cs="Arial"/>
          <w:sz w:val="24"/>
          <w:szCs w:val="24"/>
          <w:lang w:val="en-US"/>
        </w:rPr>
      </w:pPr>
      <w:r w:rsidRPr="002D3BDB">
        <w:rPr>
          <w:rFonts w:ascii="Arial" w:eastAsia="Times New Roman" w:hAnsi="Arial" w:cs="Arial"/>
          <w:sz w:val="24"/>
          <w:szCs w:val="24"/>
          <w:lang w:val="en-US"/>
        </w:rPr>
        <w:t xml:space="preserve">Nici un alt stat nu are nivelul acestor investiții sub 3%, doar Rebublica Cehă are o valoarede 3,84%, toate celelalte state se găsesc cu valori peste 4%. </w:t>
      </w:r>
    </w:p>
    <w:p w:rsidR="00077B4B" w:rsidRDefault="00077B4B" w:rsidP="00077B4B">
      <w:pPr>
        <w:spacing w:after="0" w:line="240" w:lineRule="auto"/>
        <w:jc w:val="both"/>
        <w:rPr>
          <w:rFonts w:ascii="Arial" w:eastAsia="Times New Roman" w:hAnsi="Arial" w:cs="Arial"/>
          <w:sz w:val="24"/>
          <w:szCs w:val="24"/>
          <w:lang w:val="en-US"/>
        </w:rPr>
      </w:pPr>
      <w:r w:rsidRPr="002D3BDB">
        <w:rPr>
          <w:rFonts w:ascii="Arial" w:eastAsia="Times New Roman" w:hAnsi="Arial" w:cs="Arial"/>
          <w:sz w:val="24"/>
          <w:szCs w:val="24"/>
          <w:lang w:val="en-US"/>
        </w:rPr>
        <w:t xml:space="preserve">Suedia investește 7,14% din PIB, Islanda 6,98%, Finlanda 6,81%  - valori procentuale mult mai mari decât pentru România, la care se se adaugă și o valoare a PIB-ului mai mare decât în cazul nostru. </w:t>
      </w:r>
    </w:p>
    <w:p w:rsidR="00B4655E" w:rsidRDefault="00B4655E" w:rsidP="000C6A67">
      <w:pPr>
        <w:spacing w:after="0" w:line="240" w:lineRule="auto"/>
        <w:jc w:val="center"/>
        <w:rPr>
          <w:rFonts w:ascii="Arial" w:hAnsi="Arial" w:cs="Arial"/>
          <w:sz w:val="24"/>
          <w:szCs w:val="24"/>
          <w:lang w:eastAsia="ro-RO"/>
        </w:rPr>
      </w:pPr>
    </w:p>
    <w:p w:rsidR="000006EE" w:rsidRDefault="000006EE" w:rsidP="000C6A67">
      <w:pPr>
        <w:spacing w:after="0" w:line="240" w:lineRule="auto"/>
        <w:jc w:val="center"/>
        <w:rPr>
          <w:rFonts w:ascii="Arial" w:hAnsi="Arial" w:cs="Arial"/>
          <w:sz w:val="24"/>
          <w:szCs w:val="24"/>
          <w:lang w:eastAsia="ro-RO"/>
        </w:rPr>
      </w:pPr>
    </w:p>
    <w:p w:rsidR="005954B9" w:rsidRDefault="005954B9" w:rsidP="001714CD">
      <w:pPr>
        <w:spacing w:after="0" w:line="240" w:lineRule="auto"/>
        <w:jc w:val="center"/>
        <w:rPr>
          <w:rFonts w:ascii="Arial" w:hAnsi="Arial" w:cs="Arial"/>
          <w:lang w:eastAsia="ro-RO"/>
        </w:rPr>
      </w:pPr>
    </w:p>
    <w:p w:rsidR="005954B9" w:rsidRDefault="005954B9" w:rsidP="001714CD">
      <w:pPr>
        <w:spacing w:after="0" w:line="240" w:lineRule="auto"/>
        <w:jc w:val="center"/>
        <w:rPr>
          <w:rFonts w:ascii="Arial" w:hAnsi="Arial" w:cs="Arial"/>
          <w:lang w:eastAsia="ro-RO"/>
        </w:rPr>
      </w:pPr>
    </w:p>
    <w:p w:rsidR="001937AF" w:rsidRPr="00B4655E" w:rsidRDefault="002D3BDB" w:rsidP="001714CD">
      <w:pPr>
        <w:spacing w:after="0" w:line="240" w:lineRule="auto"/>
        <w:jc w:val="center"/>
        <w:rPr>
          <w:rFonts w:ascii="Arial" w:hAnsi="Arial" w:cs="Arial"/>
          <w:lang w:eastAsia="ro-RO"/>
        </w:rPr>
      </w:pPr>
      <w:r w:rsidRPr="00B4655E">
        <w:rPr>
          <w:rFonts w:ascii="Arial" w:hAnsi="Arial" w:cs="Arial"/>
          <w:lang w:eastAsia="ro-RO"/>
        </w:rPr>
        <w:lastRenderedPageBreak/>
        <w:t>Figura 3</w:t>
      </w:r>
      <w:r w:rsidR="00373E67" w:rsidRPr="00B4655E">
        <w:rPr>
          <w:rFonts w:ascii="Arial" w:hAnsi="Arial" w:cs="Arial"/>
          <w:lang w:eastAsia="ro-RO"/>
        </w:rPr>
        <w:t>8</w:t>
      </w:r>
    </w:p>
    <w:p w:rsidR="0088684F" w:rsidRDefault="0088684F" w:rsidP="000C6A67">
      <w:pPr>
        <w:spacing w:after="0" w:line="240" w:lineRule="auto"/>
        <w:jc w:val="center"/>
        <w:rPr>
          <w:rFonts w:ascii="Arial" w:hAnsi="Arial" w:cs="Arial"/>
          <w:sz w:val="24"/>
          <w:szCs w:val="24"/>
          <w:lang w:eastAsia="ro-RO"/>
        </w:rPr>
      </w:pPr>
      <w:r>
        <w:rPr>
          <w:noProof/>
          <w:lang w:val="en-US"/>
        </w:rPr>
        <w:drawing>
          <wp:inline distT="0" distB="0" distL="0" distR="0">
            <wp:extent cx="5570220" cy="2316480"/>
            <wp:effectExtent l="19050" t="0" r="11430" b="7620"/>
            <wp:docPr id="9"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7E701D" w:rsidRPr="00635007" w:rsidRDefault="007C0909" w:rsidP="000C6A67">
      <w:pPr>
        <w:spacing w:after="0" w:line="240" w:lineRule="auto"/>
        <w:jc w:val="center"/>
        <w:rPr>
          <w:rFonts w:ascii="Arial" w:hAnsi="Arial" w:cs="Arial"/>
          <w:lang w:eastAsia="ro-RO"/>
        </w:rPr>
      </w:pPr>
      <w:r w:rsidRPr="00635007">
        <w:rPr>
          <w:rFonts w:ascii="Arial" w:hAnsi="Arial" w:cs="Arial"/>
          <w:lang w:eastAsia="ro-RO"/>
        </w:rPr>
        <w:t xml:space="preserve">Sursa </w:t>
      </w:r>
      <w:r w:rsidR="002D3BDB" w:rsidRPr="00635007">
        <w:rPr>
          <w:rFonts w:ascii="Arial" w:hAnsi="Arial" w:cs="Arial"/>
          <w:lang w:eastAsia="ro-RO"/>
        </w:rPr>
        <w:t>I</w:t>
      </w:r>
      <w:r w:rsidR="00077B4B" w:rsidRPr="00635007">
        <w:rPr>
          <w:rFonts w:ascii="Arial" w:hAnsi="Arial" w:cs="Arial"/>
          <w:lang w:eastAsia="ro-RO"/>
        </w:rPr>
        <w:t>NS</w:t>
      </w:r>
    </w:p>
    <w:p w:rsidR="002D3BDB" w:rsidRDefault="002D3BDB" w:rsidP="000C6A67">
      <w:pPr>
        <w:spacing w:after="0" w:line="240" w:lineRule="auto"/>
        <w:jc w:val="center"/>
        <w:rPr>
          <w:rFonts w:ascii="Arial" w:hAnsi="Arial" w:cs="Arial"/>
          <w:sz w:val="24"/>
          <w:szCs w:val="24"/>
          <w:lang w:eastAsia="ro-RO"/>
        </w:rPr>
      </w:pPr>
    </w:p>
    <w:p w:rsidR="007E701D" w:rsidRPr="002D3BDB" w:rsidRDefault="007E701D" w:rsidP="000C6A67">
      <w:pPr>
        <w:spacing w:after="0" w:line="240" w:lineRule="auto"/>
        <w:jc w:val="both"/>
        <w:rPr>
          <w:rFonts w:ascii="Arial" w:eastAsia="Times New Roman" w:hAnsi="Arial" w:cs="Arial"/>
          <w:sz w:val="24"/>
          <w:szCs w:val="24"/>
          <w:lang w:val="en-US"/>
        </w:rPr>
      </w:pPr>
      <w:r w:rsidRPr="002D3BDB">
        <w:rPr>
          <w:rFonts w:ascii="Arial" w:eastAsia="Times New Roman" w:hAnsi="Arial" w:cs="Arial"/>
          <w:sz w:val="24"/>
          <w:szCs w:val="24"/>
          <w:lang w:val="en-US"/>
        </w:rPr>
        <w:t xml:space="preserve">Există o corelație bună între nivelul investițiilor și rezultatele, performanțele măsurate rin studiile comparative internaționale. </w:t>
      </w:r>
    </w:p>
    <w:p w:rsidR="001714CD" w:rsidRDefault="001714CD" w:rsidP="00077B4B">
      <w:pPr>
        <w:spacing w:after="0" w:line="240" w:lineRule="auto"/>
        <w:rPr>
          <w:rFonts w:ascii="Arial" w:hAnsi="Arial" w:cs="Arial"/>
          <w:lang w:eastAsia="ro-RO"/>
        </w:rPr>
      </w:pPr>
    </w:p>
    <w:p w:rsidR="001714CD" w:rsidRDefault="001714CD" w:rsidP="000C6A67">
      <w:pPr>
        <w:spacing w:after="0" w:line="240" w:lineRule="auto"/>
        <w:jc w:val="center"/>
        <w:rPr>
          <w:rFonts w:ascii="Arial" w:hAnsi="Arial" w:cs="Arial"/>
          <w:lang w:eastAsia="ro-RO"/>
        </w:rPr>
      </w:pPr>
    </w:p>
    <w:p w:rsidR="00E346CD" w:rsidRPr="00E346CD" w:rsidRDefault="00E346CD" w:rsidP="000C6A67">
      <w:pPr>
        <w:spacing w:after="0" w:line="240" w:lineRule="auto"/>
        <w:jc w:val="center"/>
        <w:rPr>
          <w:rFonts w:ascii="Arial" w:hAnsi="Arial" w:cs="Arial"/>
          <w:lang w:eastAsia="ro-RO"/>
        </w:rPr>
      </w:pPr>
      <w:r w:rsidRPr="00E346CD">
        <w:rPr>
          <w:rFonts w:ascii="Arial" w:hAnsi="Arial" w:cs="Arial"/>
          <w:lang w:eastAsia="ro-RO"/>
        </w:rPr>
        <w:t>Figura 3</w:t>
      </w:r>
      <w:r w:rsidR="00373E67">
        <w:rPr>
          <w:rFonts w:ascii="Arial" w:hAnsi="Arial" w:cs="Arial"/>
          <w:lang w:eastAsia="ro-RO"/>
        </w:rPr>
        <w:t>9</w:t>
      </w:r>
    </w:p>
    <w:p w:rsidR="007E701D" w:rsidRPr="007E701D" w:rsidRDefault="007E701D" w:rsidP="000C6A67">
      <w:pPr>
        <w:spacing w:after="0" w:line="240" w:lineRule="auto"/>
        <w:rPr>
          <w:lang w:eastAsia="ro-RO"/>
        </w:rPr>
      </w:pPr>
      <w:r w:rsidRPr="00077B4B">
        <w:rPr>
          <w:noProof/>
          <w:bdr w:val="single" w:sz="4" w:space="0" w:color="auto"/>
          <w:lang w:val="en-US"/>
        </w:rPr>
        <w:drawing>
          <wp:inline distT="0" distB="0" distL="0" distR="0">
            <wp:extent cx="5942330" cy="2263140"/>
            <wp:effectExtent l="19050" t="0" r="20320" b="3810"/>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7C0909" w:rsidRPr="007C0909" w:rsidRDefault="007C0909" w:rsidP="007C0909">
      <w:pPr>
        <w:spacing w:after="0" w:line="240" w:lineRule="auto"/>
        <w:jc w:val="center"/>
        <w:rPr>
          <w:rFonts w:ascii="Arial" w:hAnsi="Arial" w:cs="Arial"/>
          <w:lang w:eastAsia="ro-RO"/>
        </w:rPr>
      </w:pPr>
      <w:r w:rsidRPr="007C0909">
        <w:rPr>
          <w:rFonts w:ascii="Arial" w:hAnsi="Arial" w:cs="Arial"/>
          <w:lang w:eastAsia="ro-RO"/>
        </w:rPr>
        <w:t>Sursa I</w:t>
      </w:r>
      <w:r w:rsidR="00077B4B">
        <w:rPr>
          <w:rFonts w:ascii="Arial" w:hAnsi="Arial" w:cs="Arial"/>
          <w:lang w:eastAsia="ro-RO"/>
        </w:rPr>
        <w:t>NS</w:t>
      </w:r>
    </w:p>
    <w:p w:rsidR="0088684F" w:rsidRDefault="0088684F" w:rsidP="000C6A67">
      <w:pPr>
        <w:pStyle w:val="Heading2"/>
        <w:spacing w:before="0" w:line="240" w:lineRule="auto"/>
        <w:jc w:val="both"/>
        <w:rPr>
          <w:rFonts w:ascii="Arial" w:hAnsi="Arial" w:cs="Arial"/>
          <w:i/>
          <w:color w:val="auto"/>
          <w:sz w:val="24"/>
          <w:szCs w:val="24"/>
          <w:lang w:eastAsia="ro-RO"/>
        </w:rPr>
      </w:pPr>
    </w:p>
    <w:p w:rsidR="00406DCE" w:rsidRPr="001937AF" w:rsidRDefault="00825106" w:rsidP="000C6A67">
      <w:pPr>
        <w:pStyle w:val="Heading2"/>
        <w:spacing w:before="0" w:line="240" w:lineRule="auto"/>
        <w:jc w:val="both"/>
        <w:rPr>
          <w:rFonts w:ascii="Arial" w:hAnsi="Arial" w:cs="Arial"/>
          <w:i/>
          <w:color w:val="auto"/>
          <w:sz w:val="24"/>
          <w:szCs w:val="24"/>
          <w:lang w:eastAsia="ro-RO"/>
        </w:rPr>
      </w:pPr>
      <w:bookmarkStart w:id="100" w:name="_Toc488066069"/>
      <w:r w:rsidRPr="001937AF">
        <w:rPr>
          <w:rFonts w:ascii="Arial" w:hAnsi="Arial" w:cs="Arial"/>
          <w:i/>
          <w:color w:val="auto"/>
          <w:sz w:val="24"/>
          <w:szCs w:val="24"/>
          <w:lang w:eastAsia="ro-RO"/>
        </w:rPr>
        <w:t>6.2</w:t>
      </w:r>
      <w:r w:rsidR="00406DCE" w:rsidRPr="001937AF">
        <w:rPr>
          <w:rFonts w:ascii="Arial" w:hAnsi="Arial" w:cs="Arial"/>
          <w:i/>
          <w:color w:val="auto"/>
          <w:sz w:val="24"/>
          <w:szCs w:val="24"/>
          <w:lang w:eastAsia="ro-RO"/>
        </w:rPr>
        <w:t>. Indicatori de proces</w:t>
      </w:r>
      <w:bookmarkEnd w:id="100"/>
    </w:p>
    <w:p w:rsidR="00DD5F85" w:rsidRPr="001937AF" w:rsidRDefault="00DD5F85" w:rsidP="000C6A67">
      <w:pPr>
        <w:spacing w:after="0" w:line="240" w:lineRule="auto"/>
        <w:jc w:val="both"/>
        <w:rPr>
          <w:rFonts w:ascii="Arial" w:hAnsi="Arial" w:cs="Arial"/>
          <w:sz w:val="24"/>
          <w:szCs w:val="24"/>
          <w:lang w:eastAsia="ro-RO"/>
        </w:rPr>
      </w:pPr>
    </w:p>
    <w:p w:rsidR="001937AF" w:rsidRPr="004D4821" w:rsidRDefault="00FE3CCA" w:rsidP="000C6A67">
      <w:pPr>
        <w:pStyle w:val="Heading3"/>
        <w:spacing w:before="0" w:line="240" w:lineRule="auto"/>
        <w:jc w:val="both"/>
        <w:rPr>
          <w:rFonts w:ascii="Arial" w:hAnsi="Arial" w:cs="Arial"/>
          <w:b w:val="0"/>
          <w:i/>
          <w:color w:val="C00000"/>
          <w:sz w:val="24"/>
          <w:szCs w:val="24"/>
          <w:lang w:eastAsia="ro-RO"/>
        </w:rPr>
      </w:pPr>
      <w:bookmarkStart w:id="101" w:name="_Toc488066070"/>
      <w:r w:rsidRPr="004D4821">
        <w:rPr>
          <w:rFonts w:ascii="Arial" w:hAnsi="Arial" w:cs="Arial"/>
          <w:b w:val="0"/>
          <w:i/>
          <w:color w:val="auto"/>
          <w:sz w:val="24"/>
          <w:szCs w:val="24"/>
          <w:lang w:eastAsia="ro-RO"/>
        </w:rPr>
        <w:t>6.2</w:t>
      </w:r>
      <w:r w:rsidR="00406DCE" w:rsidRPr="004D4821">
        <w:rPr>
          <w:rFonts w:ascii="Arial" w:hAnsi="Arial" w:cs="Arial"/>
          <w:b w:val="0"/>
          <w:i/>
          <w:color w:val="auto"/>
          <w:sz w:val="24"/>
          <w:szCs w:val="24"/>
          <w:lang w:eastAsia="ro-RO"/>
        </w:rPr>
        <w:t>.1. Mecanisme decizionale şi descentralizarea funcţională în ÎPT</w:t>
      </w:r>
      <w:bookmarkEnd w:id="101"/>
    </w:p>
    <w:p w:rsidR="001C1C34" w:rsidRPr="00A11E57" w:rsidRDefault="001C1C34" w:rsidP="000C6A67">
      <w:pPr>
        <w:tabs>
          <w:tab w:val="center" w:pos="709"/>
          <w:tab w:val="right" w:pos="8640"/>
        </w:tabs>
        <w:spacing w:after="0" w:line="240" w:lineRule="auto"/>
        <w:jc w:val="both"/>
        <w:rPr>
          <w:rFonts w:ascii="Arial" w:eastAsia="Americana BT" w:hAnsi="Arial" w:cs="Arial"/>
          <w:sz w:val="24"/>
          <w:szCs w:val="24"/>
        </w:rPr>
      </w:pPr>
      <w:r>
        <w:rPr>
          <w:rFonts w:ascii="Arial" w:eastAsia="Americana BT" w:hAnsi="Arial" w:cs="Arial"/>
          <w:sz w:val="24"/>
          <w:szCs w:val="24"/>
        </w:rPr>
        <w:tab/>
      </w:r>
      <w:r w:rsidRPr="00A11E57">
        <w:rPr>
          <w:rFonts w:ascii="Arial" w:eastAsia="Americana BT" w:hAnsi="Arial" w:cs="Arial"/>
          <w:sz w:val="24"/>
          <w:szCs w:val="24"/>
        </w:rPr>
        <w:t>Strategia de descentralizare a învăţământului preuniversitar vizează transferul de autoritate, responsabilitate şi resurse în privinţa luării deciziilor şi a managementului general şi financiar către unităţile de învăţământ şi comunitatea locală.</w:t>
      </w:r>
    </w:p>
    <w:p w:rsidR="001C1C34" w:rsidRPr="00A11E57" w:rsidRDefault="001C1C34" w:rsidP="000C6A67">
      <w:pPr>
        <w:tabs>
          <w:tab w:val="center" w:pos="709"/>
          <w:tab w:val="right" w:pos="8640"/>
        </w:tabs>
        <w:spacing w:after="0" w:line="240" w:lineRule="auto"/>
        <w:jc w:val="both"/>
        <w:rPr>
          <w:rFonts w:ascii="Arial" w:eastAsia="Americana BT" w:hAnsi="Arial" w:cs="Arial"/>
          <w:sz w:val="24"/>
          <w:szCs w:val="24"/>
        </w:rPr>
      </w:pPr>
      <w:r w:rsidRPr="00A11E57">
        <w:rPr>
          <w:rFonts w:ascii="Arial" w:eastAsia="Americana BT" w:hAnsi="Arial" w:cs="Arial"/>
          <w:sz w:val="24"/>
          <w:szCs w:val="24"/>
        </w:rPr>
        <w:tab/>
        <w:t>Descentralizarea funcţională implică şi antrenarea sporită în mecanismele decizionale a partenerilor sociali, pentru a garanta apropierea deciziei de beneficiarii</w:t>
      </w:r>
      <w:r w:rsidRPr="00814CFB">
        <w:rPr>
          <w:rFonts w:ascii="Arial" w:eastAsia="Americana BT" w:hAnsi="Arial" w:cs="Arial"/>
          <w:sz w:val="24"/>
          <w:szCs w:val="24"/>
        </w:rPr>
        <w:t xml:space="preserve"> </w:t>
      </w:r>
      <w:r w:rsidRPr="00A11E57">
        <w:rPr>
          <w:rFonts w:ascii="Arial" w:eastAsia="Americana BT" w:hAnsi="Arial" w:cs="Arial"/>
          <w:sz w:val="24"/>
          <w:szCs w:val="24"/>
        </w:rPr>
        <w:t>serviciului public de educaţie. Cadrul instituţional pentru dezvoltarea parteneriatului social în educaţie şi formare profesională se bazează pe structurile consultative iniţiate în sprijinul deciziei la nivel local şi regional.</w:t>
      </w:r>
    </w:p>
    <w:p w:rsidR="001969D6" w:rsidRDefault="001969D6" w:rsidP="00EB797F">
      <w:pPr>
        <w:tabs>
          <w:tab w:val="center" w:pos="4320"/>
          <w:tab w:val="right" w:pos="8640"/>
        </w:tabs>
        <w:spacing w:after="0" w:line="240" w:lineRule="auto"/>
        <w:jc w:val="both"/>
        <w:rPr>
          <w:rFonts w:ascii="Arial" w:eastAsia="Americana BT" w:hAnsi="Arial" w:cs="Arial"/>
          <w:sz w:val="24"/>
          <w:szCs w:val="24"/>
        </w:rPr>
      </w:pPr>
    </w:p>
    <w:p w:rsidR="00EB797F" w:rsidRDefault="001C1C34" w:rsidP="00EB797F">
      <w:pPr>
        <w:tabs>
          <w:tab w:val="center" w:pos="4320"/>
          <w:tab w:val="right" w:pos="8640"/>
        </w:tabs>
        <w:spacing w:after="0" w:line="240" w:lineRule="auto"/>
        <w:jc w:val="both"/>
        <w:rPr>
          <w:rFonts w:ascii="Arial" w:eastAsia="Americana BT" w:hAnsi="Arial" w:cs="Arial"/>
          <w:sz w:val="24"/>
          <w:szCs w:val="24"/>
        </w:rPr>
      </w:pPr>
      <w:r w:rsidRPr="00A11E57">
        <w:rPr>
          <w:rFonts w:ascii="Arial" w:eastAsia="Americana BT" w:hAnsi="Arial" w:cs="Arial"/>
          <w:sz w:val="24"/>
          <w:szCs w:val="24"/>
        </w:rPr>
        <w:t>Aceste structuri sunt:</w:t>
      </w:r>
    </w:p>
    <w:p w:rsidR="00EB797F" w:rsidRDefault="001C1C34" w:rsidP="00EB797F">
      <w:pPr>
        <w:tabs>
          <w:tab w:val="center" w:pos="4320"/>
          <w:tab w:val="right" w:pos="8640"/>
        </w:tabs>
        <w:spacing w:after="0" w:line="240" w:lineRule="auto"/>
        <w:jc w:val="both"/>
        <w:rPr>
          <w:rFonts w:ascii="Arial" w:eastAsia="Americana BT" w:hAnsi="Arial" w:cs="Arial"/>
          <w:sz w:val="24"/>
          <w:szCs w:val="24"/>
        </w:rPr>
      </w:pPr>
      <w:r w:rsidRPr="00077B4B">
        <w:rPr>
          <w:rFonts w:ascii="Arial" w:eastAsia="Americana BT" w:hAnsi="Arial" w:cs="Arial"/>
          <w:b/>
          <w:sz w:val="24"/>
          <w:szCs w:val="24"/>
        </w:rPr>
        <w:t>-la nivel regional:</w:t>
      </w:r>
      <w:r w:rsidRPr="00A11E57">
        <w:rPr>
          <w:rFonts w:ascii="Arial" w:eastAsia="Americana BT" w:hAnsi="Arial" w:cs="Arial"/>
          <w:sz w:val="24"/>
          <w:szCs w:val="24"/>
        </w:rPr>
        <w:t xml:space="preserve"> Consorţiul Regional (CR) – ca structură partenerială consultativă în sprijinul Centrului Național de Dezvoltare a Învățământului Profesional și Tehnic și al Inspectoratelor Școlare;</w:t>
      </w:r>
    </w:p>
    <w:p w:rsidR="00EB797F" w:rsidRDefault="001C1C34" w:rsidP="00EB797F">
      <w:pPr>
        <w:tabs>
          <w:tab w:val="center" w:pos="4320"/>
          <w:tab w:val="right" w:pos="8640"/>
        </w:tabs>
        <w:spacing w:after="0" w:line="240" w:lineRule="auto"/>
        <w:jc w:val="both"/>
        <w:rPr>
          <w:rFonts w:ascii="Arial" w:eastAsia="Americana BT" w:hAnsi="Arial" w:cs="Arial"/>
          <w:sz w:val="24"/>
          <w:szCs w:val="24"/>
        </w:rPr>
      </w:pPr>
      <w:r>
        <w:rPr>
          <w:rFonts w:ascii="Arial" w:eastAsia="Americana BT" w:hAnsi="Arial" w:cs="Arial"/>
          <w:sz w:val="24"/>
          <w:szCs w:val="24"/>
        </w:rPr>
        <w:lastRenderedPageBreak/>
        <w:t>-</w:t>
      </w:r>
      <w:r w:rsidRPr="00077B4B">
        <w:rPr>
          <w:rFonts w:ascii="Arial" w:eastAsia="Americana BT" w:hAnsi="Arial" w:cs="Arial"/>
          <w:b/>
          <w:sz w:val="24"/>
          <w:szCs w:val="24"/>
        </w:rPr>
        <w:t>la nivel local (judeţean):</w:t>
      </w:r>
      <w:r w:rsidRPr="00A11E57">
        <w:rPr>
          <w:rFonts w:ascii="Arial" w:eastAsia="Americana BT" w:hAnsi="Arial" w:cs="Arial"/>
          <w:sz w:val="24"/>
          <w:szCs w:val="24"/>
        </w:rPr>
        <w:t xml:space="preserve"> Comitetul Local de Dezvoltare a Parteneriatului Social (CLDPS) – ca structură partenerială consultativă în sprijinul Inspectoratelor Școlare;</w:t>
      </w:r>
    </w:p>
    <w:p w:rsidR="00EB797F" w:rsidRDefault="001C1C34" w:rsidP="00EB797F">
      <w:pPr>
        <w:tabs>
          <w:tab w:val="center" w:pos="4320"/>
          <w:tab w:val="right" w:pos="8640"/>
        </w:tabs>
        <w:spacing w:after="0" w:line="240" w:lineRule="auto"/>
        <w:jc w:val="both"/>
        <w:rPr>
          <w:rFonts w:ascii="Arial" w:eastAsia="Americana BT" w:hAnsi="Arial" w:cs="Arial"/>
          <w:sz w:val="24"/>
          <w:szCs w:val="24"/>
        </w:rPr>
      </w:pPr>
      <w:r>
        <w:rPr>
          <w:rFonts w:ascii="Arial" w:eastAsia="Americana BT" w:hAnsi="Arial" w:cs="Arial"/>
          <w:sz w:val="24"/>
          <w:szCs w:val="24"/>
        </w:rPr>
        <w:t>-</w:t>
      </w:r>
      <w:r w:rsidRPr="00077B4B">
        <w:rPr>
          <w:rFonts w:ascii="Arial" w:eastAsia="Americana BT" w:hAnsi="Arial" w:cs="Arial"/>
          <w:b/>
          <w:sz w:val="24"/>
          <w:szCs w:val="24"/>
        </w:rPr>
        <w:t>la nivelul unităților de învățământ:</w:t>
      </w:r>
      <w:r w:rsidRPr="00A11E57">
        <w:rPr>
          <w:rFonts w:ascii="Arial" w:eastAsia="Americana BT" w:hAnsi="Arial" w:cs="Arial"/>
          <w:sz w:val="24"/>
          <w:szCs w:val="24"/>
        </w:rPr>
        <w:t xml:space="preserve"> Consiliile de administraţie/Consiliile profesorale</w:t>
      </w:r>
    </w:p>
    <w:p w:rsidR="001C1C34" w:rsidRPr="00A11E57" w:rsidRDefault="001C1C34" w:rsidP="00EB797F">
      <w:pPr>
        <w:tabs>
          <w:tab w:val="center" w:pos="4320"/>
          <w:tab w:val="right" w:pos="8640"/>
        </w:tabs>
        <w:spacing w:after="0" w:line="240" w:lineRule="auto"/>
        <w:jc w:val="both"/>
        <w:rPr>
          <w:rFonts w:ascii="Arial" w:eastAsia="Americana BT" w:hAnsi="Arial" w:cs="Arial"/>
          <w:sz w:val="24"/>
          <w:szCs w:val="24"/>
        </w:rPr>
      </w:pPr>
      <w:r w:rsidRPr="00077B4B">
        <w:rPr>
          <w:rFonts w:ascii="Arial" w:eastAsia="Americana BT" w:hAnsi="Arial" w:cs="Arial"/>
          <w:b/>
          <w:sz w:val="24"/>
          <w:szCs w:val="24"/>
        </w:rPr>
        <w:t>-la nivel naţional:</w:t>
      </w:r>
      <w:r w:rsidRPr="00A11E57">
        <w:rPr>
          <w:rFonts w:ascii="Arial" w:eastAsia="Americana BT" w:hAnsi="Arial" w:cs="Arial"/>
          <w:sz w:val="24"/>
          <w:szCs w:val="24"/>
        </w:rPr>
        <w:t xml:space="preserve"> Comitetele sectoriale.</w:t>
      </w:r>
    </w:p>
    <w:p w:rsidR="00EB797F" w:rsidRDefault="001C1C34" w:rsidP="00EB797F">
      <w:pPr>
        <w:tabs>
          <w:tab w:val="center" w:pos="709"/>
          <w:tab w:val="right" w:pos="8640"/>
        </w:tabs>
        <w:spacing w:after="0" w:line="240" w:lineRule="auto"/>
        <w:jc w:val="both"/>
        <w:rPr>
          <w:rFonts w:ascii="Arial" w:eastAsia="Americana BT" w:hAnsi="Arial" w:cs="Arial"/>
          <w:sz w:val="24"/>
          <w:szCs w:val="24"/>
        </w:rPr>
      </w:pPr>
      <w:r w:rsidRPr="00A11E57">
        <w:rPr>
          <w:rFonts w:ascii="Arial" w:eastAsia="Americana BT" w:hAnsi="Arial" w:cs="Arial"/>
          <w:sz w:val="24"/>
          <w:szCs w:val="24"/>
        </w:rPr>
        <w:tab/>
      </w:r>
      <w:r w:rsidRPr="00077B4B">
        <w:rPr>
          <w:rFonts w:ascii="Arial" w:eastAsia="Americana BT" w:hAnsi="Arial" w:cs="Arial"/>
          <w:b/>
          <w:sz w:val="24"/>
          <w:szCs w:val="24"/>
        </w:rPr>
        <w:t>Principalele atribuţii ale structurilor menţionate,</w:t>
      </w:r>
      <w:r w:rsidRPr="00A11E57">
        <w:rPr>
          <w:rFonts w:ascii="Arial" w:eastAsia="Americana BT" w:hAnsi="Arial" w:cs="Arial"/>
          <w:sz w:val="24"/>
          <w:szCs w:val="24"/>
        </w:rPr>
        <w:t xml:space="preserve"> în procesul de planificare a ofertei educaționale, sunt următoarele:</w:t>
      </w:r>
    </w:p>
    <w:p w:rsidR="00EB797F" w:rsidRDefault="001C1C34" w:rsidP="00EB797F">
      <w:pPr>
        <w:tabs>
          <w:tab w:val="center" w:pos="709"/>
          <w:tab w:val="right" w:pos="8640"/>
        </w:tabs>
        <w:spacing w:after="0" w:line="240" w:lineRule="auto"/>
        <w:jc w:val="both"/>
        <w:rPr>
          <w:rFonts w:ascii="Arial" w:eastAsia="Americana BT" w:hAnsi="Arial" w:cs="Arial"/>
          <w:sz w:val="24"/>
          <w:szCs w:val="24"/>
        </w:rPr>
      </w:pPr>
      <w:r>
        <w:rPr>
          <w:rFonts w:ascii="Arial" w:eastAsia="Americana BT" w:hAnsi="Arial" w:cs="Arial"/>
          <w:sz w:val="24"/>
          <w:szCs w:val="24"/>
        </w:rPr>
        <w:t>-</w:t>
      </w:r>
      <w:r w:rsidRPr="00A11E57">
        <w:rPr>
          <w:rFonts w:ascii="Arial" w:eastAsia="Americana BT" w:hAnsi="Arial" w:cs="Arial"/>
          <w:sz w:val="24"/>
          <w:szCs w:val="24"/>
        </w:rPr>
        <w:t>Comitetele sectoriale (la nivel naţional): validarea Standardelor de Pregătire Profesională.</w:t>
      </w:r>
    </w:p>
    <w:p w:rsidR="00EB797F" w:rsidRDefault="001C1C34" w:rsidP="00EB797F">
      <w:pPr>
        <w:tabs>
          <w:tab w:val="center" w:pos="709"/>
          <w:tab w:val="right" w:pos="8640"/>
        </w:tabs>
        <w:spacing w:after="0" w:line="240" w:lineRule="auto"/>
        <w:jc w:val="both"/>
        <w:rPr>
          <w:rFonts w:ascii="Arial" w:eastAsia="Americana BT" w:hAnsi="Arial" w:cs="Arial"/>
          <w:sz w:val="24"/>
          <w:szCs w:val="24"/>
        </w:rPr>
      </w:pPr>
      <w:r>
        <w:rPr>
          <w:rFonts w:ascii="Arial" w:eastAsia="Americana BT" w:hAnsi="Arial" w:cs="Arial"/>
          <w:sz w:val="24"/>
          <w:szCs w:val="24"/>
        </w:rPr>
        <w:t>-</w:t>
      </w:r>
      <w:r w:rsidRPr="00A11E57">
        <w:rPr>
          <w:rFonts w:ascii="Arial" w:eastAsia="Americana BT" w:hAnsi="Arial" w:cs="Arial"/>
          <w:sz w:val="24"/>
          <w:szCs w:val="24"/>
        </w:rPr>
        <w:t xml:space="preserve">Consorţiul Regional: identificarea nevoilor de calificare la nivel regional, elaborarea/actualizarea Planului regional de acțiune pentru învățământ (PRAI), cu integrarea componentei privind contribuția specifică a învățământului superior la dezvoltarea regională; </w:t>
      </w:r>
    </w:p>
    <w:p w:rsidR="00EB797F" w:rsidRDefault="001C1C34" w:rsidP="00EB797F">
      <w:pPr>
        <w:tabs>
          <w:tab w:val="center" w:pos="709"/>
          <w:tab w:val="right" w:pos="8640"/>
        </w:tabs>
        <w:spacing w:after="0" w:line="240" w:lineRule="auto"/>
        <w:jc w:val="both"/>
        <w:rPr>
          <w:rFonts w:ascii="Arial" w:eastAsia="Americana BT" w:hAnsi="Arial" w:cs="Arial"/>
          <w:sz w:val="24"/>
          <w:szCs w:val="24"/>
        </w:rPr>
      </w:pPr>
      <w:r>
        <w:rPr>
          <w:rFonts w:ascii="Arial" w:eastAsia="Americana BT" w:hAnsi="Arial" w:cs="Arial"/>
          <w:sz w:val="24"/>
          <w:szCs w:val="24"/>
        </w:rPr>
        <w:t>-</w:t>
      </w:r>
      <w:r w:rsidRPr="00A11E57">
        <w:rPr>
          <w:rFonts w:ascii="Arial" w:eastAsia="Americana BT" w:hAnsi="Arial" w:cs="Arial"/>
          <w:sz w:val="24"/>
          <w:szCs w:val="24"/>
        </w:rPr>
        <w:t>CLDPS: corelarea ofertei educaționale din învățământul profesional și tehnic cu comanda socială și cu nevoile de dezvoltare personală și profesională a beneficiarilor pregătirii profesionale; elaborarea/actualizarea Planului local de acțiune pentru învățământ (PLAI); analizarea și avizarea propunerilor prezentate de inspectoratul școlar privind proiectele planurilor de școlarizare pentru învățământul profesional și tehnic din județ;</w:t>
      </w:r>
    </w:p>
    <w:p w:rsidR="001C1C34" w:rsidRPr="00A11E57" w:rsidRDefault="001C1C34" w:rsidP="00EB797F">
      <w:pPr>
        <w:tabs>
          <w:tab w:val="center" w:pos="709"/>
          <w:tab w:val="right" w:pos="8640"/>
        </w:tabs>
        <w:spacing w:after="0" w:line="240" w:lineRule="auto"/>
        <w:jc w:val="both"/>
        <w:rPr>
          <w:rFonts w:ascii="Arial" w:eastAsia="Americana BT" w:hAnsi="Arial" w:cs="Arial"/>
          <w:sz w:val="24"/>
          <w:szCs w:val="24"/>
        </w:rPr>
      </w:pPr>
      <w:r>
        <w:rPr>
          <w:rFonts w:ascii="Arial" w:eastAsia="Americana BT" w:hAnsi="Arial" w:cs="Arial"/>
          <w:sz w:val="24"/>
          <w:szCs w:val="24"/>
        </w:rPr>
        <w:t>-</w:t>
      </w:r>
      <w:r w:rsidRPr="00A11E57">
        <w:rPr>
          <w:rFonts w:ascii="Arial" w:eastAsia="Americana BT" w:hAnsi="Arial" w:cs="Arial"/>
          <w:sz w:val="24"/>
          <w:szCs w:val="24"/>
        </w:rPr>
        <w:t>Consiliile de administraţie/Consiliile profesorale: sprijinirea elaborării şi avizarea Planului de Acţiune a Şcolii (PAS)</w:t>
      </w:r>
    </w:p>
    <w:p w:rsidR="001C1C34" w:rsidRPr="00A11E57" w:rsidRDefault="001C1C34" w:rsidP="000C6A67">
      <w:pPr>
        <w:tabs>
          <w:tab w:val="center" w:pos="851"/>
          <w:tab w:val="right" w:pos="8640"/>
        </w:tabs>
        <w:spacing w:after="0" w:line="240" w:lineRule="auto"/>
        <w:jc w:val="both"/>
        <w:rPr>
          <w:rFonts w:ascii="Arial" w:eastAsia="Americana BT" w:hAnsi="Arial" w:cs="Arial"/>
          <w:sz w:val="24"/>
          <w:szCs w:val="24"/>
        </w:rPr>
      </w:pPr>
      <w:r w:rsidRPr="00A11E57">
        <w:rPr>
          <w:rFonts w:ascii="Arial" w:eastAsia="Americana BT" w:hAnsi="Arial" w:cs="Arial"/>
          <w:sz w:val="24"/>
          <w:szCs w:val="24"/>
        </w:rPr>
        <w:tab/>
        <w:t>În cadrul programului multianual Phare TVET</w:t>
      </w:r>
      <w:r w:rsidR="00077B4B">
        <w:rPr>
          <w:rFonts w:ascii="Arial" w:eastAsia="Americana BT" w:hAnsi="Arial" w:cs="Arial"/>
          <w:sz w:val="24"/>
          <w:szCs w:val="24"/>
        </w:rPr>
        <w:t xml:space="preserve"> și ulterior acestuia</w:t>
      </w:r>
      <w:r w:rsidRPr="00A11E57">
        <w:rPr>
          <w:rFonts w:ascii="Arial" w:eastAsia="Americana BT" w:hAnsi="Arial" w:cs="Arial"/>
          <w:sz w:val="24"/>
          <w:szCs w:val="24"/>
        </w:rPr>
        <w:t>, Consorţiile Regionale și Comitetele Locale au fost antrenate în elaborarea, respectiv actualizarea anuală a documentelor de planificare strategică pe termen lung la nivel regional (PRAI) şi local (PLAI), pe baza cărora la nivelul fiecărei şcoli din program au fost elaborate planuri şcolare de acţiune (PAS).</w:t>
      </w:r>
    </w:p>
    <w:p w:rsidR="001C1C34" w:rsidRPr="00A11E57" w:rsidRDefault="004D4821" w:rsidP="000C6A67">
      <w:pPr>
        <w:tabs>
          <w:tab w:val="center" w:pos="851"/>
          <w:tab w:val="right" w:pos="8640"/>
        </w:tabs>
        <w:spacing w:after="0" w:line="240" w:lineRule="auto"/>
        <w:jc w:val="both"/>
        <w:rPr>
          <w:rFonts w:ascii="Arial" w:eastAsia="Americana BT" w:hAnsi="Arial" w:cs="Arial"/>
          <w:sz w:val="24"/>
          <w:szCs w:val="24"/>
        </w:rPr>
      </w:pPr>
      <w:r>
        <w:rPr>
          <w:rFonts w:ascii="Arial" w:eastAsia="Americana BT" w:hAnsi="Arial" w:cs="Arial"/>
          <w:sz w:val="24"/>
          <w:szCs w:val="24"/>
        </w:rPr>
        <w:tab/>
      </w:r>
      <w:r w:rsidR="001C1C34" w:rsidRPr="00A11E57">
        <w:rPr>
          <w:rFonts w:ascii="Arial" w:eastAsia="Americana BT" w:hAnsi="Arial" w:cs="Arial"/>
          <w:sz w:val="24"/>
          <w:szCs w:val="24"/>
        </w:rPr>
        <w:t>La nivelul unităţilor şcolare, principalul instrument de planificare strategică pe baza analizei mediului intern (autoevaluare) şi extern este concretizat prin Planurile de acţiune ale şcolilor (PAS) Şcolile cuprinse în programul Phare TVET au beneficiat de formare şi asistenţă pentru elaborarea PAS şi în raport cu PRAI şi PLAI. Începând cu anul şcolar 2006-2007 s-a generalizat elaborarea Planurilor de acţiune ale şcolilor (PAS) pentru toate unităţile de în</w:t>
      </w:r>
      <w:r w:rsidR="00077B4B">
        <w:rPr>
          <w:rFonts w:ascii="Arial" w:eastAsia="Americana BT" w:hAnsi="Arial" w:cs="Arial"/>
          <w:sz w:val="24"/>
          <w:szCs w:val="24"/>
        </w:rPr>
        <w:t>văţământ profesional şi tehnic.</w:t>
      </w:r>
    </w:p>
    <w:p w:rsidR="001C1C34" w:rsidRPr="00A11E57" w:rsidRDefault="004D4821" w:rsidP="000C6A67">
      <w:pPr>
        <w:tabs>
          <w:tab w:val="center" w:pos="851"/>
          <w:tab w:val="right" w:pos="8640"/>
        </w:tabs>
        <w:spacing w:after="0" w:line="240" w:lineRule="auto"/>
        <w:jc w:val="both"/>
        <w:rPr>
          <w:rFonts w:ascii="Arial" w:eastAsia="Americana BT" w:hAnsi="Arial" w:cs="Arial"/>
          <w:sz w:val="24"/>
          <w:szCs w:val="24"/>
        </w:rPr>
      </w:pPr>
      <w:r>
        <w:rPr>
          <w:rFonts w:ascii="Arial" w:eastAsia="Americana BT" w:hAnsi="Arial" w:cs="Arial"/>
          <w:sz w:val="24"/>
          <w:szCs w:val="24"/>
        </w:rPr>
        <w:tab/>
      </w:r>
      <w:r w:rsidR="001C1C34" w:rsidRPr="00A11E57">
        <w:rPr>
          <w:rFonts w:ascii="Arial" w:eastAsia="Americana BT" w:hAnsi="Arial" w:cs="Arial"/>
          <w:sz w:val="24"/>
          <w:szCs w:val="24"/>
        </w:rPr>
        <w:t>Având în vedere mecanismele de finanţare în vigoare şi autonomia comunităţii locale, este esenţială antrenarea autorităţilor locale în procesul de planificare strategică pe termen lung în ÎPT.</w:t>
      </w:r>
    </w:p>
    <w:p w:rsidR="00EB797F" w:rsidRDefault="004D4821" w:rsidP="00EB797F">
      <w:pPr>
        <w:tabs>
          <w:tab w:val="center" w:pos="851"/>
          <w:tab w:val="right" w:pos="8640"/>
        </w:tabs>
        <w:spacing w:after="0" w:line="240" w:lineRule="auto"/>
        <w:jc w:val="both"/>
        <w:rPr>
          <w:rFonts w:ascii="Arial" w:eastAsia="Americana BT" w:hAnsi="Arial" w:cs="Arial"/>
          <w:sz w:val="24"/>
          <w:szCs w:val="24"/>
        </w:rPr>
      </w:pPr>
      <w:r>
        <w:rPr>
          <w:rFonts w:ascii="Arial" w:eastAsia="Americana BT" w:hAnsi="Arial" w:cs="Arial"/>
          <w:sz w:val="24"/>
          <w:szCs w:val="24"/>
        </w:rPr>
        <w:tab/>
      </w:r>
      <w:r w:rsidR="001C1C34" w:rsidRPr="00077B4B">
        <w:rPr>
          <w:rFonts w:ascii="Arial" w:eastAsia="Americana BT" w:hAnsi="Arial" w:cs="Arial"/>
          <w:b/>
          <w:sz w:val="24"/>
          <w:szCs w:val="24"/>
        </w:rPr>
        <w:t>Principalele probleme identificate</w:t>
      </w:r>
      <w:r w:rsidR="001C1C34" w:rsidRPr="00A11E57">
        <w:rPr>
          <w:rFonts w:ascii="Arial" w:eastAsia="Americana BT" w:hAnsi="Arial" w:cs="Arial"/>
          <w:sz w:val="24"/>
          <w:szCs w:val="24"/>
        </w:rPr>
        <w:t xml:space="preserve"> în cadrul acestui proces sunt referitoare la:</w:t>
      </w:r>
    </w:p>
    <w:p w:rsidR="00EB797F" w:rsidRDefault="001C1C34" w:rsidP="00EB797F">
      <w:pPr>
        <w:tabs>
          <w:tab w:val="center" w:pos="851"/>
          <w:tab w:val="right" w:pos="8640"/>
        </w:tabs>
        <w:spacing w:after="0" w:line="240" w:lineRule="auto"/>
        <w:jc w:val="both"/>
        <w:rPr>
          <w:rFonts w:ascii="Arial" w:eastAsia="Americana BT" w:hAnsi="Arial" w:cs="Arial"/>
          <w:sz w:val="24"/>
          <w:szCs w:val="24"/>
        </w:rPr>
      </w:pPr>
      <w:r>
        <w:rPr>
          <w:rFonts w:ascii="Arial" w:eastAsia="Americana BT" w:hAnsi="Arial" w:cs="Arial"/>
          <w:sz w:val="24"/>
          <w:szCs w:val="24"/>
        </w:rPr>
        <w:t>-</w:t>
      </w:r>
      <w:r w:rsidRPr="00A11E57">
        <w:rPr>
          <w:rFonts w:ascii="Arial" w:eastAsia="Americana BT" w:hAnsi="Arial" w:cs="Arial"/>
          <w:sz w:val="24"/>
          <w:szCs w:val="24"/>
        </w:rPr>
        <w:t>slaba legătură şi controlul redus între nivelul regional de planificare şi nivelul decizional în învăţământ (inspectoratele şcolare judeţene şi şcolile, autorităţile locale);</w:t>
      </w:r>
    </w:p>
    <w:p w:rsidR="00EB797F" w:rsidRDefault="001C1C34" w:rsidP="00EB797F">
      <w:pPr>
        <w:tabs>
          <w:tab w:val="center" w:pos="851"/>
          <w:tab w:val="right" w:pos="8640"/>
        </w:tabs>
        <w:spacing w:after="0" w:line="240" w:lineRule="auto"/>
        <w:jc w:val="both"/>
        <w:rPr>
          <w:rFonts w:ascii="Arial" w:eastAsia="Americana BT" w:hAnsi="Arial" w:cs="Arial"/>
          <w:sz w:val="24"/>
          <w:szCs w:val="24"/>
        </w:rPr>
      </w:pPr>
      <w:r>
        <w:rPr>
          <w:rFonts w:ascii="Arial" w:eastAsia="Americana BT" w:hAnsi="Arial" w:cs="Arial"/>
          <w:sz w:val="24"/>
          <w:szCs w:val="24"/>
        </w:rPr>
        <w:t>-</w:t>
      </w:r>
      <w:r w:rsidRPr="00A11E57">
        <w:rPr>
          <w:rFonts w:ascii="Arial" w:eastAsia="Americana BT" w:hAnsi="Arial" w:cs="Arial"/>
          <w:sz w:val="24"/>
          <w:szCs w:val="24"/>
        </w:rPr>
        <w:t>finanţarea învăţământului preponderent c</w:t>
      </w:r>
      <w:r>
        <w:rPr>
          <w:rFonts w:ascii="Arial" w:eastAsia="Americana BT" w:hAnsi="Arial" w:cs="Arial"/>
          <w:sz w:val="24"/>
          <w:szCs w:val="24"/>
        </w:rPr>
        <w:t>entrată pe activităţile curente/</w:t>
      </w:r>
      <w:r w:rsidRPr="00A11E57">
        <w:rPr>
          <w:rFonts w:ascii="Arial" w:eastAsia="Americana BT" w:hAnsi="Arial" w:cs="Arial"/>
          <w:sz w:val="24"/>
          <w:szCs w:val="24"/>
        </w:rPr>
        <w:t>pe termen scurt şi foarte puţin pe nevoile şi priorităţile pe termen lung;</w:t>
      </w:r>
    </w:p>
    <w:p w:rsidR="00EB797F" w:rsidRDefault="001C1C34" w:rsidP="00EB797F">
      <w:pPr>
        <w:tabs>
          <w:tab w:val="center" w:pos="851"/>
          <w:tab w:val="right" w:pos="8640"/>
        </w:tabs>
        <w:spacing w:after="0" w:line="240" w:lineRule="auto"/>
        <w:jc w:val="both"/>
        <w:rPr>
          <w:rFonts w:ascii="Arial" w:eastAsia="Americana BT" w:hAnsi="Arial" w:cs="Arial"/>
          <w:sz w:val="24"/>
          <w:szCs w:val="24"/>
        </w:rPr>
      </w:pPr>
      <w:r>
        <w:rPr>
          <w:rFonts w:ascii="Arial" w:eastAsia="Americana BT" w:hAnsi="Arial" w:cs="Arial"/>
          <w:sz w:val="24"/>
          <w:szCs w:val="24"/>
        </w:rPr>
        <w:t>-</w:t>
      </w:r>
      <w:r w:rsidRPr="00A11E57">
        <w:rPr>
          <w:rFonts w:ascii="Arial" w:eastAsia="Americana BT" w:hAnsi="Arial" w:cs="Arial"/>
          <w:sz w:val="24"/>
          <w:szCs w:val="24"/>
        </w:rPr>
        <w:t>antrenarea agenţilor economici în efortul de planificare pe termen lung în ÎPT;</w:t>
      </w:r>
    </w:p>
    <w:p w:rsidR="001C1C34" w:rsidRPr="00A11E57" w:rsidRDefault="001C1C34" w:rsidP="00EB797F">
      <w:pPr>
        <w:tabs>
          <w:tab w:val="center" w:pos="851"/>
          <w:tab w:val="right" w:pos="8640"/>
        </w:tabs>
        <w:spacing w:after="0" w:line="240" w:lineRule="auto"/>
        <w:jc w:val="both"/>
        <w:rPr>
          <w:rFonts w:ascii="Arial" w:eastAsia="Americana BT" w:hAnsi="Arial" w:cs="Arial"/>
          <w:sz w:val="24"/>
          <w:szCs w:val="24"/>
        </w:rPr>
      </w:pPr>
      <w:r>
        <w:rPr>
          <w:rFonts w:ascii="Arial" w:eastAsia="Americana BT" w:hAnsi="Arial" w:cs="Arial"/>
          <w:sz w:val="24"/>
          <w:szCs w:val="24"/>
        </w:rPr>
        <w:t>-</w:t>
      </w:r>
      <w:r w:rsidRPr="00A11E57">
        <w:rPr>
          <w:rFonts w:ascii="Arial" w:eastAsia="Americana BT" w:hAnsi="Arial" w:cs="Arial"/>
          <w:sz w:val="24"/>
          <w:szCs w:val="24"/>
        </w:rPr>
        <w:t>neimplicarea sau implicarea formală a partenerilor sociali din Consiliile de Administraţie ale Şcolilor în procesul de planificare pe termen lung la nivelul şcolii.</w:t>
      </w:r>
    </w:p>
    <w:p w:rsidR="001C1C34" w:rsidRPr="00A11E57" w:rsidRDefault="001C1C34" w:rsidP="000C6A67">
      <w:pPr>
        <w:tabs>
          <w:tab w:val="center" w:pos="851"/>
          <w:tab w:val="right" w:pos="8640"/>
        </w:tabs>
        <w:spacing w:after="0" w:line="240" w:lineRule="auto"/>
        <w:jc w:val="both"/>
        <w:rPr>
          <w:rFonts w:ascii="Arial" w:eastAsia="Americana BT" w:hAnsi="Arial" w:cs="Arial"/>
          <w:sz w:val="24"/>
          <w:szCs w:val="24"/>
        </w:rPr>
      </w:pPr>
      <w:r w:rsidRPr="00A11E57">
        <w:rPr>
          <w:rFonts w:ascii="Arial" w:eastAsia="Americana BT" w:hAnsi="Arial" w:cs="Arial"/>
          <w:sz w:val="24"/>
          <w:szCs w:val="24"/>
        </w:rPr>
        <w:tab/>
        <w:t>Un alt domeniu al descentralizării funcţionale este curriculum</w:t>
      </w:r>
      <w:r>
        <w:rPr>
          <w:rFonts w:ascii="Arial" w:eastAsia="Americana BT" w:hAnsi="Arial" w:cs="Arial"/>
          <w:sz w:val="24"/>
          <w:szCs w:val="24"/>
        </w:rPr>
        <w:t>-ul în dezvoltare locală (CDL)–</w:t>
      </w:r>
      <w:r w:rsidRPr="00A11E57">
        <w:rPr>
          <w:rFonts w:ascii="Arial" w:eastAsia="Americana BT" w:hAnsi="Arial" w:cs="Arial"/>
          <w:sz w:val="24"/>
          <w:szCs w:val="24"/>
        </w:rPr>
        <w:t>componentă impo</w:t>
      </w:r>
      <w:r>
        <w:rPr>
          <w:rFonts w:ascii="Arial" w:eastAsia="Americana BT" w:hAnsi="Arial" w:cs="Arial"/>
          <w:sz w:val="24"/>
          <w:szCs w:val="24"/>
        </w:rPr>
        <w:t>rtantă a planului de învăţământ,</w:t>
      </w:r>
      <w:r w:rsidRPr="00A11E57">
        <w:rPr>
          <w:rFonts w:ascii="Arial" w:eastAsia="Americana BT" w:hAnsi="Arial" w:cs="Arial"/>
          <w:sz w:val="24"/>
          <w:szCs w:val="24"/>
        </w:rPr>
        <w:t xml:space="preserve"> care vizează adaptarea conţinutului pregătirii la cerinţele locale din partea beneficiarilor instruirii (agenţi economici, comunitate locală, elevi).</w:t>
      </w:r>
    </w:p>
    <w:p w:rsidR="001937AF" w:rsidRPr="002B5DB0" w:rsidRDefault="001937AF" w:rsidP="000C6A67">
      <w:pPr>
        <w:spacing w:after="0" w:line="240" w:lineRule="auto"/>
        <w:jc w:val="both"/>
        <w:rPr>
          <w:rFonts w:ascii="Arial" w:hAnsi="Arial" w:cs="Arial"/>
          <w:b/>
          <w:sz w:val="24"/>
          <w:szCs w:val="24"/>
          <w:lang w:eastAsia="ro-RO"/>
        </w:rPr>
      </w:pPr>
    </w:p>
    <w:p w:rsidR="002B5DB0" w:rsidRPr="006E7418" w:rsidRDefault="00FE3CCA" w:rsidP="006E7418">
      <w:pPr>
        <w:pStyle w:val="Heading3"/>
        <w:spacing w:before="0" w:line="240" w:lineRule="auto"/>
        <w:jc w:val="both"/>
        <w:rPr>
          <w:rFonts w:ascii="Arial" w:hAnsi="Arial" w:cs="Arial"/>
          <w:b w:val="0"/>
          <w:i/>
          <w:color w:val="auto"/>
          <w:sz w:val="24"/>
          <w:szCs w:val="24"/>
          <w:lang w:eastAsia="ro-RO"/>
        </w:rPr>
      </w:pPr>
      <w:bookmarkStart w:id="102" w:name="_Toc488066071"/>
      <w:r w:rsidRPr="006E7418">
        <w:rPr>
          <w:rFonts w:ascii="Arial" w:hAnsi="Arial" w:cs="Arial"/>
          <w:b w:val="0"/>
          <w:i/>
          <w:color w:val="auto"/>
          <w:sz w:val="24"/>
          <w:szCs w:val="24"/>
          <w:lang w:eastAsia="ro-RO"/>
        </w:rPr>
        <w:t>6.2</w:t>
      </w:r>
      <w:r w:rsidR="00406DCE" w:rsidRPr="006E7418">
        <w:rPr>
          <w:rFonts w:ascii="Arial" w:hAnsi="Arial" w:cs="Arial"/>
          <w:b w:val="0"/>
          <w:i/>
          <w:color w:val="auto"/>
          <w:sz w:val="24"/>
          <w:szCs w:val="24"/>
          <w:lang w:eastAsia="ro-RO"/>
        </w:rPr>
        <w:t>.2. Asigurarea calităţii în ÎPT</w:t>
      </w:r>
      <w:bookmarkEnd w:id="102"/>
    </w:p>
    <w:p w:rsidR="00E346CD" w:rsidRPr="006E7418" w:rsidRDefault="00E346CD" w:rsidP="000C6A67">
      <w:pPr>
        <w:spacing w:after="0" w:line="240" w:lineRule="auto"/>
        <w:jc w:val="both"/>
        <w:rPr>
          <w:rFonts w:ascii="Arial" w:hAnsi="Arial" w:cs="Arial"/>
          <w:sz w:val="24"/>
          <w:szCs w:val="24"/>
        </w:rPr>
      </w:pPr>
      <w:r w:rsidRPr="006E7418">
        <w:rPr>
          <w:rFonts w:ascii="Arial" w:hAnsi="Arial" w:cs="Arial"/>
          <w:sz w:val="24"/>
          <w:szCs w:val="24"/>
        </w:rPr>
        <w:t xml:space="preserve">Asigurarea calităţii reprezintă condiţia de optimizare şi de dezvoltare a ofertei furnizorilor de educaţie sau formare profesională, ca răspuns la cerinţele beneficiarilor direcţi, a angajatorilor şi a societăţii în ansamblul ei. </w:t>
      </w:r>
    </w:p>
    <w:p w:rsidR="00E346CD" w:rsidRPr="006E7418" w:rsidRDefault="00E346CD" w:rsidP="000C6A67">
      <w:pPr>
        <w:spacing w:after="0" w:line="240" w:lineRule="auto"/>
        <w:jc w:val="both"/>
        <w:rPr>
          <w:rFonts w:ascii="Arial" w:hAnsi="Arial" w:cs="Arial"/>
          <w:sz w:val="24"/>
          <w:szCs w:val="24"/>
        </w:rPr>
      </w:pPr>
      <w:r w:rsidRPr="006E7418">
        <w:rPr>
          <w:rFonts w:ascii="Arial" w:hAnsi="Arial" w:cs="Arial"/>
          <w:kern w:val="2"/>
          <w:sz w:val="24"/>
          <w:szCs w:val="24"/>
        </w:rPr>
        <w:lastRenderedPageBreak/>
        <w:t xml:space="preserve">Asigurarea calităţii în învăţământul profesional şi tehnic se realizează atât la nivel de sistem, cât şi la nivel de furnizor şi se bazează pe Cadrul Naţional de Asigurare a Calităţii (CNAC) și pe </w:t>
      </w:r>
      <w:r w:rsidRPr="006E7418">
        <w:rPr>
          <w:rFonts w:ascii="Arial" w:hAnsi="Arial" w:cs="Arial"/>
          <w:sz w:val="24"/>
          <w:szCs w:val="24"/>
        </w:rPr>
        <w:t>standardele de autorizare provizorie, de acreditare, de evaluare şi de referinţă, respectiv metodologia de evaluare instituţională în vederea autorizării, acreditării şi evaluării periodice a organizaţiilor furnizoare de educaţie.</w:t>
      </w:r>
    </w:p>
    <w:p w:rsidR="00E346CD" w:rsidRPr="006E7418" w:rsidRDefault="00E346CD" w:rsidP="000C6A67">
      <w:pPr>
        <w:spacing w:after="0" w:line="240" w:lineRule="auto"/>
        <w:jc w:val="both"/>
        <w:rPr>
          <w:rFonts w:ascii="Arial" w:hAnsi="Arial" w:cs="Arial"/>
          <w:kern w:val="2"/>
          <w:sz w:val="24"/>
          <w:szCs w:val="24"/>
        </w:rPr>
      </w:pPr>
      <w:r w:rsidRPr="006E7418">
        <w:rPr>
          <w:rFonts w:ascii="Arial" w:hAnsi="Arial" w:cs="Arial"/>
          <w:kern w:val="2"/>
          <w:sz w:val="24"/>
          <w:szCs w:val="24"/>
        </w:rPr>
        <w:t xml:space="preserve">Sistemele de calitate  din unitățile de învățământ profesional și tehnic sunt  dezvoltate pe baza următoarelor principii: </w:t>
      </w:r>
      <w:r w:rsidRPr="006E7418">
        <w:rPr>
          <w:rFonts w:ascii="Arial" w:hAnsi="Arial" w:cs="Arial"/>
          <w:bCs/>
          <w:sz w:val="24"/>
          <w:szCs w:val="24"/>
          <w:lang w:val="vi-VN"/>
        </w:rPr>
        <w:t>Managementul calităţii</w:t>
      </w:r>
      <w:r w:rsidRPr="006E7418">
        <w:rPr>
          <w:rFonts w:ascii="Arial" w:hAnsi="Arial" w:cs="Arial"/>
          <w:bCs/>
          <w:sz w:val="24"/>
          <w:szCs w:val="24"/>
        </w:rPr>
        <w:t>,</w:t>
      </w:r>
      <w:r w:rsidRPr="006E7418">
        <w:rPr>
          <w:rFonts w:ascii="Arial" w:hAnsi="Arial" w:cs="Arial"/>
          <w:bCs/>
          <w:sz w:val="24"/>
          <w:szCs w:val="24"/>
          <w:lang w:val="vi-VN"/>
        </w:rPr>
        <w:t xml:space="preserve"> Responsabilităţile managementului</w:t>
      </w:r>
      <w:r w:rsidRPr="006E7418">
        <w:rPr>
          <w:rFonts w:ascii="Arial" w:hAnsi="Arial" w:cs="Arial"/>
          <w:bCs/>
          <w:sz w:val="24"/>
          <w:szCs w:val="24"/>
        </w:rPr>
        <w:t>,</w:t>
      </w:r>
      <w:r w:rsidRPr="006E7418">
        <w:rPr>
          <w:rFonts w:ascii="Arial" w:hAnsi="Arial" w:cs="Arial"/>
          <w:bCs/>
          <w:sz w:val="24"/>
          <w:szCs w:val="24"/>
          <w:lang w:val="vi-VN"/>
        </w:rPr>
        <w:t xml:space="preserve"> Managementul resurselor</w:t>
      </w:r>
      <w:r w:rsidRPr="006E7418">
        <w:rPr>
          <w:rFonts w:ascii="Arial" w:hAnsi="Arial" w:cs="Arial"/>
          <w:bCs/>
          <w:sz w:val="24"/>
          <w:szCs w:val="24"/>
        </w:rPr>
        <w:t>,</w:t>
      </w:r>
      <w:r w:rsidRPr="006E7418">
        <w:rPr>
          <w:rFonts w:ascii="Arial" w:hAnsi="Arial" w:cs="Arial"/>
          <w:bCs/>
          <w:sz w:val="24"/>
          <w:szCs w:val="24"/>
          <w:lang w:val="vi-VN"/>
        </w:rPr>
        <w:t xml:space="preserve"> Proiectarea, dezvoltarea şi revizuirea programelor de învăţare</w:t>
      </w:r>
      <w:r w:rsidRPr="006E7418">
        <w:rPr>
          <w:rFonts w:ascii="Arial" w:hAnsi="Arial" w:cs="Arial"/>
          <w:bCs/>
          <w:sz w:val="24"/>
          <w:szCs w:val="24"/>
        </w:rPr>
        <w:t>,</w:t>
      </w:r>
      <w:r w:rsidRPr="006E7418">
        <w:rPr>
          <w:rFonts w:ascii="Arial" w:hAnsi="Arial" w:cs="Arial"/>
          <w:bCs/>
          <w:sz w:val="24"/>
          <w:szCs w:val="24"/>
          <w:lang w:val="vi-VN"/>
        </w:rPr>
        <w:t xml:space="preserve"> Predarea, instruirea practică şi învăţarea</w:t>
      </w:r>
      <w:r w:rsidRPr="006E7418">
        <w:rPr>
          <w:rFonts w:ascii="Arial" w:hAnsi="Arial" w:cs="Arial"/>
          <w:bCs/>
          <w:sz w:val="24"/>
          <w:szCs w:val="24"/>
        </w:rPr>
        <w:t>,</w:t>
      </w:r>
      <w:r w:rsidRPr="006E7418">
        <w:rPr>
          <w:rFonts w:ascii="Arial" w:hAnsi="Arial" w:cs="Arial"/>
          <w:bCs/>
          <w:sz w:val="24"/>
          <w:szCs w:val="24"/>
          <w:lang w:val="vi-VN"/>
        </w:rPr>
        <w:t xml:space="preserve"> Evaluarea şi certificarea învăţării</w:t>
      </w:r>
      <w:r w:rsidRPr="006E7418">
        <w:rPr>
          <w:rFonts w:ascii="Arial" w:hAnsi="Arial" w:cs="Arial"/>
          <w:bCs/>
          <w:sz w:val="24"/>
          <w:szCs w:val="24"/>
        </w:rPr>
        <w:t>,</w:t>
      </w:r>
      <w:r w:rsidRPr="006E7418">
        <w:rPr>
          <w:rFonts w:ascii="Arial" w:hAnsi="Arial" w:cs="Arial"/>
          <w:bCs/>
          <w:sz w:val="24"/>
          <w:szCs w:val="24"/>
          <w:lang w:val="vi-VN"/>
        </w:rPr>
        <w:t xml:space="preserve"> Evaluarea şi Îmbunătăţirea calităţii</w:t>
      </w:r>
    </w:p>
    <w:p w:rsidR="00E346CD" w:rsidRPr="006E7418" w:rsidRDefault="00E346CD" w:rsidP="000C6A67">
      <w:pPr>
        <w:spacing w:after="0" w:line="240" w:lineRule="auto"/>
        <w:jc w:val="both"/>
        <w:rPr>
          <w:rFonts w:ascii="Arial" w:hAnsi="Arial" w:cs="Arial"/>
          <w:sz w:val="24"/>
          <w:szCs w:val="24"/>
        </w:rPr>
      </w:pPr>
      <w:r w:rsidRPr="006E7418">
        <w:rPr>
          <w:rFonts w:ascii="Arial" w:hAnsi="Arial" w:cs="Arial"/>
          <w:sz w:val="24"/>
          <w:szCs w:val="24"/>
        </w:rPr>
        <w:t>Imbunătățirea continuă a calit</w:t>
      </w:r>
      <w:r w:rsidR="002B5DB0" w:rsidRPr="006E7418">
        <w:rPr>
          <w:rFonts w:ascii="Arial" w:hAnsi="Arial" w:cs="Arial"/>
          <w:sz w:val="24"/>
          <w:szCs w:val="24"/>
        </w:rPr>
        <w:t>ă</w:t>
      </w:r>
      <w:r w:rsidRPr="006E7418">
        <w:rPr>
          <w:rFonts w:ascii="Arial" w:hAnsi="Arial" w:cs="Arial"/>
          <w:sz w:val="24"/>
          <w:szCs w:val="24"/>
        </w:rPr>
        <w:t>ții serviciilor de educație și formare profesională se realizează printr-o succesiune ciclică de procese de planificare și realizare a unor acțiuni de evaluare a impactului acestora, și de revizuire. Mecanismul de asigurare a calităţii utilizat este construit pe autoevaluarea din partea şcolii, confruntată cu evaluarea externă (prin inspecţie şcolară), ambele fiind structurate pe acelaşi set de indicatori (descriptori de performanţă). Rezultatele evaluării se regăsesc în planurile de îmbunătăţire a calităţii.</w:t>
      </w:r>
    </w:p>
    <w:p w:rsidR="001937AF" w:rsidRPr="001937AF" w:rsidRDefault="001937AF" w:rsidP="000C6A67">
      <w:pPr>
        <w:spacing w:after="0" w:line="240" w:lineRule="auto"/>
        <w:jc w:val="both"/>
        <w:rPr>
          <w:rFonts w:ascii="Arial" w:hAnsi="Arial" w:cs="Arial"/>
          <w:sz w:val="24"/>
          <w:szCs w:val="24"/>
          <w:lang w:eastAsia="ro-RO"/>
        </w:rPr>
      </w:pPr>
    </w:p>
    <w:p w:rsidR="00406DCE" w:rsidRPr="006E7418" w:rsidRDefault="00FE3CCA" w:rsidP="000C6A67">
      <w:pPr>
        <w:pStyle w:val="Heading3"/>
        <w:spacing w:before="0" w:line="240" w:lineRule="auto"/>
        <w:jc w:val="both"/>
        <w:rPr>
          <w:rFonts w:ascii="Arial" w:eastAsia="Times New Roman" w:hAnsi="Arial" w:cs="Arial"/>
          <w:b w:val="0"/>
          <w:bCs w:val="0"/>
          <w:i/>
          <w:color w:val="auto"/>
          <w:sz w:val="24"/>
          <w:szCs w:val="24"/>
          <w:lang w:val="en-US"/>
        </w:rPr>
      </w:pPr>
      <w:bookmarkStart w:id="103" w:name="_Toc488066072"/>
      <w:r w:rsidRPr="006E7418">
        <w:rPr>
          <w:rFonts w:ascii="Arial" w:eastAsia="Times New Roman" w:hAnsi="Arial" w:cs="Arial"/>
          <w:b w:val="0"/>
          <w:bCs w:val="0"/>
          <w:i/>
          <w:color w:val="auto"/>
          <w:sz w:val="24"/>
          <w:szCs w:val="24"/>
          <w:lang w:val="en-US"/>
        </w:rPr>
        <w:t>6.2</w:t>
      </w:r>
      <w:r w:rsidR="00406DCE" w:rsidRPr="006E7418">
        <w:rPr>
          <w:rFonts w:ascii="Arial" w:eastAsia="Times New Roman" w:hAnsi="Arial" w:cs="Arial"/>
          <w:b w:val="0"/>
          <w:bCs w:val="0"/>
          <w:i/>
          <w:color w:val="auto"/>
          <w:sz w:val="24"/>
          <w:szCs w:val="24"/>
          <w:lang w:val="en-US"/>
        </w:rPr>
        <w:t>.3. Situaţia şcolară a elevilor din IPT la sfârşitul anului şcolar</w:t>
      </w:r>
      <w:r w:rsidR="00250379" w:rsidRPr="006E7418">
        <w:rPr>
          <w:rFonts w:ascii="Arial" w:eastAsia="Times New Roman" w:hAnsi="Arial" w:cs="Arial"/>
          <w:b w:val="0"/>
          <w:bCs w:val="0"/>
          <w:i/>
          <w:sz w:val="24"/>
          <w:szCs w:val="24"/>
          <w:lang w:val="en-US"/>
        </w:rPr>
        <w:footnoteReference w:id="59"/>
      </w:r>
      <w:bookmarkEnd w:id="103"/>
    </w:p>
    <w:p w:rsidR="00DD5F85" w:rsidRPr="002D3BDB" w:rsidRDefault="007E701D" w:rsidP="000C6A67">
      <w:pPr>
        <w:spacing w:after="0" w:line="240" w:lineRule="auto"/>
        <w:jc w:val="both"/>
        <w:rPr>
          <w:rFonts w:ascii="Arial" w:eastAsia="Times New Roman" w:hAnsi="Arial" w:cs="Arial"/>
          <w:sz w:val="24"/>
          <w:szCs w:val="24"/>
          <w:lang w:val="en-US"/>
        </w:rPr>
      </w:pPr>
      <w:r w:rsidRPr="002D3BDB">
        <w:rPr>
          <w:rFonts w:ascii="Arial" w:eastAsia="Times New Roman" w:hAnsi="Arial" w:cs="Arial"/>
          <w:sz w:val="24"/>
          <w:szCs w:val="24"/>
          <w:lang w:val="en-US"/>
        </w:rPr>
        <w:t xml:space="preserve"> Indicatorul privind situa</w:t>
      </w:r>
      <w:r w:rsidR="001D17BD">
        <w:rPr>
          <w:rFonts w:ascii="Arial" w:eastAsia="Times New Roman" w:hAnsi="Arial" w:cs="Arial"/>
          <w:sz w:val="24"/>
          <w:szCs w:val="24"/>
          <w:lang w:val="en-US"/>
        </w:rPr>
        <w:t>ț</w:t>
      </w:r>
      <w:r w:rsidRPr="002D3BDB">
        <w:rPr>
          <w:rFonts w:ascii="Arial" w:eastAsia="Times New Roman" w:hAnsi="Arial" w:cs="Arial"/>
          <w:sz w:val="24"/>
          <w:szCs w:val="24"/>
          <w:lang w:val="en-US"/>
        </w:rPr>
        <w:t>ia școlară a elevilor la sfârșitul anului școlar este important de analizat, din perspectiva și în corelație cu fen</w:t>
      </w:r>
      <w:r w:rsidR="00327F93">
        <w:rPr>
          <w:rFonts w:ascii="Arial" w:eastAsia="Times New Roman" w:hAnsi="Arial" w:cs="Arial"/>
          <w:sz w:val="24"/>
          <w:szCs w:val="24"/>
          <w:lang w:val="en-US"/>
        </w:rPr>
        <w:t>o</w:t>
      </w:r>
      <w:r w:rsidRPr="002D3BDB">
        <w:rPr>
          <w:rFonts w:ascii="Arial" w:eastAsia="Times New Roman" w:hAnsi="Arial" w:cs="Arial"/>
          <w:sz w:val="24"/>
          <w:szCs w:val="24"/>
          <w:lang w:val="en-US"/>
        </w:rPr>
        <w:t>menul de părpsire a școlii. Se poate observa c</w:t>
      </w:r>
      <w:r w:rsidR="00327F93">
        <w:rPr>
          <w:rFonts w:ascii="Arial" w:eastAsia="Times New Roman" w:hAnsi="Arial" w:cs="Arial"/>
          <w:sz w:val="24"/>
          <w:szCs w:val="24"/>
        </w:rPr>
        <w:t>ă</w:t>
      </w:r>
      <w:r w:rsidRPr="002D3BDB">
        <w:rPr>
          <w:rFonts w:ascii="Arial" w:eastAsia="Times New Roman" w:hAnsi="Arial" w:cs="Arial"/>
          <w:sz w:val="24"/>
          <w:szCs w:val="24"/>
          <w:lang w:val="en-US"/>
        </w:rPr>
        <w:t xml:space="preserve"> în fiecare județ al regiunii rata de promovare </w:t>
      </w:r>
      <w:r w:rsidR="00327F93">
        <w:rPr>
          <w:rFonts w:ascii="Arial" w:eastAsia="Times New Roman" w:hAnsi="Arial" w:cs="Arial"/>
          <w:sz w:val="24"/>
          <w:szCs w:val="24"/>
          <w:lang w:val="en-US"/>
        </w:rPr>
        <w:t>î</w:t>
      </w:r>
      <w:r w:rsidRPr="002D3BDB">
        <w:rPr>
          <w:rFonts w:ascii="Arial" w:eastAsia="Times New Roman" w:hAnsi="Arial" w:cs="Arial"/>
          <w:sz w:val="24"/>
          <w:szCs w:val="24"/>
          <w:lang w:val="en-US"/>
        </w:rPr>
        <w:t>n clasa a XII-a este semnificativ mai mare dec</w:t>
      </w:r>
      <w:r w:rsidR="00327F93">
        <w:rPr>
          <w:rFonts w:ascii="Arial" w:eastAsia="Times New Roman" w:hAnsi="Arial" w:cs="Arial"/>
          <w:sz w:val="24"/>
          <w:szCs w:val="24"/>
          <w:lang w:val="en-US"/>
        </w:rPr>
        <w:t>â</w:t>
      </w:r>
      <w:r w:rsidRPr="002D3BDB">
        <w:rPr>
          <w:rFonts w:ascii="Arial" w:eastAsia="Times New Roman" w:hAnsi="Arial" w:cs="Arial"/>
          <w:sz w:val="24"/>
          <w:szCs w:val="24"/>
          <w:lang w:val="en-US"/>
        </w:rPr>
        <w:t xml:space="preserve">t cea pentru clasa a IX-a; După clasa a IX-a se înregistrează „pierderi„ raportate ca nepromovare de 6% la nivelul regiunii, și chiar 9% pentru județul </w:t>
      </w:r>
      <w:r w:rsidR="007A2956">
        <w:rPr>
          <w:rFonts w:ascii="Arial" w:eastAsia="Times New Roman" w:hAnsi="Arial" w:cs="Arial"/>
          <w:sz w:val="24"/>
          <w:szCs w:val="24"/>
          <w:lang w:val="en-US"/>
        </w:rPr>
        <w:t>Caras-Severin</w:t>
      </w:r>
      <w:r w:rsidRPr="002D3BDB">
        <w:rPr>
          <w:rFonts w:ascii="Arial" w:eastAsia="Times New Roman" w:hAnsi="Arial" w:cs="Arial"/>
          <w:sz w:val="24"/>
          <w:szCs w:val="24"/>
          <w:lang w:val="en-US"/>
        </w:rPr>
        <w:t xml:space="preserve">.  Aceste valori sunt semnale și cer analize concrete la nivelul elevilor care încep studiile </w:t>
      </w:r>
      <w:r w:rsidR="00327F93">
        <w:rPr>
          <w:rFonts w:ascii="Arial" w:eastAsia="Times New Roman" w:hAnsi="Arial" w:cs="Arial"/>
          <w:sz w:val="24"/>
          <w:szCs w:val="24"/>
          <w:lang w:val="en-US"/>
        </w:rPr>
        <w:t>î</w:t>
      </w:r>
      <w:r w:rsidRPr="002D3BDB">
        <w:rPr>
          <w:rFonts w:ascii="Arial" w:eastAsia="Times New Roman" w:hAnsi="Arial" w:cs="Arial"/>
          <w:sz w:val="24"/>
          <w:szCs w:val="24"/>
          <w:lang w:val="en-US"/>
        </w:rPr>
        <w:t>n cl</w:t>
      </w:r>
      <w:r w:rsidR="00327F93">
        <w:rPr>
          <w:rFonts w:ascii="Arial" w:eastAsia="Times New Roman" w:hAnsi="Arial" w:cs="Arial"/>
          <w:sz w:val="24"/>
          <w:szCs w:val="24"/>
          <w:lang w:val="en-US"/>
        </w:rPr>
        <w:t>a</w:t>
      </w:r>
      <w:r w:rsidRPr="002D3BDB">
        <w:rPr>
          <w:rFonts w:ascii="Arial" w:eastAsia="Times New Roman" w:hAnsi="Arial" w:cs="Arial"/>
          <w:sz w:val="24"/>
          <w:szCs w:val="24"/>
          <w:lang w:val="en-US"/>
        </w:rPr>
        <w:t xml:space="preserve">sa a IX-a, posibil cu deciziile luate pentru forma de educație fără </w:t>
      </w:r>
      <w:r w:rsidR="00327F93">
        <w:rPr>
          <w:rFonts w:ascii="Arial" w:eastAsia="Times New Roman" w:hAnsi="Arial" w:cs="Arial"/>
          <w:sz w:val="24"/>
          <w:szCs w:val="24"/>
          <w:lang w:val="en-US"/>
        </w:rPr>
        <w:t>o</w:t>
      </w:r>
      <w:r w:rsidRPr="002D3BDB">
        <w:rPr>
          <w:rFonts w:ascii="Arial" w:eastAsia="Times New Roman" w:hAnsi="Arial" w:cs="Arial"/>
          <w:sz w:val="24"/>
          <w:szCs w:val="24"/>
          <w:lang w:val="en-US"/>
        </w:rPr>
        <w:t xml:space="preserve"> informare completă și corelată cu aspirațiile lor, cu potențialul lor, cu cerințele diferitelor forme de școlarizare.  </w:t>
      </w:r>
    </w:p>
    <w:p w:rsidR="006E7418" w:rsidRDefault="006E7418" w:rsidP="000C6A67">
      <w:pPr>
        <w:spacing w:after="0" w:line="240" w:lineRule="auto"/>
        <w:jc w:val="center"/>
        <w:rPr>
          <w:rFonts w:ascii="Arial" w:hAnsi="Arial" w:cs="Arial"/>
          <w:lang w:eastAsia="ro-RO"/>
        </w:rPr>
      </w:pPr>
    </w:p>
    <w:p w:rsidR="007E701D" w:rsidRPr="00F266A2" w:rsidRDefault="00F266A2" w:rsidP="000C6A67">
      <w:pPr>
        <w:spacing w:after="0" w:line="240" w:lineRule="auto"/>
        <w:jc w:val="center"/>
        <w:rPr>
          <w:rFonts w:ascii="Arial" w:hAnsi="Arial" w:cs="Arial"/>
          <w:lang w:eastAsia="ro-RO"/>
        </w:rPr>
      </w:pPr>
      <w:r w:rsidRPr="00F266A2">
        <w:rPr>
          <w:rFonts w:ascii="Arial" w:hAnsi="Arial" w:cs="Arial"/>
          <w:lang w:eastAsia="ro-RO"/>
        </w:rPr>
        <w:t xml:space="preserve">Figura </w:t>
      </w:r>
      <w:r w:rsidR="00373E67">
        <w:rPr>
          <w:rFonts w:ascii="Arial" w:hAnsi="Arial" w:cs="Arial"/>
          <w:lang w:eastAsia="ro-RO"/>
        </w:rPr>
        <w:t>40</w:t>
      </w:r>
    </w:p>
    <w:p w:rsidR="00224325" w:rsidRDefault="007E701D" w:rsidP="000C6A67">
      <w:pPr>
        <w:spacing w:after="0" w:line="240" w:lineRule="auto"/>
        <w:jc w:val="both"/>
        <w:rPr>
          <w:rFonts w:ascii="Arial" w:hAnsi="Arial" w:cs="Arial"/>
          <w:sz w:val="24"/>
          <w:szCs w:val="24"/>
          <w:lang w:eastAsia="ro-RO"/>
        </w:rPr>
      </w:pPr>
      <w:r>
        <w:rPr>
          <w:noProof/>
          <w:lang w:val="en-US"/>
        </w:rPr>
        <w:drawing>
          <wp:inline distT="0" distB="0" distL="0" distR="0">
            <wp:extent cx="5942330" cy="2277745"/>
            <wp:effectExtent l="0" t="0" r="1270" b="8255"/>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077B4B" w:rsidRPr="00077B4B" w:rsidRDefault="00077B4B" w:rsidP="00635007">
      <w:pPr>
        <w:spacing w:after="0" w:line="240" w:lineRule="auto"/>
        <w:jc w:val="center"/>
        <w:rPr>
          <w:rFonts w:ascii="Arial" w:hAnsi="Arial" w:cs="Arial"/>
          <w:lang w:eastAsia="ro-RO"/>
        </w:rPr>
      </w:pPr>
      <w:r w:rsidRPr="00077B4B">
        <w:rPr>
          <w:rFonts w:ascii="Arial" w:hAnsi="Arial" w:cs="Arial"/>
          <w:lang w:eastAsia="ro-RO"/>
        </w:rPr>
        <w:t>Sursa: INS</w:t>
      </w:r>
    </w:p>
    <w:p w:rsidR="00DB655B" w:rsidRDefault="00DB655B" w:rsidP="000C6A67">
      <w:pPr>
        <w:spacing w:after="0" w:line="240" w:lineRule="auto"/>
        <w:jc w:val="both"/>
        <w:rPr>
          <w:rFonts w:ascii="Arial" w:eastAsia="Times New Roman" w:hAnsi="Arial" w:cs="Arial"/>
          <w:sz w:val="24"/>
          <w:szCs w:val="24"/>
          <w:lang w:val="en-US"/>
        </w:rPr>
      </w:pPr>
    </w:p>
    <w:p w:rsidR="00381CFF" w:rsidRDefault="00077B4B" w:rsidP="000C6A67">
      <w:pPr>
        <w:spacing w:after="0" w:line="240" w:lineRule="auto"/>
        <w:jc w:val="both"/>
        <w:rPr>
          <w:rFonts w:ascii="Arial" w:hAnsi="Arial" w:cs="Arial"/>
          <w:sz w:val="24"/>
          <w:szCs w:val="24"/>
          <w:lang w:eastAsia="ro-RO"/>
        </w:rPr>
      </w:pPr>
      <w:r w:rsidRPr="002D3BDB">
        <w:rPr>
          <w:rFonts w:ascii="Arial" w:eastAsia="Times New Roman" w:hAnsi="Arial" w:cs="Arial"/>
          <w:sz w:val="24"/>
          <w:szCs w:val="24"/>
          <w:lang w:val="en-US"/>
        </w:rPr>
        <w:t>Nu trebuie uitat faptul că clasa a IX-a este parte a învățământului obligatoriu, deci r</w:t>
      </w:r>
      <w:r>
        <w:rPr>
          <w:rFonts w:ascii="Arial" w:eastAsia="Times New Roman" w:hAnsi="Arial" w:cs="Arial"/>
          <w:sz w:val="24"/>
          <w:szCs w:val="24"/>
          <w:lang w:val="en-US"/>
        </w:rPr>
        <w:t>e</w:t>
      </w:r>
      <w:r w:rsidRPr="002D3BDB">
        <w:rPr>
          <w:rFonts w:ascii="Arial" w:eastAsia="Times New Roman" w:hAnsi="Arial" w:cs="Arial"/>
          <w:sz w:val="24"/>
          <w:szCs w:val="24"/>
          <w:lang w:val="en-US"/>
        </w:rPr>
        <w:t>orientarea acestor tineri pentru finalizarea studiilor ar fi necesar să fie printre preocupările decidenților.  Este de remarcat faptul că aceș</w:t>
      </w:r>
      <w:r>
        <w:rPr>
          <w:rFonts w:ascii="Arial" w:eastAsia="Times New Roman" w:hAnsi="Arial" w:cs="Arial"/>
          <w:sz w:val="24"/>
          <w:szCs w:val="24"/>
          <w:lang w:val="en-US"/>
        </w:rPr>
        <w:t>t</w:t>
      </w:r>
      <w:r w:rsidRPr="002D3BDB">
        <w:rPr>
          <w:rFonts w:ascii="Arial" w:eastAsia="Times New Roman" w:hAnsi="Arial" w:cs="Arial"/>
          <w:sz w:val="24"/>
          <w:szCs w:val="24"/>
          <w:lang w:val="en-US"/>
        </w:rPr>
        <w:t>i elevi au posibilitatea de a se înscrie în învățămîntul dual (până la vârsta de 26 de ani), care ar putea fi o bun</w:t>
      </w:r>
      <w:r>
        <w:rPr>
          <w:rFonts w:ascii="Arial" w:eastAsia="Times New Roman" w:hAnsi="Arial" w:cs="Arial"/>
          <w:sz w:val="24"/>
          <w:szCs w:val="24"/>
          <w:lang w:val="en-US"/>
        </w:rPr>
        <w:t>ă</w:t>
      </w:r>
      <w:r w:rsidRPr="002D3BDB">
        <w:rPr>
          <w:rFonts w:ascii="Arial" w:eastAsia="Times New Roman" w:hAnsi="Arial" w:cs="Arial"/>
          <w:sz w:val="24"/>
          <w:szCs w:val="24"/>
          <w:lang w:val="en-US"/>
        </w:rPr>
        <w:t xml:space="preserve"> </w:t>
      </w:r>
      <w:r w:rsidRPr="002D3BDB">
        <w:rPr>
          <w:rFonts w:ascii="Arial" w:eastAsia="Times New Roman" w:hAnsi="Arial" w:cs="Arial"/>
          <w:sz w:val="24"/>
          <w:szCs w:val="24"/>
          <w:lang w:val="en-US"/>
        </w:rPr>
        <w:lastRenderedPageBreak/>
        <w:t>soluție pentru continuarea studiilor împreună cu dobândirea un</w:t>
      </w:r>
      <w:r>
        <w:rPr>
          <w:rFonts w:ascii="Arial" w:eastAsia="Times New Roman" w:hAnsi="Arial" w:cs="Arial"/>
          <w:sz w:val="24"/>
          <w:szCs w:val="24"/>
          <w:lang w:val="en-US"/>
        </w:rPr>
        <w:t>ei</w:t>
      </w:r>
      <w:r w:rsidRPr="002D3BDB">
        <w:rPr>
          <w:rFonts w:ascii="Arial" w:eastAsia="Times New Roman" w:hAnsi="Arial" w:cs="Arial"/>
          <w:sz w:val="24"/>
          <w:szCs w:val="24"/>
          <w:lang w:val="en-US"/>
        </w:rPr>
        <w:t xml:space="preserve"> calificări profesionale relevante pentru piața muncii regionale.</w:t>
      </w:r>
    </w:p>
    <w:p w:rsidR="00AB243D" w:rsidRDefault="00AB243D" w:rsidP="000C6A67">
      <w:pPr>
        <w:pStyle w:val="Heading3"/>
        <w:spacing w:before="0" w:line="240" w:lineRule="auto"/>
        <w:jc w:val="both"/>
        <w:rPr>
          <w:rFonts w:ascii="Arial" w:hAnsi="Arial" w:cs="Arial"/>
          <w:b w:val="0"/>
          <w:i/>
          <w:color w:val="auto"/>
          <w:sz w:val="24"/>
          <w:szCs w:val="24"/>
          <w:lang w:eastAsia="ro-RO"/>
        </w:rPr>
      </w:pPr>
    </w:p>
    <w:p w:rsidR="00DD5F85" w:rsidRPr="00AB243D" w:rsidRDefault="00FE3CCA" w:rsidP="00AB243D">
      <w:pPr>
        <w:pStyle w:val="Heading3"/>
        <w:spacing w:before="0" w:line="240" w:lineRule="auto"/>
        <w:jc w:val="both"/>
        <w:rPr>
          <w:rFonts w:ascii="Arial" w:hAnsi="Arial" w:cs="Arial"/>
          <w:b w:val="0"/>
          <w:i/>
          <w:color w:val="auto"/>
          <w:sz w:val="24"/>
          <w:szCs w:val="24"/>
          <w:lang w:eastAsia="ro-RO"/>
        </w:rPr>
      </w:pPr>
      <w:bookmarkStart w:id="104" w:name="_Toc488066073"/>
      <w:r w:rsidRPr="00AB243D">
        <w:rPr>
          <w:rFonts w:ascii="Arial" w:hAnsi="Arial" w:cs="Arial"/>
          <w:b w:val="0"/>
          <w:i/>
          <w:color w:val="auto"/>
          <w:sz w:val="24"/>
          <w:szCs w:val="24"/>
          <w:lang w:eastAsia="ro-RO"/>
        </w:rPr>
        <w:t>6.2</w:t>
      </w:r>
      <w:r w:rsidR="00406DCE" w:rsidRPr="00AB243D">
        <w:rPr>
          <w:rFonts w:ascii="Arial" w:hAnsi="Arial" w:cs="Arial"/>
          <w:b w:val="0"/>
          <w:i/>
          <w:color w:val="auto"/>
          <w:sz w:val="24"/>
          <w:szCs w:val="24"/>
          <w:lang w:eastAsia="ro-RO"/>
        </w:rPr>
        <w:t>.4. Serviciile de orientare şi consiliere</w:t>
      </w:r>
      <w:bookmarkEnd w:id="104"/>
    </w:p>
    <w:p w:rsidR="00CE3479" w:rsidRPr="00B20198" w:rsidRDefault="00CE3479" w:rsidP="000C6A67">
      <w:pPr>
        <w:spacing w:after="0" w:line="240" w:lineRule="auto"/>
        <w:jc w:val="both"/>
        <w:rPr>
          <w:rFonts w:ascii="Arial" w:hAnsi="Arial" w:cs="Arial"/>
          <w:b/>
          <w:bCs/>
          <w:sz w:val="24"/>
          <w:szCs w:val="24"/>
        </w:rPr>
      </w:pPr>
      <w:r w:rsidRPr="00B20198">
        <w:rPr>
          <w:rFonts w:ascii="Arial" w:hAnsi="Arial" w:cs="Arial"/>
          <w:b/>
          <w:bCs/>
          <w:sz w:val="24"/>
          <w:szCs w:val="24"/>
        </w:rPr>
        <w:t>Egalitate de gen</w:t>
      </w:r>
      <w:r w:rsidR="00D83626">
        <w:rPr>
          <w:rFonts w:ascii="Arial" w:hAnsi="Arial" w:cs="Arial"/>
          <w:b/>
          <w:bCs/>
          <w:sz w:val="24"/>
          <w:szCs w:val="24"/>
        </w:rPr>
        <w:t xml:space="preserve"> – este unul dintre principiile fundamentale care trebuie avute în vedere pentru planificarea conținuturilor și modalităților de consiliere și orientare pentru carieră. </w:t>
      </w:r>
    </w:p>
    <w:p w:rsidR="00CE3479" w:rsidRPr="00B20198" w:rsidRDefault="00CE3479" w:rsidP="000C6A67">
      <w:pPr>
        <w:spacing w:after="0" w:line="240" w:lineRule="auto"/>
        <w:jc w:val="both"/>
        <w:rPr>
          <w:rFonts w:ascii="Arial" w:hAnsi="Arial" w:cs="Arial"/>
          <w:sz w:val="24"/>
          <w:szCs w:val="24"/>
        </w:rPr>
      </w:pPr>
      <w:r w:rsidRPr="00B20198">
        <w:rPr>
          <w:rFonts w:ascii="Arial" w:hAnsi="Arial" w:cs="Arial"/>
          <w:bCs/>
          <w:sz w:val="24"/>
          <w:szCs w:val="24"/>
        </w:rPr>
        <w:t xml:space="preserve">Tendințele demografice evidențiază o creștere a  speranţei de viaţă la naştere. </w:t>
      </w:r>
      <w:r w:rsidRPr="00B20198">
        <w:rPr>
          <w:rFonts w:ascii="Arial" w:hAnsi="Arial" w:cs="Arial"/>
          <w:sz w:val="24"/>
          <w:szCs w:val="24"/>
        </w:rPr>
        <w:t>Pentru perioada 2005 – 2011 s-</w:t>
      </w:r>
      <w:r w:rsidRPr="00B20198">
        <w:rPr>
          <w:rFonts w:ascii="Arial" w:hAnsi="Arial" w:cs="Arial"/>
          <w:b/>
          <w:sz w:val="24"/>
          <w:szCs w:val="24"/>
        </w:rPr>
        <w:t xml:space="preserve">a </w:t>
      </w:r>
      <w:r w:rsidRPr="00B20198">
        <w:rPr>
          <w:rFonts w:ascii="Arial" w:hAnsi="Arial" w:cs="Arial"/>
          <w:sz w:val="24"/>
          <w:szCs w:val="24"/>
        </w:rPr>
        <w:t xml:space="preserve">înregistrat o </w:t>
      </w:r>
      <w:r w:rsidRPr="00B20198">
        <w:rPr>
          <w:rFonts w:ascii="Arial" w:hAnsi="Arial" w:cs="Arial"/>
          <w:b/>
          <w:sz w:val="24"/>
          <w:szCs w:val="24"/>
        </w:rPr>
        <w:t>tendinţă generală de creştere a speranţei de viaţă la naştere atât pentru bărbaţi, cât şi pentru femei,</w:t>
      </w:r>
      <w:r w:rsidRPr="00B20198">
        <w:rPr>
          <w:rFonts w:ascii="Arial" w:hAnsi="Arial" w:cs="Arial"/>
          <w:sz w:val="24"/>
          <w:szCs w:val="24"/>
        </w:rPr>
        <w:t xml:space="preserve"> înconcordanţă cu tendinţa generală UE 27. În a</w:t>
      </w:r>
      <w:r>
        <w:rPr>
          <w:rFonts w:ascii="Arial" w:hAnsi="Arial" w:cs="Arial"/>
          <w:sz w:val="24"/>
          <w:szCs w:val="24"/>
        </w:rPr>
        <w:t xml:space="preserve"> </w:t>
      </w:r>
      <w:r w:rsidRPr="00B20198">
        <w:rPr>
          <w:rFonts w:ascii="Arial" w:hAnsi="Arial" w:cs="Arial"/>
          <w:sz w:val="24"/>
          <w:szCs w:val="24"/>
        </w:rPr>
        <w:t>două jumătate a perioadei menționate, s-a înregistrat o tendinţă de reducere a decalajelor dintre România şi UE 27</w:t>
      </w:r>
      <w:r w:rsidRPr="00B20198">
        <w:rPr>
          <w:rFonts w:ascii="Arial" w:hAnsi="Arial" w:cs="Arial"/>
          <w:b/>
          <w:sz w:val="24"/>
          <w:szCs w:val="24"/>
        </w:rPr>
        <w:t>, mai accentuată pentru femei (media de creştere anuală a speranţei de viaţă pentru femei în România este de 0,34 ani, aproape dublă faţă de media UE 27 de 0,18 ani la aceeaşi categorie.)</w:t>
      </w:r>
    </w:p>
    <w:p w:rsidR="00CE3479" w:rsidRPr="00B20198" w:rsidRDefault="00CE3479" w:rsidP="000C6A67">
      <w:pPr>
        <w:autoSpaceDE w:val="0"/>
        <w:autoSpaceDN w:val="0"/>
        <w:adjustRightInd w:val="0"/>
        <w:spacing w:after="0" w:line="240" w:lineRule="auto"/>
        <w:jc w:val="both"/>
        <w:rPr>
          <w:rFonts w:ascii="Arial" w:hAnsi="Arial" w:cs="Arial"/>
          <w:sz w:val="24"/>
          <w:szCs w:val="24"/>
        </w:rPr>
      </w:pPr>
      <w:r w:rsidRPr="00B20198">
        <w:rPr>
          <w:rFonts w:ascii="Arial" w:hAnsi="Arial" w:cs="Arial"/>
          <w:sz w:val="24"/>
          <w:szCs w:val="24"/>
        </w:rPr>
        <w:t xml:space="preserve">În ceea ce privește tendințele ocupării, în anul 2012, </w:t>
      </w:r>
      <w:r w:rsidRPr="00B20198">
        <w:rPr>
          <w:rFonts w:ascii="Arial" w:hAnsi="Arial" w:cs="Arial"/>
          <w:b/>
          <w:sz w:val="24"/>
          <w:szCs w:val="24"/>
        </w:rPr>
        <w:t>rata de ocupare a populaţiei de 20-64 ani</w:t>
      </w:r>
      <w:r w:rsidRPr="00B20198">
        <w:rPr>
          <w:rFonts w:ascii="Arial" w:hAnsi="Arial" w:cs="Arial"/>
          <w:sz w:val="24"/>
          <w:szCs w:val="24"/>
        </w:rPr>
        <w:t xml:space="preserve"> a fost de 63,8% și în creștere cu 1 punct procentual faţă de anul anterior, dar se afla sub media înregistrată la nivel european de 68,5%(UE 27). Acest indicator avea, ca şi în anii anteriori, valori </w:t>
      </w:r>
      <w:r w:rsidRPr="00B20198">
        <w:rPr>
          <w:rFonts w:ascii="Arial" w:hAnsi="Arial" w:cs="Arial"/>
          <w:b/>
          <w:sz w:val="24"/>
          <w:szCs w:val="24"/>
        </w:rPr>
        <w:t>mai ridicate pentru bărbaţi 71,4%,faţă de 56,3% pentru femei</w:t>
      </w:r>
      <w:r w:rsidRPr="00B20198">
        <w:rPr>
          <w:rFonts w:ascii="Arial" w:hAnsi="Arial" w:cs="Arial"/>
          <w:sz w:val="24"/>
          <w:szCs w:val="24"/>
        </w:rPr>
        <w:t>, creșterea față de anul anterior fiind de 1,5 pp. în rândul bărbaților și de 0,6 pp. pentru femei.</w:t>
      </w:r>
    </w:p>
    <w:p w:rsidR="00CE3479" w:rsidRPr="00B20198" w:rsidRDefault="00CE3479" w:rsidP="000C6A67">
      <w:pPr>
        <w:spacing w:after="0" w:line="240" w:lineRule="auto"/>
        <w:jc w:val="both"/>
        <w:rPr>
          <w:rFonts w:ascii="Arial" w:hAnsi="Arial" w:cs="Arial"/>
          <w:b/>
          <w:sz w:val="24"/>
          <w:szCs w:val="24"/>
        </w:rPr>
      </w:pPr>
      <w:r w:rsidRPr="00B20198">
        <w:rPr>
          <w:rFonts w:ascii="Arial" w:hAnsi="Arial" w:cs="Arial"/>
          <w:sz w:val="24"/>
          <w:szCs w:val="24"/>
        </w:rPr>
        <w:t xml:space="preserve">Pe sexe, </w:t>
      </w:r>
      <w:r w:rsidRPr="00B20198">
        <w:rPr>
          <w:rFonts w:ascii="Arial" w:hAnsi="Arial" w:cs="Arial"/>
          <w:b/>
          <w:sz w:val="24"/>
          <w:szCs w:val="24"/>
        </w:rPr>
        <w:t>structura populației ocupate</w:t>
      </w:r>
      <w:r w:rsidRPr="00B20198">
        <w:rPr>
          <w:rFonts w:ascii="Arial" w:hAnsi="Arial" w:cs="Arial"/>
          <w:sz w:val="24"/>
          <w:szCs w:val="24"/>
        </w:rPr>
        <w:t xml:space="preserve"> după statutul profesional evidențiază un nivel aproximativ egal pentru statutul de salariat (67,1% bărbați și 67,4% pentru femei), </w:t>
      </w:r>
      <w:r w:rsidRPr="00B20198">
        <w:rPr>
          <w:rFonts w:ascii="Arial" w:hAnsi="Arial" w:cs="Arial"/>
          <w:b/>
          <w:sz w:val="24"/>
          <w:szCs w:val="24"/>
        </w:rPr>
        <w:t>diferențe semnificative se înregistrează pentru</w:t>
      </w:r>
      <w:r w:rsidRPr="00B20198">
        <w:rPr>
          <w:rFonts w:ascii="Arial" w:hAnsi="Arial" w:cs="Arial"/>
          <w:sz w:val="24"/>
          <w:szCs w:val="24"/>
        </w:rPr>
        <w:t xml:space="preserve"> celelalte statute ocupaționale, </w:t>
      </w:r>
      <w:r w:rsidRPr="00B20198">
        <w:rPr>
          <w:rFonts w:ascii="Arial" w:hAnsi="Arial" w:cs="Arial"/>
          <w:b/>
          <w:sz w:val="24"/>
          <w:szCs w:val="24"/>
        </w:rPr>
        <w:t>lucrător pe cont propriu și membru al unei societăți agricole sau al unei cooperative (24,3% bărbați și 12,3% femei), lucrător familial neremunerat (7,0% bărbați și 19,5% femei) și patron (1,6% bărbați și 0,8% femei). Nivelul ridicat al femeilor cu statutul de lucrător familial neremunerat evidențiază situație destul de precară pe piața muncii.</w:t>
      </w:r>
    </w:p>
    <w:p w:rsidR="00CE3479" w:rsidRPr="00B20198" w:rsidRDefault="00CE3479" w:rsidP="000C6A67">
      <w:pPr>
        <w:autoSpaceDE w:val="0"/>
        <w:autoSpaceDN w:val="0"/>
        <w:adjustRightInd w:val="0"/>
        <w:spacing w:after="0" w:line="240" w:lineRule="auto"/>
        <w:jc w:val="both"/>
        <w:rPr>
          <w:rFonts w:ascii="Arial" w:hAnsi="Arial" w:cs="Arial"/>
          <w:sz w:val="24"/>
          <w:szCs w:val="24"/>
        </w:rPr>
      </w:pPr>
      <w:r w:rsidRPr="00B20198">
        <w:rPr>
          <w:rFonts w:ascii="Arial" w:hAnsi="Arial" w:cs="Arial"/>
          <w:sz w:val="24"/>
          <w:szCs w:val="24"/>
        </w:rPr>
        <w:t>Pe niveluri de educaţie, tendinţa de scădere a populaţiei ocupate în vârstă de muncă (15 – 64</w:t>
      </w:r>
      <w:r>
        <w:rPr>
          <w:rFonts w:ascii="Arial" w:hAnsi="Arial" w:cs="Arial"/>
          <w:sz w:val="24"/>
          <w:szCs w:val="24"/>
        </w:rPr>
        <w:t xml:space="preserve"> </w:t>
      </w:r>
      <w:r w:rsidRPr="00B20198">
        <w:rPr>
          <w:rFonts w:ascii="Arial" w:hAnsi="Arial" w:cs="Arial"/>
          <w:sz w:val="24"/>
          <w:szCs w:val="24"/>
        </w:rPr>
        <w:t>ani) se manifestă pentru populaţia cu studii medii (ISCED</w:t>
      </w:r>
      <w:r w:rsidRPr="00B20198">
        <w:rPr>
          <w:rStyle w:val="FootnoteReference"/>
          <w:rFonts w:ascii="Arial" w:hAnsi="Arial" w:cs="Arial"/>
          <w:sz w:val="24"/>
          <w:szCs w:val="24"/>
        </w:rPr>
        <w:footnoteReference w:id="60"/>
      </w:r>
      <w:r w:rsidRPr="00B20198">
        <w:rPr>
          <w:rFonts w:ascii="Arial" w:hAnsi="Arial" w:cs="Arial"/>
          <w:sz w:val="24"/>
          <w:szCs w:val="24"/>
        </w:rPr>
        <w:t>3 – 4) şi pentru populaţia cu nivel</w:t>
      </w:r>
      <w:r>
        <w:rPr>
          <w:rFonts w:ascii="Arial" w:hAnsi="Arial" w:cs="Arial"/>
          <w:sz w:val="24"/>
          <w:szCs w:val="24"/>
        </w:rPr>
        <w:t xml:space="preserve"> </w:t>
      </w:r>
      <w:r w:rsidRPr="00B20198">
        <w:rPr>
          <w:rFonts w:ascii="Arial" w:hAnsi="Arial" w:cs="Arial"/>
          <w:sz w:val="24"/>
          <w:szCs w:val="24"/>
        </w:rPr>
        <w:t>de pregătire scăzut (ISCED 0 – 2), pentru populaţia cu studii superioare (ISCED 5 – 6) se</w:t>
      </w:r>
      <w:r>
        <w:rPr>
          <w:rFonts w:ascii="Arial" w:hAnsi="Arial" w:cs="Arial"/>
          <w:sz w:val="24"/>
          <w:szCs w:val="24"/>
        </w:rPr>
        <w:t xml:space="preserve"> </w:t>
      </w:r>
      <w:r w:rsidRPr="00B20198">
        <w:rPr>
          <w:rFonts w:ascii="Arial" w:hAnsi="Arial" w:cs="Arial"/>
          <w:sz w:val="24"/>
          <w:szCs w:val="24"/>
        </w:rPr>
        <w:t>înregistrează o evoluție pozitivă a ocupării.</w:t>
      </w:r>
    </w:p>
    <w:p w:rsidR="00CE3479" w:rsidRPr="00B20198" w:rsidRDefault="00CE3479" w:rsidP="000C6A67">
      <w:pPr>
        <w:spacing w:after="0" w:line="240" w:lineRule="auto"/>
        <w:jc w:val="both"/>
        <w:rPr>
          <w:rFonts w:ascii="Arial" w:hAnsi="Arial" w:cs="Arial"/>
          <w:sz w:val="24"/>
          <w:szCs w:val="24"/>
        </w:rPr>
      </w:pPr>
      <w:r w:rsidRPr="00B20198">
        <w:rPr>
          <w:rFonts w:ascii="Arial" w:hAnsi="Arial" w:cs="Arial"/>
          <w:sz w:val="24"/>
          <w:szCs w:val="24"/>
        </w:rPr>
        <w:t>Această modificare destructură poate fi interpretată ca o tendinţă de îmbunătăţire a calităţii locurilor de muncă.</w:t>
      </w:r>
    </w:p>
    <w:p w:rsidR="00CE3479" w:rsidRPr="00B20198" w:rsidRDefault="00CE3479" w:rsidP="000C6A67">
      <w:pPr>
        <w:autoSpaceDE w:val="0"/>
        <w:autoSpaceDN w:val="0"/>
        <w:adjustRightInd w:val="0"/>
        <w:spacing w:after="0" w:line="240" w:lineRule="auto"/>
        <w:jc w:val="both"/>
        <w:rPr>
          <w:rFonts w:ascii="Arial" w:hAnsi="Arial" w:cs="Arial"/>
          <w:b/>
          <w:sz w:val="24"/>
          <w:szCs w:val="24"/>
        </w:rPr>
      </w:pPr>
      <w:r w:rsidRPr="00B20198">
        <w:rPr>
          <w:rFonts w:ascii="Arial" w:hAnsi="Arial" w:cs="Arial"/>
          <w:b/>
          <w:sz w:val="24"/>
          <w:szCs w:val="24"/>
        </w:rPr>
        <w:t>Tendinţa de creştere a numărului de femei cu studii superioare a fost mai pronunţată faţă de cea corespunzătoare bărbaţilor</w:t>
      </w:r>
      <w:r w:rsidRPr="00B20198">
        <w:rPr>
          <w:rFonts w:ascii="Arial" w:hAnsi="Arial" w:cs="Arial"/>
          <w:sz w:val="24"/>
          <w:szCs w:val="24"/>
        </w:rPr>
        <w:t>, deşi nu s-au înregistrat diferenţe semnificative în privinţa ratelor de ocupare.</w:t>
      </w:r>
    </w:p>
    <w:p w:rsidR="00CE3479" w:rsidRPr="00B20198" w:rsidRDefault="00CE3479" w:rsidP="000C6A67">
      <w:pPr>
        <w:autoSpaceDE w:val="0"/>
        <w:autoSpaceDN w:val="0"/>
        <w:adjustRightInd w:val="0"/>
        <w:spacing w:after="0" w:line="240" w:lineRule="auto"/>
        <w:jc w:val="both"/>
        <w:rPr>
          <w:rFonts w:ascii="Arial" w:hAnsi="Arial" w:cs="Arial"/>
          <w:sz w:val="24"/>
          <w:szCs w:val="24"/>
        </w:rPr>
      </w:pPr>
      <w:r w:rsidRPr="00B20198">
        <w:rPr>
          <w:rFonts w:ascii="Arial" w:hAnsi="Arial" w:cs="Arial"/>
          <w:sz w:val="24"/>
          <w:szCs w:val="24"/>
        </w:rPr>
        <w:t>Șomajul înregistrează o creșterea acce</w:t>
      </w:r>
      <w:r w:rsidR="009834AD">
        <w:rPr>
          <w:rFonts w:ascii="Arial" w:hAnsi="Arial" w:cs="Arial"/>
          <w:sz w:val="24"/>
          <w:szCs w:val="24"/>
        </w:rPr>
        <w:t xml:space="preserve">ntuată din perioada 2008 – 2010, </w:t>
      </w:r>
      <w:r w:rsidRPr="00B20198">
        <w:rPr>
          <w:rFonts w:ascii="Arial" w:hAnsi="Arial" w:cs="Arial"/>
          <w:sz w:val="24"/>
          <w:szCs w:val="24"/>
        </w:rPr>
        <w:t xml:space="preserve">când </w:t>
      </w:r>
      <w:r w:rsidRPr="00B20198">
        <w:rPr>
          <w:rFonts w:ascii="Arial" w:hAnsi="Arial" w:cs="Arial"/>
          <w:b/>
          <w:sz w:val="24"/>
          <w:szCs w:val="24"/>
        </w:rPr>
        <w:t xml:space="preserve">rata șomajului s-a majorat cu 1,5 puncte procentuale </w:t>
      </w:r>
      <w:r w:rsidRPr="00B20198">
        <w:rPr>
          <w:rFonts w:ascii="Arial" w:hAnsi="Arial" w:cs="Arial"/>
          <w:sz w:val="24"/>
          <w:szCs w:val="24"/>
        </w:rPr>
        <w:t>evidențiază impactul destul deputernic al crizei asupra pieței muncii românești.</w:t>
      </w:r>
    </w:p>
    <w:p w:rsidR="00CE3479" w:rsidRPr="00B20198" w:rsidRDefault="00CE3479" w:rsidP="000C6A67">
      <w:pPr>
        <w:spacing w:after="0" w:line="240" w:lineRule="auto"/>
        <w:jc w:val="both"/>
        <w:rPr>
          <w:rFonts w:ascii="Arial" w:hAnsi="Arial" w:cs="Arial"/>
          <w:b/>
          <w:sz w:val="24"/>
          <w:szCs w:val="24"/>
        </w:rPr>
      </w:pPr>
      <w:r w:rsidRPr="00B20198">
        <w:rPr>
          <w:rFonts w:ascii="Arial" w:hAnsi="Arial" w:cs="Arial"/>
          <w:sz w:val="24"/>
          <w:szCs w:val="24"/>
        </w:rPr>
        <w:t xml:space="preserve">Pe sexe, aceasta a fost </w:t>
      </w:r>
      <w:r w:rsidRPr="00B20198">
        <w:rPr>
          <w:rFonts w:ascii="Arial" w:hAnsi="Arial" w:cs="Arial"/>
          <w:b/>
          <w:sz w:val="24"/>
          <w:szCs w:val="24"/>
        </w:rPr>
        <w:t>mai mare în cadrul populaţiei masculine (8,92% în 2002 şi 9,0% în 2010),șomajul în rândul populaţiei feminine a avut cel mai mic nivel în anul 2008 (4,7%) şi cel mai ridicat nivel (7,7%) în 2002.</w:t>
      </w:r>
    </w:p>
    <w:p w:rsidR="00CE3479" w:rsidRPr="00B20198" w:rsidRDefault="00CE3479" w:rsidP="000C6A67">
      <w:pPr>
        <w:autoSpaceDE w:val="0"/>
        <w:autoSpaceDN w:val="0"/>
        <w:adjustRightInd w:val="0"/>
        <w:spacing w:after="0" w:line="240" w:lineRule="auto"/>
        <w:jc w:val="both"/>
        <w:rPr>
          <w:rFonts w:ascii="Arial" w:hAnsi="Arial" w:cs="Arial"/>
          <w:bCs/>
          <w:sz w:val="24"/>
          <w:szCs w:val="24"/>
        </w:rPr>
      </w:pPr>
      <w:r w:rsidRPr="00B20198">
        <w:rPr>
          <w:rFonts w:ascii="Arial" w:hAnsi="Arial" w:cs="Arial"/>
          <w:bCs/>
          <w:sz w:val="24"/>
          <w:szCs w:val="24"/>
        </w:rPr>
        <w:t>Un factor îngrijorător este reprezentat de creșterea numărului de tineri (15 – 24 ani), care nu sunt ocupați, în educație sau formare așa-numiții NEETs fapt care indică dificultăți în tranziția de la sistemul de educație la piața muncii și reprezintă una dintre categoriile cărora ar trebui să li se acorde o atenție deosebită în perioada următoare.</w:t>
      </w:r>
    </w:p>
    <w:p w:rsidR="00CE3479" w:rsidRPr="00B20198" w:rsidRDefault="00CE3479" w:rsidP="000C6A67">
      <w:pPr>
        <w:autoSpaceDE w:val="0"/>
        <w:autoSpaceDN w:val="0"/>
        <w:adjustRightInd w:val="0"/>
        <w:spacing w:after="0" w:line="240" w:lineRule="auto"/>
        <w:jc w:val="both"/>
        <w:rPr>
          <w:rFonts w:ascii="Arial" w:hAnsi="Arial" w:cs="Arial"/>
          <w:sz w:val="24"/>
          <w:szCs w:val="24"/>
        </w:rPr>
      </w:pPr>
      <w:r w:rsidRPr="00B20198">
        <w:rPr>
          <w:rFonts w:ascii="Arial" w:hAnsi="Arial" w:cs="Arial"/>
          <w:sz w:val="24"/>
          <w:szCs w:val="24"/>
        </w:rPr>
        <w:t xml:space="preserve">În timp ce în anul 2007, 13,3% (bărbaţi: 11,6%; femei: 15,1%) din persoanele cu vârsta 15 </w:t>
      </w:r>
      <w:r w:rsidRPr="00B20198">
        <w:rPr>
          <w:rFonts w:ascii="Cambria Math" w:hAnsi="Cambria Math" w:cs="Cambria Math"/>
          <w:sz w:val="24"/>
          <w:szCs w:val="24"/>
        </w:rPr>
        <w:t>‐</w:t>
      </w:r>
      <w:r w:rsidRPr="00B20198">
        <w:rPr>
          <w:rFonts w:ascii="Arial" w:hAnsi="Arial" w:cs="Arial"/>
          <w:sz w:val="24"/>
          <w:szCs w:val="24"/>
        </w:rPr>
        <w:t xml:space="preserve"> 24 de ani aparţineau grupului NEETs, cota acestor persoane a crescut la 16,8% în </w:t>
      </w:r>
      <w:r w:rsidRPr="00B20198">
        <w:rPr>
          <w:rFonts w:ascii="Arial" w:hAnsi="Arial" w:cs="Arial"/>
          <w:sz w:val="24"/>
          <w:szCs w:val="24"/>
        </w:rPr>
        <w:lastRenderedPageBreak/>
        <w:t>2012 (bărbaţi:15,1%; femei: 18,6%) în scădere cu 0,8 pp. față de anul prece</w:t>
      </w:r>
      <w:r w:rsidR="009834AD">
        <w:rPr>
          <w:rFonts w:ascii="Arial" w:hAnsi="Arial" w:cs="Arial"/>
          <w:sz w:val="24"/>
          <w:szCs w:val="24"/>
        </w:rPr>
        <w:t xml:space="preserve">dent, dar peste media europeană </w:t>
      </w:r>
      <w:r w:rsidRPr="00B20198">
        <w:rPr>
          <w:rFonts w:ascii="Arial" w:hAnsi="Arial" w:cs="Arial"/>
          <w:sz w:val="24"/>
          <w:szCs w:val="24"/>
        </w:rPr>
        <w:t>(13,2% valoare provizorie pentru 2012).</w:t>
      </w:r>
    </w:p>
    <w:p w:rsidR="00CE3479" w:rsidRPr="00B20198" w:rsidRDefault="00CE3479" w:rsidP="000C6A67">
      <w:pPr>
        <w:autoSpaceDE w:val="0"/>
        <w:autoSpaceDN w:val="0"/>
        <w:adjustRightInd w:val="0"/>
        <w:spacing w:after="0" w:line="240" w:lineRule="auto"/>
        <w:jc w:val="both"/>
        <w:rPr>
          <w:rFonts w:ascii="Arial" w:hAnsi="Arial" w:cs="Arial"/>
          <w:sz w:val="24"/>
          <w:szCs w:val="24"/>
        </w:rPr>
      </w:pPr>
      <w:r w:rsidRPr="00B20198">
        <w:rPr>
          <w:rFonts w:ascii="Arial" w:hAnsi="Arial" w:cs="Arial"/>
          <w:bCs/>
          <w:i/>
          <w:iCs/>
          <w:sz w:val="24"/>
          <w:szCs w:val="24"/>
        </w:rPr>
        <w:t>Programul Național de Reformă 2011 – 2013 (PNR</w:t>
      </w:r>
      <w:r w:rsidRPr="00B20198">
        <w:rPr>
          <w:rFonts w:ascii="Arial" w:hAnsi="Arial" w:cs="Arial"/>
          <w:i/>
          <w:iCs/>
          <w:sz w:val="24"/>
          <w:szCs w:val="24"/>
        </w:rPr>
        <w:t xml:space="preserve">) </w:t>
      </w:r>
      <w:r w:rsidRPr="00B20198">
        <w:rPr>
          <w:rFonts w:ascii="Arial" w:hAnsi="Arial" w:cs="Arial"/>
          <w:sz w:val="24"/>
          <w:szCs w:val="24"/>
        </w:rPr>
        <w:t>reprezintă platforma – cadru pentru definirea şi aplicarea politicilor de dezvoltare economică a României, în concordanţă cu politicile Uniunii Europene (UE), având ca priorităţi realizarea unei economii inteligente, durabile şi favorabile incluziunii, cu niveluri ridicate de ocupare a forţei de muncă,productivitate şi de coeziune socială.</w:t>
      </w:r>
    </w:p>
    <w:p w:rsidR="00CE3479" w:rsidRPr="003B6562" w:rsidRDefault="00CE3479" w:rsidP="000C6A67">
      <w:pPr>
        <w:autoSpaceDE w:val="0"/>
        <w:autoSpaceDN w:val="0"/>
        <w:adjustRightInd w:val="0"/>
        <w:spacing w:after="0" w:line="240" w:lineRule="auto"/>
        <w:jc w:val="both"/>
        <w:rPr>
          <w:rFonts w:ascii="Arial" w:hAnsi="Arial" w:cs="Arial"/>
          <w:bCs/>
          <w:sz w:val="24"/>
          <w:szCs w:val="24"/>
        </w:rPr>
      </w:pPr>
      <w:r w:rsidRPr="00B20198">
        <w:rPr>
          <w:rFonts w:ascii="Arial" w:hAnsi="Arial" w:cs="Arial"/>
          <w:b/>
          <w:bCs/>
          <w:sz w:val="24"/>
          <w:szCs w:val="24"/>
        </w:rPr>
        <w:t>Una dintre direcțiile de acțiune adoptate de România</w:t>
      </w:r>
      <w:r w:rsidR="003B6562">
        <w:rPr>
          <w:rFonts w:ascii="Arial" w:hAnsi="Arial" w:cs="Arial"/>
          <w:bCs/>
          <w:sz w:val="24"/>
          <w:szCs w:val="24"/>
        </w:rPr>
        <w:t xml:space="preserve"> în acest document </w:t>
      </w:r>
      <w:r w:rsidRPr="00B20198">
        <w:rPr>
          <w:rFonts w:ascii="Arial" w:hAnsi="Arial" w:cs="Arial"/>
          <w:bCs/>
          <w:sz w:val="24"/>
          <w:szCs w:val="24"/>
        </w:rPr>
        <w:t xml:space="preserve">,fundamentată în scopul susținerii atingerii țintei de ocupare naționale (70% rata de ocupare în anul 2020 pentru grupa de vârstă 20 – 64 ani) asumate ca urmare a obiectivelor globale prevăzute în Strategia Europa 2020, se referă la </w:t>
      </w:r>
      <w:r w:rsidRPr="00B20198">
        <w:rPr>
          <w:rFonts w:ascii="Arial" w:hAnsi="Arial" w:cs="Arial"/>
          <w:b/>
          <w:bCs/>
          <w:i/>
          <w:sz w:val="24"/>
          <w:szCs w:val="24"/>
        </w:rPr>
        <w:t>creșterea calităţii ocupării persoanelor rezidente în mediul rural, a tinerilor şi femeilor.</w:t>
      </w:r>
      <w:r w:rsidRPr="00B20198">
        <w:rPr>
          <w:rFonts w:ascii="Arial" w:hAnsi="Arial" w:cs="Arial"/>
          <w:bCs/>
          <w:sz w:val="24"/>
          <w:szCs w:val="24"/>
        </w:rPr>
        <w:t xml:space="preserve"> Aceasta are în vedere:</w:t>
      </w:r>
      <w:r>
        <w:rPr>
          <w:rFonts w:ascii="Arial" w:hAnsi="Arial" w:cs="Arial"/>
          <w:bCs/>
          <w:sz w:val="24"/>
          <w:szCs w:val="24"/>
        </w:rPr>
        <w:t xml:space="preserve"> </w:t>
      </w:r>
      <w:r w:rsidRPr="00B20198">
        <w:rPr>
          <w:rFonts w:ascii="Arial" w:hAnsi="Arial" w:cs="Arial"/>
          <w:i/>
          <w:iCs/>
          <w:sz w:val="24"/>
          <w:szCs w:val="24"/>
        </w:rPr>
        <w:t>1. Creșterea competitivității sectorului agricol și asigurarea sustenabilității pe termen</w:t>
      </w:r>
      <w:r>
        <w:rPr>
          <w:rFonts w:ascii="Arial" w:hAnsi="Arial" w:cs="Arial"/>
          <w:i/>
          <w:iCs/>
          <w:sz w:val="24"/>
          <w:szCs w:val="24"/>
        </w:rPr>
        <w:t xml:space="preserve"> </w:t>
      </w:r>
      <w:r w:rsidRPr="00B20198">
        <w:rPr>
          <w:rFonts w:ascii="Arial" w:hAnsi="Arial" w:cs="Arial"/>
          <w:i/>
          <w:iCs/>
          <w:sz w:val="24"/>
          <w:szCs w:val="24"/>
        </w:rPr>
        <w:t>lung a zonelor rurale</w:t>
      </w:r>
      <w:r>
        <w:rPr>
          <w:rFonts w:ascii="Arial" w:hAnsi="Arial" w:cs="Arial"/>
          <w:i/>
          <w:iCs/>
          <w:sz w:val="24"/>
          <w:szCs w:val="24"/>
        </w:rPr>
        <w:t xml:space="preserve"> </w:t>
      </w:r>
      <w:r w:rsidRPr="00B20198">
        <w:rPr>
          <w:rFonts w:ascii="Arial" w:hAnsi="Arial" w:cs="Arial"/>
          <w:i/>
          <w:iCs/>
          <w:sz w:val="24"/>
          <w:szCs w:val="24"/>
        </w:rPr>
        <w:t xml:space="preserve">2. Integrarea pe piața muncii a tinerilor </w:t>
      </w:r>
      <w:r w:rsidRPr="00B20198">
        <w:rPr>
          <w:rFonts w:ascii="Arial" w:hAnsi="Arial" w:cs="Arial"/>
          <w:sz w:val="24"/>
          <w:szCs w:val="24"/>
        </w:rPr>
        <w:t>ş</w:t>
      </w:r>
      <w:r w:rsidRPr="00B20198">
        <w:rPr>
          <w:rFonts w:ascii="Arial" w:hAnsi="Arial" w:cs="Arial"/>
          <w:i/>
          <w:iCs/>
          <w:sz w:val="24"/>
          <w:szCs w:val="24"/>
        </w:rPr>
        <w:t>i a femeilor</w:t>
      </w:r>
    </w:p>
    <w:p w:rsidR="00CE3479" w:rsidRPr="00B20198" w:rsidRDefault="00CE3479" w:rsidP="000C6A67">
      <w:pPr>
        <w:autoSpaceDE w:val="0"/>
        <w:autoSpaceDN w:val="0"/>
        <w:adjustRightInd w:val="0"/>
        <w:spacing w:after="0" w:line="240" w:lineRule="auto"/>
        <w:jc w:val="both"/>
        <w:rPr>
          <w:rFonts w:ascii="Arial" w:hAnsi="Arial" w:cs="Arial"/>
          <w:sz w:val="24"/>
          <w:szCs w:val="24"/>
        </w:rPr>
      </w:pPr>
      <w:r w:rsidRPr="00B20198">
        <w:rPr>
          <w:rFonts w:ascii="Arial" w:hAnsi="Arial" w:cs="Arial"/>
          <w:bCs/>
          <w:sz w:val="24"/>
          <w:szCs w:val="24"/>
        </w:rPr>
        <w:t>Una dintre principalele provocări cu impact asupra pieței muncii în perspectiva anului 2020 o constituie</w:t>
      </w:r>
      <w:r w:rsidRPr="00B20198">
        <w:rPr>
          <w:rFonts w:ascii="Arial" w:hAnsi="Arial" w:cs="Arial"/>
          <w:sz w:val="24"/>
          <w:szCs w:val="24"/>
        </w:rPr>
        <w:t xml:space="preserve"> din perspectiva </w:t>
      </w:r>
      <w:r w:rsidRPr="00B20198">
        <w:rPr>
          <w:rFonts w:ascii="Arial" w:hAnsi="Arial" w:cs="Arial"/>
          <w:bCs/>
          <w:sz w:val="24"/>
          <w:szCs w:val="24"/>
        </w:rPr>
        <w:t>participării pe piața muncii</w:t>
      </w:r>
      <w:r w:rsidRPr="00B20198">
        <w:rPr>
          <w:rFonts w:ascii="Arial" w:hAnsi="Arial" w:cs="Arial"/>
          <w:sz w:val="24"/>
          <w:szCs w:val="24"/>
        </w:rPr>
        <w:t>: ponderea ridicata a populaţiei ocupate în agricultură și nivelul mai scăzut de participare pe piața muncii în rândul femeilor în comparație cu cel al bărbaților.</w:t>
      </w:r>
    </w:p>
    <w:p w:rsidR="00CE3479" w:rsidRDefault="00CE3479" w:rsidP="000C6A67">
      <w:pPr>
        <w:autoSpaceDE w:val="0"/>
        <w:autoSpaceDN w:val="0"/>
        <w:adjustRightInd w:val="0"/>
        <w:spacing w:after="0" w:line="240" w:lineRule="auto"/>
        <w:jc w:val="both"/>
        <w:rPr>
          <w:rFonts w:ascii="Arial" w:hAnsi="Arial" w:cs="Arial"/>
          <w:b/>
          <w:bCs/>
          <w:sz w:val="24"/>
          <w:szCs w:val="24"/>
        </w:rPr>
      </w:pPr>
      <w:r w:rsidRPr="00B20198">
        <w:rPr>
          <w:rFonts w:ascii="Arial" w:hAnsi="Arial" w:cs="Arial"/>
          <w:b/>
          <w:bCs/>
          <w:i/>
          <w:iCs/>
          <w:sz w:val="24"/>
          <w:szCs w:val="24"/>
        </w:rPr>
        <w:t>In conformitate cu Monitorul performanței ocupării forței de muncă (EPM)</w:t>
      </w:r>
      <w:r w:rsidRPr="00B20198">
        <w:rPr>
          <w:rStyle w:val="FootnoteReference"/>
          <w:rFonts w:ascii="Arial" w:hAnsi="Arial" w:cs="Arial"/>
          <w:i/>
          <w:iCs/>
          <w:sz w:val="24"/>
          <w:szCs w:val="24"/>
        </w:rPr>
        <w:footnoteReference w:id="61"/>
      </w:r>
      <w:r w:rsidRPr="00B20198">
        <w:rPr>
          <w:rFonts w:ascii="Arial" w:hAnsi="Arial" w:cs="Arial"/>
          <w:b/>
          <w:bCs/>
          <w:sz w:val="24"/>
          <w:szCs w:val="24"/>
        </w:rPr>
        <w:t xml:space="preserve">, </w:t>
      </w:r>
      <w:r w:rsidRPr="00B20198">
        <w:rPr>
          <w:rFonts w:ascii="Arial" w:hAnsi="Arial" w:cs="Arial"/>
          <w:bCs/>
          <w:sz w:val="24"/>
          <w:szCs w:val="24"/>
        </w:rPr>
        <w:t>document utilizat pentru identificarea principalelor provocări existente la nivelul Uniunii Europene,cât și la nivelul fiecărui stat membru în parte,printre</w:t>
      </w:r>
      <w:r w:rsidRPr="00B20198">
        <w:rPr>
          <w:rFonts w:ascii="Arial" w:hAnsi="Arial" w:cs="Arial"/>
          <w:b/>
          <w:bCs/>
          <w:sz w:val="24"/>
          <w:szCs w:val="24"/>
        </w:rPr>
        <w:t xml:space="preserve"> </w:t>
      </w:r>
      <w:r w:rsidRPr="00B20198">
        <w:rPr>
          <w:rFonts w:ascii="Arial" w:hAnsi="Arial" w:cs="Arial"/>
          <w:sz w:val="24"/>
          <w:szCs w:val="24"/>
        </w:rPr>
        <w:t>provocările specifice pieței muncii din România identificate se află</w:t>
      </w:r>
      <w:r w:rsidRPr="00B20198">
        <w:rPr>
          <w:rFonts w:ascii="Arial" w:hAnsi="Arial" w:cs="Arial"/>
          <w:b/>
          <w:bCs/>
          <w:sz w:val="24"/>
          <w:szCs w:val="24"/>
        </w:rPr>
        <w:t>:</w:t>
      </w:r>
    </w:p>
    <w:p w:rsidR="00CE3479" w:rsidRPr="00B20198" w:rsidRDefault="00CE3479" w:rsidP="00445724">
      <w:pPr>
        <w:pStyle w:val="ListParagraph"/>
        <w:numPr>
          <w:ilvl w:val="0"/>
          <w:numId w:val="15"/>
        </w:numPr>
        <w:autoSpaceDE w:val="0"/>
        <w:autoSpaceDN w:val="0"/>
        <w:adjustRightInd w:val="0"/>
        <w:contextualSpacing/>
        <w:jc w:val="both"/>
        <w:rPr>
          <w:rFonts w:ascii="Arial" w:hAnsi="Arial" w:cs="Arial"/>
          <w:b/>
          <w:bCs/>
          <w:sz w:val="24"/>
          <w:szCs w:val="24"/>
        </w:rPr>
      </w:pPr>
      <w:r w:rsidRPr="00B20198">
        <w:rPr>
          <w:rFonts w:ascii="Arial" w:hAnsi="Arial" w:cs="Arial"/>
          <w:sz w:val="24"/>
          <w:szCs w:val="24"/>
        </w:rPr>
        <w:t>rata de ocupare redusă a femeilor, decalaj mare între femei și bărbați în ceea ce privește acest indicator;</w:t>
      </w:r>
    </w:p>
    <w:p w:rsidR="00CE3479" w:rsidRPr="00B20198" w:rsidRDefault="00CE3479" w:rsidP="00445724">
      <w:pPr>
        <w:pStyle w:val="ListParagraph"/>
        <w:numPr>
          <w:ilvl w:val="0"/>
          <w:numId w:val="15"/>
        </w:numPr>
        <w:autoSpaceDE w:val="0"/>
        <w:autoSpaceDN w:val="0"/>
        <w:adjustRightInd w:val="0"/>
        <w:contextualSpacing/>
        <w:jc w:val="both"/>
        <w:rPr>
          <w:rFonts w:ascii="Arial" w:hAnsi="Arial" w:cs="Arial"/>
          <w:sz w:val="24"/>
          <w:szCs w:val="24"/>
        </w:rPr>
      </w:pPr>
      <w:r w:rsidRPr="00B20198">
        <w:rPr>
          <w:rFonts w:ascii="Arial" w:hAnsi="Arial" w:cs="Arial"/>
          <w:sz w:val="24"/>
          <w:szCs w:val="24"/>
        </w:rPr>
        <w:t>furnizarea insuficientă a facilităților de îngrijire de calitate a copiilor și/sau a persoanelor dependente;</w:t>
      </w:r>
    </w:p>
    <w:p w:rsidR="00CE3479" w:rsidRPr="00B20198" w:rsidRDefault="00CE3479" w:rsidP="00445724">
      <w:pPr>
        <w:pStyle w:val="ListParagraph"/>
        <w:numPr>
          <w:ilvl w:val="0"/>
          <w:numId w:val="15"/>
        </w:numPr>
        <w:autoSpaceDE w:val="0"/>
        <w:autoSpaceDN w:val="0"/>
        <w:adjustRightInd w:val="0"/>
        <w:contextualSpacing/>
        <w:jc w:val="both"/>
        <w:rPr>
          <w:rFonts w:ascii="Arial" w:hAnsi="Arial" w:cs="Arial"/>
          <w:sz w:val="24"/>
          <w:szCs w:val="24"/>
        </w:rPr>
      </w:pPr>
      <w:r w:rsidRPr="00B20198">
        <w:rPr>
          <w:rFonts w:ascii="Arial" w:hAnsi="Arial" w:cs="Arial"/>
          <w:sz w:val="24"/>
          <w:szCs w:val="24"/>
        </w:rPr>
        <w:t>incidența ridicată a inactivității și a muncii cu timp parțial involuntare (involuntary part-time employment);</w:t>
      </w:r>
    </w:p>
    <w:p w:rsidR="00CE3479" w:rsidRPr="00B20198" w:rsidRDefault="00CE3479" w:rsidP="000C6A67">
      <w:pPr>
        <w:autoSpaceDE w:val="0"/>
        <w:autoSpaceDN w:val="0"/>
        <w:adjustRightInd w:val="0"/>
        <w:spacing w:after="0" w:line="240" w:lineRule="auto"/>
        <w:jc w:val="both"/>
        <w:rPr>
          <w:rFonts w:ascii="Arial" w:hAnsi="Arial" w:cs="Arial"/>
          <w:b/>
          <w:bCs/>
          <w:sz w:val="24"/>
          <w:szCs w:val="24"/>
        </w:rPr>
      </w:pPr>
      <w:r w:rsidRPr="00B20198">
        <w:rPr>
          <w:rFonts w:ascii="Arial" w:hAnsi="Arial" w:cs="Arial"/>
          <w:sz w:val="24"/>
          <w:szCs w:val="24"/>
        </w:rPr>
        <w:t xml:space="preserve">Unul dintre obiectivele Strategiei pentru Ocuparea forței de muncă 2014-2020 vizează </w:t>
      </w:r>
      <w:r w:rsidRPr="00B20198">
        <w:rPr>
          <w:rFonts w:ascii="Arial" w:hAnsi="Arial" w:cs="Arial"/>
          <w:b/>
          <w:bCs/>
          <w:sz w:val="24"/>
          <w:szCs w:val="24"/>
        </w:rPr>
        <w:t xml:space="preserve">îmbunătățirea structurii ocupaționale și participării pe piața muncii în rândul femeilor și persoanelor aparținând grupurilor vulnerabile, </w:t>
      </w:r>
      <w:r w:rsidRPr="00B20198">
        <w:rPr>
          <w:rFonts w:ascii="Arial" w:hAnsi="Arial" w:cs="Arial"/>
          <w:sz w:val="24"/>
          <w:szCs w:val="24"/>
        </w:rPr>
        <w:t>cuprinzând următoarele direcții de acțiune:</w:t>
      </w:r>
    </w:p>
    <w:p w:rsidR="00CE3479" w:rsidRPr="00B20198" w:rsidRDefault="00CE3479" w:rsidP="000C6A67">
      <w:pPr>
        <w:autoSpaceDE w:val="0"/>
        <w:autoSpaceDN w:val="0"/>
        <w:adjustRightInd w:val="0"/>
        <w:spacing w:after="0" w:line="240" w:lineRule="auto"/>
        <w:jc w:val="both"/>
        <w:rPr>
          <w:rFonts w:ascii="Arial" w:hAnsi="Arial" w:cs="Arial"/>
          <w:sz w:val="24"/>
          <w:szCs w:val="24"/>
        </w:rPr>
      </w:pPr>
      <w:r w:rsidRPr="00B20198">
        <w:rPr>
          <w:rFonts w:ascii="Arial" w:hAnsi="Arial" w:cs="Arial"/>
          <w:sz w:val="24"/>
          <w:szCs w:val="24"/>
        </w:rPr>
        <w:t>1. Reducerea ocupării în agricultura de subzistență și facilitarea relocării acestei resurse umane către activități non-agricole.</w:t>
      </w:r>
    </w:p>
    <w:p w:rsidR="00CE3479" w:rsidRPr="00B20198" w:rsidRDefault="00CE3479" w:rsidP="000C6A67">
      <w:pPr>
        <w:autoSpaceDE w:val="0"/>
        <w:autoSpaceDN w:val="0"/>
        <w:adjustRightInd w:val="0"/>
        <w:spacing w:after="0" w:line="240" w:lineRule="auto"/>
        <w:jc w:val="both"/>
        <w:rPr>
          <w:rFonts w:ascii="Arial" w:hAnsi="Arial" w:cs="Arial"/>
          <w:sz w:val="24"/>
          <w:szCs w:val="24"/>
        </w:rPr>
      </w:pPr>
      <w:r w:rsidRPr="00B20198">
        <w:rPr>
          <w:rFonts w:ascii="Arial" w:hAnsi="Arial" w:cs="Arial"/>
          <w:sz w:val="24"/>
          <w:szCs w:val="24"/>
        </w:rPr>
        <w:t>2. Creșterea participării femeilor pe piața muncii, inclusiv prin măsuri suport de reconciliere a vieții profesionale cu cea de familie.</w:t>
      </w:r>
    </w:p>
    <w:p w:rsidR="00CE3479" w:rsidRPr="00B20198" w:rsidRDefault="00CE3479" w:rsidP="000C6A67">
      <w:pPr>
        <w:autoSpaceDE w:val="0"/>
        <w:autoSpaceDN w:val="0"/>
        <w:adjustRightInd w:val="0"/>
        <w:spacing w:after="0" w:line="240" w:lineRule="auto"/>
        <w:jc w:val="both"/>
        <w:rPr>
          <w:rFonts w:ascii="Arial" w:hAnsi="Arial" w:cs="Arial"/>
          <w:sz w:val="24"/>
          <w:szCs w:val="24"/>
        </w:rPr>
      </w:pPr>
      <w:r w:rsidRPr="00B20198">
        <w:rPr>
          <w:rFonts w:ascii="Arial" w:hAnsi="Arial" w:cs="Arial"/>
          <w:sz w:val="24"/>
          <w:szCs w:val="24"/>
        </w:rPr>
        <w:t>3. Creșterea participării persoanelor aparținând grupurilor vulnerabile pe piața muncii</w:t>
      </w:r>
    </w:p>
    <w:p w:rsidR="00CE3479" w:rsidRPr="00B20198" w:rsidRDefault="00CE3479" w:rsidP="000C6A67">
      <w:pPr>
        <w:spacing w:after="0" w:line="240" w:lineRule="auto"/>
        <w:jc w:val="both"/>
        <w:rPr>
          <w:rFonts w:ascii="Arial" w:hAnsi="Arial" w:cs="Arial"/>
          <w:sz w:val="24"/>
          <w:szCs w:val="24"/>
        </w:rPr>
      </w:pPr>
      <w:r w:rsidRPr="00B20198">
        <w:rPr>
          <w:rFonts w:ascii="Arial" w:hAnsi="Arial" w:cs="Arial"/>
          <w:sz w:val="24"/>
          <w:szCs w:val="24"/>
        </w:rPr>
        <w:t>prin dezvoltarea de măsuri care să combine suportul social cu activarea.</w:t>
      </w:r>
    </w:p>
    <w:p w:rsidR="00CE3479" w:rsidRPr="00B20198" w:rsidRDefault="00CE3479" w:rsidP="000C6A67">
      <w:pPr>
        <w:autoSpaceDE w:val="0"/>
        <w:autoSpaceDN w:val="0"/>
        <w:adjustRightInd w:val="0"/>
        <w:spacing w:after="0" w:line="240" w:lineRule="auto"/>
        <w:jc w:val="both"/>
        <w:rPr>
          <w:rFonts w:ascii="Arial" w:hAnsi="Arial" w:cs="Arial"/>
          <w:sz w:val="24"/>
          <w:szCs w:val="24"/>
        </w:rPr>
      </w:pPr>
      <w:r w:rsidRPr="00B20198">
        <w:rPr>
          <w:rFonts w:ascii="Arial" w:hAnsi="Arial" w:cs="Arial"/>
          <w:sz w:val="24"/>
          <w:szCs w:val="24"/>
        </w:rPr>
        <w:t>În România, proporția forței de muncă active în agricultură este cea mai mare din UE</w:t>
      </w:r>
    </w:p>
    <w:p w:rsidR="00CE3479" w:rsidRPr="00B20198" w:rsidRDefault="00CE3479" w:rsidP="000C6A67">
      <w:pPr>
        <w:autoSpaceDE w:val="0"/>
        <w:autoSpaceDN w:val="0"/>
        <w:adjustRightInd w:val="0"/>
        <w:spacing w:after="0" w:line="240" w:lineRule="auto"/>
        <w:jc w:val="both"/>
        <w:rPr>
          <w:rFonts w:ascii="Arial" w:hAnsi="Arial" w:cs="Arial"/>
          <w:sz w:val="24"/>
          <w:szCs w:val="24"/>
        </w:rPr>
      </w:pPr>
      <w:r w:rsidRPr="00B20198">
        <w:rPr>
          <w:rFonts w:ascii="Arial" w:hAnsi="Arial" w:cs="Arial"/>
          <w:sz w:val="24"/>
          <w:szCs w:val="24"/>
        </w:rPr>
        <w:t>(aproximativ 30%), o mare parte activând în agricultura de subzistență și de semisubzistență,</w:t>
      </w:r>
      <w:r>
        <w:rPr>
          <w:rFonts w:ascii="Arial" w:hAnsi="Arial" w:cs="Arial"/>
          <w:sz w:val="24"/>
          <w:szCs w:val="24"/>
        </w:rPr>
        <w:t xml:space="preserve"> </w:t>
      </w:r>
      <w:r w:rsidRPr="00B20198">
        <w:rPr>
          <w:rFonts w:ascii="Arial" w:hAnsi="Arial" w:cs="Arial"/>
          <w:sz w:val="24"/>
          <w:szCs w:val="24"/>
        </w:rPr>
        <w:t>în contextul în care contribuția acestui sector la PIB este de doar 7%, iar productivitatea per</w:t>
      </w:r>
      <w:r>
        <w:rPr>
          <w:rFonts w:ascii="Arial" w:hAnsi="Arial" w:cs="Arial"/>
          <w:sz w:val="24"/>
          <w:szCs w:val="24"/>
        </w:rPr>
        <w:t xml:space="preserve"> </w:t>
      </w:r>
      <w:r w:rsidRPr="00B20198">
        <w:rPr>
          <w:rFonts w:ascii="Arial" w:hAnsi="Arial" w:cs="Arial"/>
          <w:sz w:val="24"/>
          <w:szCs w:val="24"/>
        </w:rPr>
        <w:t>persoană reprezintă 25% din media națională. Serviciile subdezvoltate din zonele rurale și</w:t>
      </w:r>
      <w:r>
        <w:rPr>
          <w:rFonts w:ascii="Arial" w:hAnsi="Arial" w:cs="Arial"/>
          <w:sz w:val="24"/>
          <w:szCs w:val="24"/>
        </w:rPr>
        <w:t xml:space="preserve"> </w:t>
      </w:r>
      <w:r w:rsidRPr="00B20198">
        <w:rPr>
          <w:rFonts w:ascii="Arial" w:hAnsi="Arial" w:cs="Arial"/>
          <w:sz w:val="24"/>
          <w:szCs w:val="24"/>
        </w:rPr>
        <w:t>calitatea slabă a infrastructurii împiedică dezvoltarea altor activități economice și, implicit,</w:t>
      </w:r>
      <w:r>
        <w:rPr>
          <w:rFonts w:ascii="Arial" w:hAnsi="Arial" w:cs="Arial"/>
          <w:sz w:val="24"/>
          <w:szCs w:val="24"/>
        </w:rPr>
        <w:t xml:space="preserve"> </w:t>
      </w:r>
      <w:r w:rsidRPr="00B20198">
        <w:rPr>
          <w:rFonts w:ascii="Arial" w:hAnsi="Arial" w:cs="Arial"/>
          <w:sz w:val="24"/>
          <w:szCs w:val="24"/>
        </w:rPr>
        <w:t>crearea de oportunități de angajare alternative.</w:t>
      </w:r>
    </w:p>
    <w:p w:rsidR="00CE3479" w:rsidRPr="00B20198" w:rsidRDefault="00CE3479" w:rsidP="000C6A67">
      <w:pPr>
        <w:autoSpaceDE w:val="0"/>
        <w:autoSpaceDN w:val="0"/>
        <w:adjustRightInd w:val="0"/>
        <w:spacing w:after="0" w:line="240" w:lineRule="auto"/>
        <w:jc w:val="both"/>
        <w:rPr>
          <w:rFonts w:ascii="Arial" w:hAnsi="Arial" w:cs="Arial"/>
          <w:b/>
          <w:bCs/>
          <w:sz w:val="24"/>
          <w:szCs w:val="24"/>
        </w:rPr>
      </w:pPr>
      <w:r w:rsidRPr="00B20198">
        <w:rPr>
          <w:rFonts w:ascii="Arial" w:hAnsi="Arial" w:cs="Arial"/>
          <w:sz w:val="24"/>
          <w:szCs w:val="24"/>
        </w:rPr>
        <w:t>În contextul în care una dintre condițiile fiundamentale pentru atingerea convergenței reale</w:t>
      </w:r>
      <w:r>
        <w:rPr>
          <w:rFonts w:ascii="Arial" w:hAnsi="Arial" w:cs="Arial"/>
          <w:sz w:val="24"/>
          <w:szCs w:val="24"/>
        </w:rPr>
        <w:t xml:space="preserve"> </w:t>
      </w:r>
      <w:r w:rsidRPr="00B20198">
        <w:rPr>
          <w:rFonts w:ascii="Arial" w:hAnsi="Arial" w:cs="Arial"/>
          <w:sz w:val="24"/>
          <w:szCs w:val="24"/>
        </w:rPr>
        <w:t>este reducerea ponderii agriculturii în economia națională, documentul strategic propune o</w:t>
      </w:r>
      <w:r>
        <w:rPr>
          <w:rFonts w:ascii="Arial" w:hAnsi="Arial" w:cs="Arial"/>
          <w:sz w:val="24"/>
          <w:szCs w:val="24"/>
        </w:rPr>
        <w:t xml:space="preserve"> </w:t>
      </w:r>
      <w:r w:rsidRPr="00B20198">
        <w:rPr>
          <w:rFonts w:ascii="Arial" w:hAnsi="Arial" w:cs="Arial"/>
          <w:sz w:val="24"/>
          <w:szCs w:val="24"/>
        </w:rPr>
        <w:t xml:space="preserve">serie de măsuri menite să îmbunătățească structura ocupațională: </w:t>
      </w:r>
      <w:r w:rsidRPr="00B20198">
        <w:rPr>
          <w:rFonts w:ascii="Arial" w:hAnsi="Arial" w:cs="Arial"/>
          <w:b/>
          <w:bCs/>
          <w:sz w:val="24"/>
          <w:szCs w:val="24"/>
        </w:rPr>
        <w:t>dezvoltarea de scheme de</w:t>
      </w:r>
      <w:r>
        <w:rPr>
          <w:rFonts w:ascii="Arial" w:hAnsi="Arial" w:cs="Arial"/>
          <w:b/>
          <w:bCs/>
          <w:sz w:val="24"/>
          <w:szCs w:val="24"/>
        </w:rPr>
        <w:t xml:space="preserve"> </w:t>
      </w:r>
      <w:r w:rsidRPr="00B20198">
        <w:rPr>
          <w:rFonts w:ascii="Arial" w:hAnsi="Arial" w:cs="Arial"/>
          <w:b/>
          <w:bCs/>
          <w:sz w:val="24"/>
          <w:szCs w:val="24"/>
        </w:rPr>
        <w:t xml:space="preserve">garanții pentru persoanele defavorizate din mediul </w:t>
      </w:r>
      <w:r w:rsidRPr="00B20198">
        <w:rPr>
          <w:rFonts w:ascii="Arial" w:hAnsi="Arial" w:cs="Arial"/>
          <w:b/>
          <w:bCs/>
          <w:sz w:val="24"/>
          <w:szCs w:val="24"/>
        </w:rPr>
        <w:lastRenderedPageBreak/>
        <w:t>rural, sprijinirea activităţilor de</w:t>
      </w:r>
      <w:r>
        <w:rPr>
          <w:rFonts w:ascii="Arial" w:hAnsi="Arial" w:cs="Arial"/>
          <w:b/>
          <w:bCs/>
          <w:sz w:val="24"/>
          <w:szCs w:val="24"/>
        </w:rPr>
        <w:t xml:space="preserve"> </w:t>
      </w:r>
      <w:r w:rsidRPr="00B20198">
        <w:rPr>
          <w:rFonts w:ascii="Arial" w:hAnsi="Arial" w:cs="Arial"/>
          <w:b/>
          <w:bCs/>
          <w:sz w:val="24"/>
          <w:szCs w:val="24"/>
        </w:rPr>
        <w:t>antreprenoriat, în special pentru tineri, acordarea de facilităţi fiscale întreprinzătorilor</w:t>
      </w:r>
      <w:r>
        <w:rPr>
          <w:rFonts w:ascii="Arial" w:hAnsi="Arial" w:cs="Arial"/>
          <w:b/>
          <w:bCs/>
          <w:sz w:val="24"/>
          <w:szCs w:val="24"/>
        </w:rPr>
        <w:t xml:space="preserve"> </w:t>
      </w:r>
      <w:r w:rsidRPr="00B20198">
        <w:rPr>
          <w:rFonts w:ascii="Arial" w:hAnsi="Arial" w:cs="Arial"/>
          <w:b/>
          <w:bCs/>
          <w:sz w:val="24"/>
          <w:szCs w:val="24"/>
        </w:rPr>
        <w:t>care demarează afaceri în mediul rural în sectoarele secundar şi terţiar și celor care</w:t>
      </w:r>
      <w:r>
        <w:rPr>
          <w:rFonts w:ascii="Arial" w:hAnsi="Arial" w:cs="Arial"/>
          <w:b/>
          <w:bCs/>
          <w:sz w:val="24"/>
          <w:szCs w:val="24"/>
        </w:rPr>
        <w:t xml:space="preserve"> </w:t>
      </w:r>
      <w:r w:rsidRPr="00B20198">
        <w:rPr>
          <w:rFonts w:ascii="Arial" w:hAnsi="Arial" w:cs="Arial"/>
          <w:b/>
          <w:bCs/>
          <w:sz w:val="24"/>
          <w:szCs w:val="24"/>
        </w:rPr>
        <w:t>creează locuri de muncă adresate grupurilor dezavantajate, precum şi dezvoltarea de</w:t>
      </w:r>
      <w:r>
        <w:rPr>
          <w:rFonts w:ascii="Arial" w:hAnsi="Arial" w:cs="Arial"/>
          <w:b/>
          <w:bCs/>
          <w:sz w:val="24"/>
          <w:szCs w:val="24"/>
        </w:rPr>
        <w:t xml:space="preserve"> </w:t>
      </w:r>
      <w:r w:rsidRPr="00B20198">
        <w:rPr>
          <w:rFonts w:ascii="Arial" w:hAnsi="Arial" w:cs="Arial"/>
          <w:b/>
          <w:bCs/>
          <w:sz w:val="24"/>
          <w:szCs w:val="24"/>
        </w:rPr>
        <w:t>scheme de garantare pentru beneficiarii Programului Național de Dezvoltare Rurală.</w:t>
      </w:r>
    </w:p>
    <w:p w:rsidR="00CE3479" w:rsidRPr="00B20198" w:rsidRDefault="00CE3479" w:rsidP="000C6A67">
      <w:pPr>
        <w:autoSpaceDE w:val="0"/>
        <w:autoSpaceDN w:val="0"/>
        <w:adjustRightInd w:val="0"/>
        <w:spacing w:after="0" w:line="240" w:lineRule="auto"/>
        <w:jc w:val="both"/>
        <w:rPr>
          <w:rFonts w:ascii="Arial" w:hAnsi="Arial" w:cs="Arial"/>
          <w:b/>
          <w:bCs/>
          <w:sz w:val="24"/>
          <w:szCs w:val="24"/>
        </w:rPr>
      </w:pPr>
      <w:r w:rsidRPr="00B20198">
        <w:rPr>
          <w:rFonts w:ascii="Arial" w:hAnsi="Arial" w:cs="Arial"/>
          <w:sz w:val="24"/>
          <w:szCs w:val="24"/>
        </w:rPr>
        <w:t>Pe de altă parte, dat fiind faptul că aproximativ 28% din forța de muncă din agricultură este</w:t>
      </w:r>
      <w:r>
        <w:rPr>
          <w:rFonts w:ascii="Arial" w:hAnsi="Arial" w:cs="Arial"/>
          <w:sz w:val="24"/>
          <w:szCs w:val="24"/>
        </w:rPr>
        <w:t xml:space="preserve"> </w:t>
      </w:r>
      <w:r w:rsidRPr="00B20198">
        <w:rPr>
          <w:rFonts w:ascii="Arial" w:hAnsi="Arial" w:cs="Arial"/>
          <w:sz w:val="24"/>
          <w:szCs w:val="24"/>
        </w:rPr>
        <w:t>sub 35 de ani, are niveluri reduse de educație și calificare și, în consecință, posibilități reduse</w:t>
      </w:r>
      <w:r>
        <w:rPr>
          <w:rFonts w:ascii="Arial" w:hAnsi="Arial" w:cs="Arial"/>
          <w:sz w:val="24"/>
          <w:szCs w:val="24"/>
        </w:rPr>
        <w:t xml:space="preserve"> </w:t>
      </w:r>
      <w:r w:rsidRPr="00B20198">
        <w:rPr>
          <w:rFonts w:ascii="Arial" w:hAnsi="Arial" w:cs="Arial"/>
          <w:sz w:val="24"/>
          <w:szCs w:val="24"/>
        </w:rPr>
        <w:t xml:space="preserve">de adaptare la cerințele pieței muncii, </w:t>
      </w:r>
      <w:r w:rsidRPr="00B20198">
        <w:rPr>
          <w:rFonts w:ascii="Arial" w:hAnsi="Arial" w:cs="Arial"/>
          <w:b/>
          <w:bCs/>
          <w:sz w:val="24"/>
          <w:szCs w:val="24"/>
        </w:rPr>
        <w:t xml:space="preserve">susținerea investițiilor în dezvoltarea programelor de orientare și formare profesională </w:t>
      </w:r>
      <w:r w:rsidRPr="00B20198">
        <w:rPr>
          <w:rFonts w:ascii="Arial" w:hAnsi="Arial" w:cs="Arial"/>
          <w:sz w:val="24"/>
          <w:szCs w:val="24"/>
        </w:rPr>
        <w:t>poate contribui la creșterea nivelului de competențe ale</w:t>
      </w:r>
      <w:r>
        <w:rPr>
          <w:rFonts w:ascii="Arial" w:hAnsi="Arial" w:cs="Arial"/>
          <w:sz w:val="24"/>
          <w:szCs w:val="24"/>
        </w:rPr>
        <w:t xml:space="preserve"> </w:t>
      </w:r>
      <w:r w:rsidRPr="00B20198">
        <w:rPr>
          <w:rFonts w:ascii="Arial" w:hAnsi="Arial" w:cs="Arial"/>
          <w:sz w:val="24"/>
          <w:szCs w:val="24"/>
        </w:rPr>
        <w:t>forței de muncă</w:t>
      </w:r>
      <w:r w:rsidRPr="00B20198">
        <w:rPr>
          <w:rFonts w:ascii="Arial" w:hAnsi="Arial" w:cs="Arial"/>
          <w:b/>
          <w:bCs/>
          <w:sz w:val="24"/>
          <w:szCs w:val="24"/>
        </w:rPr>
        <w:t>. Modernizarea infrastructurii zonelor rurale și înființarea de unități/</w:t>
      </w:r>
      <w:r>
        <w:rPr>
          <w:rFonts w:ascii="Arial" w:hAnsi="Arial" w:cs="Arial"/>
          <w:b/>
          <w:bCs/>
          <w:sz w:val="24"/>
          <w:szCs w:val="24"/>
        </w:rPr>
        <w:t xml:space="preserve"> </w:t>
      </w:r>
      <w:r w:rsidRPr="00B20198">
        <w:rPr>
          <w:rFonts w:ascii="Arial" w:hAnsi="Arial" w:cs="Arial"/>
          <w:b/>
          <w:bCs/>
          <w:sz w:val="24"/>
          <w:szCs w:val="24"/>
        </w:rPr>
        <w:t xml:space="preserve">instituții de învățământ și centre de formare profesională, precum și furnizarea de programe integrate pentru facilitarea mobilității ocupaționale și geografice a persoanelor inactive din mediul rural </w:t>
      </w:r>
      <w:r w:rsidRPr="00B20198">
        <w:rPr>
          <w:rFonts w:ascii="Arial" w:hAnsi="Arial" w:cs="Arial"/>
          <w:sz w:val="24"/>
          <w:szCs w:val="24"/>
        </w:rPr>
        <w:t>sunt masuri imperios necesare ce contribuie lacreşterea coeziunii sociale, facilitând tranziţia de la activitatea de semisubzistență la oactivitate care generează un venit constant. Aceste măsuri pot concura la o mai bună exploatare a potențialului sectorului agro-alimentar, sporindu-i rolul de motor al creșteriieconomice sustenabile, competitive şi incluzive.</w:t>
      </w:r>
      <w:r w:rsidR="00907FFB">
        <w:rPr>
          <w:rFonts w:ascii="Arial" w:hAnsi="Arial" w:cs="Arial"/>
          <w:sz w:val="24"/>
          <w:szCs w:val="24"/>
        </w:rPr>
        <w:t xml:space="preserve"> </w:t>
      </w:r>
      <w:r w:rsidRPr="00B20198">
        <w:rPr>
          <w:rFonts w:ascii="Arial" w:hAnsi="Arial" w:cs="Arial"/>
          <w:sz w:val="24"/>
          <w:szCs w:val="24"/>
        </w:rPr>
        <w:t>Confruntându-ne cu perspectiva scăderii populației în vârstă de muncă, creșterea ratei ocupării</w:t>
      </w:r>
      <w:r w:rsidRPr="00B20198">
        <w:rPr>
          <w:rFonts w:ascii="Arial" w:hAnsi="Arial" w:cs="Arial"/>
          <w:b/>
          <w:bCs/>
          <w:sz w:val="24"/>
          <w:szCs w:val="24"/>
        </w:rPr>
        <w:t xml:space="preserve"> </w:t>
      </w:r>
      <w:r w:rsidRPr="00B20198">
        <w:rPr>
          <w:rFonts w:ascii="Arial" w:hAnsi="Arial" w:cs="Arial"/>
          <w:sz w:val="24"/>
          <w:szCs w:val="24"/>
        </w:rPr>
        <w:t>femeilor apare ca fiind esențială pentru atingerea obiectivului național în materie de ocupare aforței de muncă stabilit în contextul Strategiei Europa 2020.</w:t>
      </w:r>
    </w:p>
    <w:p w:rsidR="00CE3479" w:rsidRPr="00B20198" w:rsidRDefault="00CE3479" w:rsidP="000C6A67">
      <w:pPr>
        <w:spacing w:after="0" w:line="240" w:lineRule="auto"/>
        <w:jc w:val="both"/>
        <w:rPr>
          <w:rFonts w:ascii="Arial" w:hAnsi="Arial" w:cs="Arial"/>
          <w:b/>
          <w:bCs/>
          <w:sz w:val="24"/>
          <w:szCs w:val="24"/>
        </w:rPr>
      </w:pPr>
      <w:r w:rsidRPr="00B20198">
        <w:rPr>
          <w:rFonts w:ascii="Arial" w:hAnsi="Arial" w:cs="Arial"/>
          <w:sz w:val="24"/>
          <w:szCs w:val="24"/>
        </w:rPr>
        <w:t xml:space="preserve">Înregistrând o rată de ocupare cu 15 </w:t>
      </w:r>
      <w:r w:rsidR="00B90D04">
        <w:rPr>
          <w:rFonts w:ascii="Arial" w:hAnsi="Arial" w:cs="Arial"/>
          <w:sz w:val="24"/>
          <w:szCs w:val="24"/>
        </w:rPr>
        <w:t>%</w:t>
      </w:r>
      <w:r w:rsidRPr="00B20198">
        <w:rPr>
          <w:rFonts w:ascii="Arial" w:hAnsi="Arial" w:cs="Arial"/>
          <w:sz w:val="24"/>
          <w:szCs w:val="24"/>
        </w:rPr>
        <w:t xml:space="preserve"> mai mică decât a bărbaților în anul 2012, femeile se situează într-o poziție vulnerabila pe piața muncii din Romania, generată de factori care vizează nivelul educațional, perioade de întrerupere a carierei (nașterea unui copil, concediu de maternitate) în care se pierd oportunități de formare profesională în vederea adaptării l</w:t>
      </w:r>
      <w:r w:rsidR="009834AD">
        <w:rPr>
          <w:rFonts w:ascii="Arial" w:hAnsi="Arial" w:cs="Arial"/>
          <w:sz w:val="24"/>
          <w:szCs w:val="24"/>
        </w:rPr>
        <w:t>a</w:t>
      </w:r>
      <w:r w:rsidRPr="00B20198">
        <w:rPr>
          <w:rFonts w:ascii="Arial" w:hAnsi="Arial" w:cs="Arial"/>
          <w:sz w:val="24"/>
          <w:szCs w:val="24"/>
        </w:rPr>
        <w:t xml:space="preserve"> cerințele de competențe de pe piața muncii, insuficienta dezvoltare a facilităților de creștere și</w:t>
      </w:r>
      <w:r w:rsidRPr="00B20198">
        <w:rPr>
          <w:rFonts w:ascii="Arial" w:hAnsi="Arial" w:cs="Arial"/>
          <w:b/>
          <w:bCs/>
          <w:sz w:val="24"/>
          <w:szCs w:val="24"/>
        </w:rPr>
        <w:t xml:space="preserve"> </w:t>
      </w:r>
      <w:r w:rsidRPr="00B20198">
        <w:rPr>
          <w:rFonts w:ascii="Arial" w:hAnsi="Arial" w:cs="Arial"/>
          <w:sz w:val="24"/>
          <w:szCs w:val="24"/>
        </w:rPr>
        <w:t>îngrijire a copiilor sau a altor persoane dependente și prețul inaccesibil al multora dintre cele</w:t>
      </w:r>
      <w:r w:rsidRPr="00B20198">
        <w:rPr>
          <w:rFonts w:ascii="Arial" w:hAnsi="Arial" w:cs="Arial"/>
          <w:b/>
          <w:bCs/>
          <w:sz w:val="24"/>
          <w:szCs w:val="24"/>
        </w:rPr>
        <w:t xml:space="preserve"> </w:t>
      </w:r>
      <w:r w:rsidRPr="00B20198">
        <w:rPr>
          <w:rFonts w:ascii="Arial" w:hAnsi="Arial" w:cs="Arial"/>
          <w:sz w:val="24"/>
          <w:szCs w:val="24"/>
        </w:rPr>
        <w:t>existente pentru a permite o bună conciliere a vieții profesionale cu cea de familie. Pe de altă</w:t>
      </w:r>
      <w:r w:rsidRPr="00B20198">
        <w:rPr>
          <w:rFonts w:ascii="Arial" w:hAnsi="Arial" w:cs="Arial"/>
          <w:b/>
          <w:bCs/>
          <w:sz w:val="24"/>
          <w:szCs w:val="24"/>
        </w:rPr>
        <w:t xml:space="preserve"> </w:t>
      </w:r>
      <w:r w:rsidRPr="00B20198">
        <w:rPr>
          <w:rFonts w:ascii="Arial" w:hAnsi="Arial" w:cs="Arial"/>
          <w:sz w:val="24"/>
          <w:szCs w:val="24"/>
        </w:rPr>
        <w:t>parte, angajatorii au atitudini preconcepute privind femeile, pe care le consideră forța de</w:t>
      </w:r>
      <w:r w:rsidRPr="00B20198">
        <w:rPr>
          <w:rFonts w:ascii="Arial" w:hAnsi="Arial" w:cs="Arial"/>
          <w:b/>
          <w:bCs/>
          <w:sz w:val="24"/>
          <w:szCs w:val="24"/>
        </w:rPr>
        <w:t xml:space="preserve"> </w:t>
      </w:r>
      <w:r w:rsidRPr="00B20198">
        <w:rPr>
          <w:rFonts w:ascii="Arial" w:hAnsi="Arial" w:cs="Arial"/>
          <w:sz w:val="24"/>
          <w:szCs w:val="24"/>
        </w:rPr>
        <w:t>muncă inferioară cu productivitate redusă, performanța lor fiind întreruptă de maternitate.</w:t>
      </w:r>
    </w:p>
    <w:p w:rsidR="00CE3479" w:rsidRPr="00B20198" w:rsidRDefault="00CE3479" w:rsidP="007C0909">
      <w:pPr>
        <w:spacing w:after="0" w:line="240" w:lineRule="auto"/>
        <w:jc w:val="both"/>
        <w:rPr>
          <w:rFonts w:ascii="Arial" w:hAnsi="Arial" w:cs="Arial"/>
          <w:bCs/>
          <w:sz w:val="24"/>
          <w:szCs w:val="24"/>
        </w:rPr>
      </w:pPr>
      <w:r w:rsidRPr="00B20198">
        <w:rPr>
          <w:rFonts w:ascii="Arial" w:hAnsi="Arial" w:cs="Arial"/>
          <w:sz w:val="24"/>
          <w:szCs w:val="24"/>
        </w:rPr>
        <w:t xml:space="preserve">Acțiunile propuse de strategie și orientate către </w:t>
      </w:r>
      <w:r w:rsidRPr="00B20198">
        <w:rPr>
          <w:rFonts w:ascii="Arial" w:hAnsi="Arial" w:cs="Arial"/>
          <w:b/>
          <w:bCs/>
          <w:sz w:val="24"/>
          <w:szCs w:val="24"/>
        </w:rPr>
        <w:t xml:space="preserve">sprijinirea femeilor pentru revenirea pe piața muncii și reintegrarea profesională, inclusiv prin promovarea antreprenoriatului şi a programelor de tip “a doua şansă” pentru dobândirea de competenţe şi calificări cerute pe piaţa muncii. Dezvoltarea infrastructurii pentru a asigura facilități de îngrijirea copiilor şi a serviciilor suport pentru îngrijirea membrilor de familie dependenţi,activitățile de conştientizare cu privire la flexibilizarea timpului de lucru şi diferenţa salarială între femei şi bărbaţi, precum și cele legate de combaterea stereotipurilor de gen </w:t>
      </w:r>
      <w:r w:rsidRPr="00B20198">
        <w:rPr>
          <w:rFonts w:ascii="Arial" w:hAnsi="Arial" w:cs="Arial"/>
          <w:sz w:val="24"/>
          <w:szCs w:val="24"/>
        </w:rPr>
        <w:t>sunt menite să stimuleze participarea acestei categorii pe piața muncii.</w:t>
      </w:r>
      <w:r>
        <w:rPr>
          <w:rFonts w:ascii="Arial" w:hAnsi="Arial" w:cs="Arial"/>
          <w:sz w:val="24"/>
          <w:szCs w:val="24"/>
        </w:rPr>
        <w:t xml:space="preserve"> </w:t>
      </w:r>
      <w:r w:rsidRPr="00B20198">
        <w:rPr>
          <w:rFonts w:ascii="Arial" w:hAnsi="Arial" w:cs="Arial"/>
          <w:sz w:val="24"/>
          <w:szCs w:val="24"/>
        </w:rPr>
        <w:t>Dat fiind deficitul general de locuri de muncă, grupurile confruntate cu dezavantaje speciale</w:t>
      </w:r>
      <w:r>
        <w:rPr>
          <w:rFonts w:ascii="Arial" w:hAnsi="Arial" w:cs="Arial"/>
          <w:sz w:val="24"/>
          <w:szCs w:val="24"/>
        </w:rPr>
        <w:t xml:space="preserve"> </w:t>
      </w:r>
      <w:r w:rsidRPr="00B20198">
        <w:rPr>
          <w:rFonts w:ascii="Arial" w:hAnsi="Arial" w:cs="Arial"/>
          <w:sz w:val="24"/>
          <w:szCs w:val="24"/>
        </w:rPr>
        <w:t>sunt cele mai afectate. Pe lângă competențele inadecvate, atitudinile ostile și normele sociale,</w:t>
      </w:r>
      <w:r>
        <w:rPr>
          <w:rFonts w:ascii="Arial" w:hAnsi="Arial" w:cs="Arial"/>
          <w:sz w:val="24"/>
          <w:szCs w:val="24"/>
        </w:rPr>
        <w:t xml:space="preserve"> </w:t>
      </w:r>
      <w:r w:rsidRPr="00B20198">
        <w:rPr>
          <w:rFonts w:ascii="Arial" w:hAnsi="Arial" w:cs="Arial"/>
          <w:sz w:val="24"/>
          <w:szCs w:val="24"/>
        </w:rPr>
        <w:t>condițiile de muncă excesiv de rigide şi accesul dificil la informatii reprezintă obstacole în</w:t>
      </w:r>
      <w:r>
        <w:rPr>
          <w:rFonts w:ascii="Arial" w:hAnsi="Arial" w:cs="Arial"/>
          <w:sz w:val="24"/>
          <w:szCs w:val="24"/>
        </w:rPr>
        <w:t xml:space="preserve"> </w:t>
      </w:r>
      <w:r w:rsidRPr="00B20198">
        <w:rPr>
          <w:rFonts w:ascii="Arial" w:hAnsi="Arial" w:cs="Arial"/>
          <w:sz w:val="24"/>
          <w:szCs w:val="24"/>
        </w:rPr>
        <w:t>calea găsirii unui loc de muncă, având impact negativ asupra participării grupurile dezavantajate la piaţa muncii şi a standardului lor de viaţă.</w:t>
      </w:r>
      <w:r>
        <w:rPr>
          <w:rFonts w:ascii="Arial" w:hAnsi="Arial" w:cs="Arial"/>
          <w:sz w:val="24"/>
          <w:szCs w:val="24"/>
        </w:rPr>
        <w:t xml:space="preserve"> </w:t>
      </w:r>
      <w:r w:rsidRPr="00B20198">
        <w:rPr>
          <w:rFonts w:ascii="Arial" w:hAnsi="Arial" w:cs="Arial"/>
          <w:sz w:val="24"/>
          <w:szCs w:val="24"/>
        </w:rPr>
        <w:t xml:space="preserve">În acest context, Strategia națională pentru ocuparea forței de muncă 2014-2020 propune acțíuni care vor viza: </w:t>
      </w:r>
      <w:r w:rsidRPr="00B20198">
        <w:rPr>
          <w:rFonts w:ascii="Arial" w:hAnsi="Arial" w:cs="Arial"/>
          <w:bCs/>
          <w:sz w:val="24"/>
          <w:szCs w:val="24"/>
        </w:rPr>
        <w:t xml:space="preserve">acordarea de </w:t>
      </w:r>
      <w:r w:rsidRPr="00B20198">
        <w:rPr>
          <w:rFonts w:ascii="Arial" w:hAnsi="Arial" w:cs="Arial"/>
          <w:sz w:val="24"/>
          <w:szCs w:val="24"/>
        </w:rPr>
        <w:t>f</w:t>
      </w:r>
      <w:r w:rsidRPr="00B20198">
        <w:rPr>
          <w:rFonts w:ascii="Arial" w:hAnsi="Arial" w:cs="Arial"/>
          <w:bCs/>
          <w:sz w:val="24"/>
          <w:szCs w:val="24"/>
        </w:rPr>
        <w:t>acilităţi fiscale angajatorilor în vederea stimulării incluziunii pe piaţa muncii a persoanelor vulnerabile concomitent cu sprijinirea acestora pentru a facilita un acces mai uşor la mediului fizic, informațional și comunicațional, în scopul asigurării protecției, sănătății și securității la locul de muncă, precum şi stimularea economiei sociale și a antreprenoriatului social.</w:t>
      </w:r>
    </w:p>
    <w:p w:rsidR="00CE3479" w:rsidRPr="00B20198" w:rsidRDefault="00CE3479" w:rsidP="009834AD">
      <w:pPr>
        <w:autoSpaceDE w:val="0"/>
        <w:autoSpaceDN w:val="0"/>
        <w:adjustRightInd w:val="0"/>
        <w:spacing w:after="0" w:line="240" w:lineRule="auto"/>
        <w:jc w:val="both"/>
        <w:rPr>
          <w:rFonts w:ascii="Arial" w:hAnsi="Arial" w:cs="Arial"/>
          <w:bCs/>
          <w:sz w:val="24"/>
          <w:szCs w:val="24"/>
        </w:rPr>
      </w:pPr>
      <w:r w:rsidRPr="00B20198">
        <w:rPr>
          <w:rFonts w:ascii="Arial" w:hAnsi="Arial" w:cs="Arial"/>
          <w:bCs/>
          <w:sz w:val="24"/>
          <w:szCs w:val="24"/>
        </w:rPr>
        <w:t>Asigurarea serviciilor suport pentru persoanele vulnerabile aflate în căutarea unui loc</w:t>
      </w:r>
    </w:p>
    <w:p w:rsidR="00CE3479" w:rsidRPr="00B20198" w:rsidRDefault="00CE3479" w:rsidP="009834AD">
      <w:pPr>
        <w:autoSpaceDE w:val="0"/>
        <w:autoSpaceDN w:val="0"/>
        <w:adjustRightInd w:val="0"/>
        <w:spacing w:after="0" w:line="240" w:lineRule="auto"/>
        <w:jc w:val="both"/>
        <w:rPr>
          <w:rFonts w:ascii="Arial" w:hAnsi="Arial" w:cs="Arial"/>
          <w:sz w:val="24"/>
          <w:szCs w:val="24"/>
        </w:rPr>
      </w:pPr>
      <w:r w:rsidRPr="00B20198">
        <w:rPr>
          <w:rFonts w:ascii="Arial" w:hAnsi="Arial" w:cs="Arial"/>
          <w:bCs/>
          <w:sz w:val="24"/>
          <w:szCs w:val="24"/>
        </w:rPr>
        <w:lastRenderedPageBreak/>
        <w:t xml:space="preserve">de muncă </w:t>
      </w:r>
      <w:r w:rsidRPr="00B20198">
        <w:rPr>
          <w:rFonts w:ascii="Arial" w:hAnsi="Arial" w:cs="Arial"/>
          <w:sz w:val="24"/>
          <w:szCs w:val="24"/>
        </w:rPr>
        <w:t>reprezintă modele de dezvoltare alternativă ce pot contribui semnificativ la</w:t>
      </w:r>
    </w:p>
    <w:p w:rsidR="00CE3479" w:rsidRPr="00B20198" w:rsidRDefault="00CE3479" w:rsidP="009834AD">
      <w:pPr>
        <w:autoSpaceDE w:val="0"/>
        <w:autoSpaceDN w:val="0"/>
        <w:adjustRightInd w:val="0"/>
        <w:spacing w:after="0" w:line="240" w:lineRule="auto"/>
        <w:jc w:val="both"/>
        <w:rPr>
          <w:rFonts w:ascii="Arial" w:hAnsi="Arial" w:cs="Arial"/>
          <w:sz w:val="24"/>
          <w:szCs w:val="24"/>
        </w:rPr>
      </w:pPr>
      <w:r w:rsidRPr="00B20198">
        <w:rPr>
          <w:rFonts w:ascii="Arial" w:hAnsi="Arial" w:cs="Arial"/>
          <w:sz w:val="24"/>
          <w:szCs w:val="24"/>
        </w:rPr>
        <w:t>promovarea coeziunii sociale, la dezvoltarea locală sustenabilă și nu în ultimul rând, la</w:t>
      </w:r>
    </w:p>
    <w:p w:rsidR="00CE3479" w:rsidRDefault="00CE3479" w:rsidP="009834AD">
      <w:pPr>
        <w:spacing w:after="0" w:line="240" w:lineRule="auto"/>
        <w:jc w:val="both"/>
        <w:rPr>
          <w:rFonts w:ascii="Arial" w:hAnsi="Arial" w:cs="Arial"/>
          <w:sz w:val="24"/>
          <w:szCs w:val="24"/>
        </w:rPr>
      </w:pPr>
      <w:r w:rsidRPr="00B20198">
        <w:rPr>
          <w:rFonts w:ascii="Arial" w:hAnsi="Arial" w:cs="Arial"/>
          <w:sz w:val="24"/>
          <w:szCs w:val="24"/>
        </w:rPr>
        <w:t>dezvoltarea unei economii incluzive.</w:t>
      </w:r>
    </w:p>
    <w:p w:rsidR="001506BA" w:rsidRPr="001506BA" w:rsidRDefault="001506BA" w:rsidP="009834AD">
      <w:pPr>
        <w:spacing w:after="0" w:line="240" w:lineRule="auto"/>
        <w:jc w:val="both"/>
        <w:rPr>
          <w:rFonts w:ascii="Arial" w:eastAsia="Times New Roman" w:hAnsi="Arial" w:cs="Arial"/>
          <w:color w:val="000000"/>
          <w:sz w:val="24"/>
          <w:szCs w:val="24"/>
          <w:lang w:eastAsia="ro-RO"/>
        </w:rPr>
      </w:pPr>
      <w:r w:rsidRPr="0001265A">
        <w:rPr>
          <w:rFonts w:ascii="Arial" w:hAnsi="Arial" w:cs="Arial"/>
          <w:sz w:val="24"/>
          <w:szCs w:val="24"/>
        </w:rPr>
        <w:t xml:space="preserve">AJOFM au în atribuții asigurarea de servicii specializate de </w:t>
      </w:r>
      <w:r w:rsidR="0001265A" w:rsidRPr="0001265A">
        <w:rPr>
          <w:rFonts w:ascii="Arial" w:eastAsia="Times New Roman" w:hAnsi="Arial" w:cs="Arial"/>
          <w:b/>
          <w:bCs/>
          <w:color w:val="000000"/>
          <w:sz w:val="24"/>
          <w:szCs w:val="24"/>
          <w:lang w:eastAsia="ro-RO"/>
        </w:rPr>
        <w:t>Informare</w:t>
      </w:r>
      <w:r w:rsidRPr="0001265A">
        <w:rPr>
          <w:rFonts w:ascii="Arial" w:eastAsia="Times New Roman" w:hAnsi="Arial" w:cs="Arial"/>
          <w:b/>
          <w:bCs/>
          <w:color w:val="000000"/>
          <w:sz w:val="24"/>
          <w:szCs w:val="24"/>
          <w:lang w:eastAsia="ro-RO"/>
        </w:rPr>
        <w:t xml:space="preserve"> şi consilierea profesională</w:t>
      </w:r>
      <w:r w:rsidR="0001265A" w:rsidRPr="0001265A">
        <w:rPr>
          <w:rFonts w:ascii="Arial" w:eastAsia="Times New Roman" w:hAnsi="Arial" w:cs="Arial"/>
          <w:color w:val="000000"/>
          <w:sz w:val="24"/>
          <w:szCs w:val="24"/>
          <w:lang w:eastAsia="ro-RO"/>
        </w:rPr>
        <w:t>, „</w:t>
      </w:r>
      <w:r w:rsidRPr="001506BA">
        <w:rPr>
          <w:rFonts w:ascii="Arial" w:hAnsi="Arial" w:cs="Arial"/>
          <w:sz w:val="24"/>
          <w:szCs w:val="24"/>
        </w:rPr>
        <w:t xml:space="preserve">acordate în mod gratuit persoanelor în căutarea unui loc de muncă, </w:t>
      </w:r>
      <w:r w:rsidR="0001265A" w:rsidRPr="0001265A">
        <w:rPr>
          <w:rFonts w:ascii="Arial" w:hAnsi="Arial" w:cs="Arial"/>
          <w:sz w:val="24"/>
          <w:szCs w:val="24"/>
        </w:rPr>
        <w:t>acoperind:</w:t>
      </w:r>
    </w:p>
    <w:p w:rsidR="001506BA" w:rsidRPr="001506BA" w:rsidRDefault="0001265A" w:rsidP="009834AD">
      <w:pPr>
        <w:autoSpaceDE w:val="0"/>
        <w:autoSpaceDN w:val="0"/>
        <w:adjustRightInd w:val="0"/>
        <w:spacing w:after="0" w:line="240" w:lineRule="auto"/>
        <w:jc w:val="both"/>
        <w:rPr>
          <w:rFonts w:ascii="Arial" w:hAnsi="Arial" w:cs="Arial"/>
          <w:sz w:val="24"/>
          <w:szCs w:val="24"/>
        </w:rPr>
      </w:pPr>
      <w:r>
        <w:rPr>
          <w:rFonts w:ascii="Arial" w:hAnsi="Arial" w:cs="Arial"/>
          <w:sz w:val="24"/>
          <w:szCs w:val="24"/>
        </w:rPr>
        <w:t>-</w:t>
      </w:r>
      <w:r w:rsidR="001506BA" w:rsidRPr="001506BA">
        <w:rPr>
          <w:rFonts w:ascii="Arial" w:hAnsi="Arial" w:cs="Arial"/>
          <w:sz w:val="24"/>
          <w:szCs w:val="24"/>
        </w:rPr>
        <w:t>Furnizarea de informaţii privind piaţa muncii şi evoluţia ocupaţiilor</w:t>
      </w:r>
    </w:p>
    <w:p w:rsidR="001506BA" w:rsidRPr="001506BA" w:rsidRDefault="0001265A" w:rsidP="009834AD">
      <w:pPr>
        <w:autoSpaceDE w:val="0"/>
        <w:autoSpaceDN w:val="0"/>
        <w:adjustRightInd w:val="0"/>
        <w:spacing w:after="0" w:line="240" w:lineRule="auto"/>
        <w:jc w:val="both"/>
        <w:rPr>
          <w:rFonts w:ascii="Arial" w:hAnsi="Arial" w:cs="Arial"/>
          <w:sz w:val="24"/>
          <w:szCs w:val="24"/>
        </w:rPr>
      </w:pPr>
      <w:r>
        <w:rPr>
          <w:rFonts w:ascii="Arial" w:hAnsi="Arial" w:cs="Arial"/>
          <w:sz w:val="24"/>
          <w:szCs w:val="24"/>
        </w:rPr>
        <w:t>-</w:t>
      </w:r>
      <w:r w:rsidR="001506BA" w:rsidRPr="001506BA">
        <w:rPr>
          <w:rFonts w:ascii="Arial" w:hAnsi="Arial" w:cs="Arial"/>
          <w:sz w:val="24"/>
          <w:szCs w:val="24"/>
        </w:rPr>
        <w:t>Profilarea şi încadrarea în nivelul de ocupabilitate : uşor ocupabil, mediu ocupabil, greu ocupabil şi foarte greu ocupabil</w:t>
      </w:r>
    </w:p>
    <w:p w:rsidR="001506BA" w:rsidRPr="001506BA" w:rsidRDefault="0001265A" w:rsidP="009834AD">
      <w:pPr>
        <w:autoSpaceDE w:val="0"/>
        <w:autoSpaceDN w:val="0"/>
        <w:adjustRightInd w:val="0"/>
        <w:spacing w:after="0" w:line="240" w:lineRule="auto"/>
        <w:jc w:val="both"/>
        <w:rPr>
          <w:rFonts w:ascii="Arial" w:hAnsi="Arial" w:cs="Arial"/>
          <w:sz w:val="24"/>
          <w:szCs w:val="24"/>
        </w:rPr>
      </w:pPr>
      <w:r>
        <w:rPr>
          <w:rFonts w:ascii="Arial" w:hAnsi="Arial" w:cs="Arial"/>
          <w:sz w:val="24"/>
          <w:szCs w:val="24"/>
        </w:rPr>
        <w:t>-</w:t>
      </w:r>
      <w:r w:rsidR="001506BA" w:rsidRPr="001506BA">
        <w:rPr>
          <w:rFonts w:ascii="Arial" w:hAnsi="Arial" w:cs="Arial"/>
          <w:sz w:val="24"/>
          <w:szCs w:val="24"/>
        </w:rPr>
        <w:t>Dezvoltarea abilităţii şi încrederii în sine a persoanelor în căutarea unui loc de muncă, în vederea luării de către acestea a deciziei privind propria carieră</w:t>
      </w:r>
    </w:p>
    <w:p w:rsidR="001506BA" w:rsidRPr="001506BA" w:rsidRDefault="0001265A" w:rsidP="009834AD">
      <w:pPr>
        <w:autoSpaceDE w:val="0"/>
        <w:autoSpaceDN w:val="0"/>
        <w:adjustRightInd w:val="0"/>
        <w:spacing w:after="0" w:line="240" w:lineRule="auto"/>
        <w:jc w:val="both"/>
        <w:rPr>
          <w:rFonts w:ascii="Arial" w:hAnsi="Arial" w:cs="Arial"/>
          <w:sz w:val="24"/>
          <w:szCs w:val="24"/>
        </w:rPr>
      </w:pPr>
      <w:r>
        <w:rPr>
          <w:rFonts w:ascii="Arial" w:hAnsi="Arial" w:cs="Arial"/>
          <w:sz w:val="24"/>
          <w:szCs w:val="24"/>
        </w:rPr>
        <w:t>-</w:t>
      </w:r>
      <w:r w:rsidR="001506BA" w:rsidRPr="001506BA">
        <w:rPr>
          <w:rFonts w:ascii="Arial" w:hAnsi="Arial" w:cs="Arial"/>
          <w:sz w:val="24"/>
          <w:szCs w:val="24"/>
        </w:rPr>
        <w:t>Instruirea în metode şi tehnici de căutare a unui loc de muncă</w:t>
      </w:r>
    </w:p>
    <w:p w:rsidR="0001265A" w:rsidRPr="0001265A" w:rsidRDefault="0001265A" w:rsidP="009834AD">
      <w:pPr>
        <w:autoSpaceDE w:val="0"/>
        <w:autoSpaceDN w:val="0"/>
        <w:adjustRightInd w:val="0"/>
        <w:spacing w:after="0" w:line="240" w:lineRule="auto"/>
        <w:jc w:val="both"/>
        <w:rPr>
          <w:rFonts w:ascii="Arial" w:hAnsi="Arial" w:cs="Arial"/>
          <w:sz w:val="24"/>
          <w:szCs w:val="24"/>
        </w:rPr>
      </w:pPr>
      <w:r>
        <w:rPr>
          <w:rFonts w:ascii="Arial" w:hAnsi="Arial" w:cs="Arial"/>
          <w:sz w:val="24"/>
          <w:szCs w:val="24"/>
        </w:rPr>
        <w:t>-</w:t>
      </w:r>
      <w:r w:rsidR="001506BA" w:rsidRPr="001506BA">
        <w:rPr>
          <w:rFonts w:ascii="Arial" w:hAnsi="Arial" w:cs="Arial"/>
          <w:sz w:val="24"/>
          <w:szCs w:val="24"/>
        </w:rPr>
        <w:t>Îndrumarea pe parcursul procesului de integrare socioprofesională la noul loc de muncă.</w:t>
      </w:r>
    </w:p>
    <w:p w:rsidR="001506BA" w:rsidRPr="001506BA" w:rsidRDefault="001506BA" w:rsidP="009834AD">
      <w:pPr>
        <w:autoSpaceDE w:val="0"/>
        <w:autoSpaceDN w:val="0"/>
        <w:adjustRightInd w:val="0"/>
        <w:spacing w:after="0" w:line="240" w:lineRule="auto"/>
        <w:jc w:val="both"/>
        <w:rPr>
          <w:rFonts w:ascii="Arial" w:hAnsi="Arial" w:cs="Arial"/>
          <w:sz w:val="24"/>
          <w:szCs w:val="24"/>
        </w:rPr>
      </w:pPr>
      <w:r w:rsidRPr="001506BA">
        <w:rPr>
          <w:rFonts w:ascii="Arial" w:hAnsi="Arial" w:cs="Arial"/>
          <w:sz w:val="24"/>
          <w:szCs w:val="24"/>
        </w:rPr>
        <w:t xml:space="preserve">Prin desfăşurarea </w:t>
      </w:r>
      <w:r w:rsidR="0001265A">
        <w:rPr>
          <w:rFonts w:ascii="Arial" w:hAnsi="Arial" w:cs="Arial"/>
          <w:sz w:val="24"/>
          <w:szCs w:val="24"/>
        </w:rPr>
        <w:t xml:space="preserve">acestor </w:t>
      </w:r>
      <w:r w:rsidRPr="001506BA">
        <w:rPr>
          <w:rFonts w:ascii="Arial" w:hAnsi="Arial" w:cs="Arial"/>
          <w:sz w:val="24"/>
          <w:szCs w:val="24"/>
        </w:rPr>
        <w:t>activităţii se   urmăreşte obţinerea următoarelor rezultate:</w:t>
      </w:r>
    </w:p>
    <w:p w:rsidR="001506BA" w:rsidRPr="001506BA" w:rsidRDefault="001506BA" w:rsidP="009834AD">
      <w:pPr>
        <w:autoSpaceDE w:val="0"/>
        <w:autoSpaceDN w:val="0"/>
        <w:adjustRightInd w:val="0"/>
        <w:spacing w:after="0" w:line="240" w:lineRule="auto"/>
        <w:jc w:val="both"/>
        <w:rPr>
          <w:rFonts w:ascii="Arial" w:hAnsi="Arial" w:cs="Arial"/>
          <w:sz w:val="24"/>
          <w:szCs w:val="24"/>
        </w:rPr>
      </w:pPr>
      <w:r w:rsidRPr="0001265A">
        <w:rPr>
          <w:rFonts w:ascii="Arial" w:hAnsi="Arial" w:cs="Arial"/>
          <w:sz w:val="24"/>
          <w:szCs w:val="24"/>
        </w:rPr>
        <w:t>Creşterea stimei faţă de sine</w:t>
      </w:r>
      <w:r w:rsidR="0001265A">
        <w:rPr>
          <w:rFonts w:ascii="Arial" w:hAnsi="Arial" w:cs="Arial"/>
          <w:sz w:val="24"/>
          <w:szCs w:val="24"/>
        </w:rPr>
        <w:t xml:space="preserve">; </w:t>
      </w:r>
      <w:r w:rsidRPr="0001265A">
        <w:rPr>
          <w:rFonts w:ascii="Arial" w:hAnsi="Arial" w:cs="Arial"/>
          <w:sz w:val="24"/>
          <w:szCs w:val="24"/>
        </w:rPr>
        <w:t>Optimizarea comportamentului</w:t>
      </w:r>
      <w:r w:rsidRPr="001506BA">
        <w:rPr>
          <w:rFonts w:ascii="Arial" w:hAnsi="Arial" w:cs="Arial"/>
          <w:sz w:val="24"/>
          <w:szCs w:val="24"/>
        </w:rPr>
        <w:t xml:space="preserve"> şi </w:t>
      </w:r>
      <w:r w:rsidR="009834AD">
        <w:rPr>
          <w:rFonts w:ascii="Arial" w:hAnsi="Arial" w:cs="Arial"/>
          <w:sz w:val="24"/>
          <w:szCs w:val="24"/>
        </w:rPr>
        <w:t xml:space="preserve">acţiunilor indvidului în scopul </w:t>
      </w:r>
      <w:r w:rsidRPr="001506BA">
        <w:rPr>
          <w:rFonts w:ascii="Arial" w:hAnsi="Arial" w:cs="Arial"/>
          <w:sz w:val="24"/>
          <w:szCs w:val="24"/>
        </w:rPr>
        <w:t>(re)integrării socioprofesionale</w:t>
      </w:r>
      <w:r w:rsidR="00196B6A">
        <w:rPr>
          <w:rFonts w:ascii="Arial" w:hAnsi="Arial" w:cs="Arial"/>
          <w:sz w:val="24"/>
          <w:szCs w:val="24"/>
        </w:rPr>
        <w:t xml:space="preserve">; </w:t>
      </w:r>
      <w:r w:rsidRPr="0001265A">
        <w:rPr>
          <w:rFonts w:ascii="Arial" w:hAnsi="Arial" w:cs="Arial"/>
          <w:sz w:val="24"/>
          <w:szCs w:val="24"/>
        </w:rPr>
        <w:t>Conştientizarea</w:t>
      </w:r>
      <w:r w:rsidRPr="001506BA">
        <w:rPr>
          <w:rFonts w:ascii="Arial" w:hAnsi="Arial" w:cs="Arial"/>
          <w:sz w:val="24"/>
          <w:szCs w:val="24"/>
        </w:rPr>
        <w:t> necesităţii unei </w:t>
      </w:r>
      <w:r w:rsidRPr="0001265A">
        <w:rPr>
          <w:rFonts w:ascii="Arial" w:hAnsi="Arial" w:cs="Arial"/>
          <w:sz w:val="24"/>
          <w:szCs w:val="24"/>
        </w:rPr>
        <w:t>pregătiri profesionale continue</w:t>
      </w:r>
      <w:r w:rsidRPr="001506BA">
        <w:rPr>
          <w:rFonts w:ascii="Arial" w:hAnsi="Arial" w:cs="Arial"/>
          <w:sz w:val="24"/>
          <w:szCs w:val="24"/>
        </w:rPr>
        <w:t>, nu doar pentru păstrarea locului de muncă, ci mai ales în scopul unei ascensiuni profesionale</w:t>
      </w:r>
      <w:r w:rsidR="0001265A">
        <w:rPr>
          <w:rFonts w:ascii="Arial" w:hAnsi="Arial" w:cs="Arial"/>
          <w:sz w:val="24"/>
          <w:szCs w:val="24"/>
        </w:rPr>
        <w:t>;</w:t>
      </w:r>
      <w:r w:rsidR="00196B6A">
        <w:rPr>
          <w:rFonts w:ascii="Arial" w:hAnsi="Arial" w:cs="Arial"/>
          <w:sz w:val="24"/>
          <w:szCs w:val="24"/>
        </w:rPr>
        <w:t xml:space="preserve"> </w:t>
      </w:r>
      <w:r w:rsidRPr="001506BA">
        <w:rPr>
          <w:rFonts w:ascii="Arial" w:hAnsi="Arial" w:cs="Arial"/>
          <w:sz w:val="24"/>
          <w:szCs w:val="24"/>
        </w:rPr>
        <w:t>Determinarea clienţilor de a deveni </w:t>
      </w:r>
      <w:r w:rsidRPr="0001265A">
        <w:rPr>
          <w:rFonts w:ascii="Arial" w:hAnsi="Arial" w:cs="Arial"/>
          <w:sz w:val="24"/>
          <w:szCs w:val="24"/>
        </w:rPr>
        <w:t>activi pe piaţa forţei de muncă</w:t>
      </w:r>
      <w:r w:rsidRPr="001506BA">
        <w:rPr>
          <w:rFonts w:ascii="Arial" w:hAnsi="Arial" w:cs="Arial"/>
          <w:sz w:val="24"/>
          <w:szCs w:val="24"/>
        </w:rPr>
        <w:t> ( instruirea în tehnici de căutare a unui loc de muncă )</w:t>
      </w:r>
      <w:r w:rsidR="0001265A" w:rsidRPr="0001265A">
        <w:rPr>
          <w:rFonts w:ascii="Arial" w:hAnsi="Arial" w:cs="Arial"/>
          <w:sz w:val="24"/>
          <w:szCs w:val="24"/>
        </w:rPr>
        <w:t>„</w:t>
      </w:r>
    </w:p>
    <w:p w:rsidR="00907FFB" w:rsidRPr="00907FFB" w:rsidRDefault="00907FFB" w:rsidP="00907FFB">
      <w:pPr>
        <w:rPr>
          <w:lang w:eastAsia="ro-RO"/>
        </w:rPr>
      </w:pPr>
    </w:p>
    <w:p w:rsidR="00406DCE" w:rsidRPr="001937AF" w:rsidRDefault="00825106" w:rsidP="000C6A67">
      <w:pPr>
        <w:pStyle w:val="Heading2"/>
        <w:spacing w:before="0" w:line="240" w:lineRule="auto"/>
        <w:jc w:val="both"/>
        <w:rPr>
          <w:rFonts w:ascii="Arial" w:hAnsi="Arial" w:cs="Arial"/>
          <w:i/>
          <w:color w:val="auto"/>
          <w:sz w:val="24"/>
          <w:szCs w:val="24"/>
          <w:lang w:eastAsia="ro-RO"/>
        </w:rPr>
      </w:pPr>
      <w:bookmarkStart w:id="105" w:name="_Toc488066074"/>
      <w:r w:rsidRPr="001937AF">
        <w:rPr>
          <w:rFonts w:ascii="Arial" w:hAnsi="Arial" w:cs="Arial"/>
          <w:i/>
          <w:color w:val="auto"/>
          <w:sz w:val="24"/>
          <w:szCs w:val="24"/>
          <w:lang w:eastAsia="ro-RO"/>
        </w:rPr>
        <w:t>6.3</w:t>
      </w:r>
      <w:r w:rsidR="00406DCE" w:rsidRPr="001937AF">
        <w:rPr>
          <w:rFonts w:ascii="Arial" w:hAnsi="Arial" w:cs="Arial"/>
          <w:i/>
          <w:color w:val="auto"/>
          <w:sz w:val="24"/>
          <w:szCs w:val="24"/>
          <w:lang w:eastAsia="ro-RO"/>
        </w:rPr>
        <w:t>. Indicatori de ieşire</w:t>
      </w:r>
      <w:bookmarkEnd w:id="105"/>
    </w:p>
    <w:p w:rsidR="00DD5F85" w:rsidRPr="001937AF" w:rsidRDefault="00DD5F85" w:rsidP="000C6A67">
      <w:pPr>
        <w:spacing w:after="0" w:line="240" w:lineRule="auto"/>
        <w:jc w:val="both"/>
        <w:rPr>
          <w:rFonts w:ascii="Arial" w:hAnsi="Arial" w:cs="Arial"/>
          <w:sz w:val="24"/>
          <w:szCs w:val="24"/>
          <w:lang w:eastAsia="ro-RO"/>
        </w:rPr>
      </w:pPr>
    </w:p>
    <w:p w:rsidR="00406DCE" w:rsidRPr="00907FFB" w:rsidRDefault="00FE3CCA" w:rsidP="000C6A67">
      <w:pPr>
        <w:pStyle w:val="Heading3"/>
        <w:spacing w:before="0" w:line="240" w:lineRule="auto"/>
        <w:jc w:val="both"/>
        <w:rPr>
          <w:rFonts w:ascii="Arial" w:hAnsi="Arial" w:cs="Arial"/>
          <w:b w:val="0"/>
          <w:i/>
          <w:color w:val="auto"/>
          <w:sz w:val="24"/>
          <w:szCs w:val="24"/>
          <w:lang w:eastAsia="ro-RO"/>
        </w:rPr>
      </w:pPr>
      <w:bookmarkStart w:id="106" w:name="_Toc488066075"/>
      <w:r w:rsidRPr="00907FFB">
        <w:rPr>
          <w:rFonts w:ascii="Arial" w:hAnsi="Arial" w:cs="Arial"/>
          <w:b w:val="0"/>
          <w:i/>
          <w:color w:val="auto"/>
          <w:sz w:val="24"/>
          <w:szCs w:val="24"/>
          <w:lang w:eastAsia="ro-RO"/>
        </w:rPr>
        <w:t>6.3</w:t>
      </w:r>
      <w:r w:rsidR="00406DCE" w:rsidRPr="00907FFB">
        <w:rPr>
          <w:rFonts w:ascii="Arial" w:hAnsi="Arial" w:cs="Arial"/>
          <w:b w:val="0"/>
          <w:i/>
          <w:color w:val="auto"/>
          <w:sz w:val="24"/>
          <w:szCs w:val="24"/>
          <w:lang w:eastAsia="ro-RO"/>
        </w:rPr>
        <w:t>.1. Absolvenţi pe niveluri de educaţie</w:t>
      </w:r>
      <w:r w:rsidR="003F18E0" w:rsidRPr="00907FFB">
        <w:rPr>
          <w:rStyle w:val="FootnoteReference"/>
          <w:rFonts w:ascii="Arial" w:hAnsi="Arial" w:cs="Arial"/>
          <w:b w:val="0"/>
          <w:i/>
          <w:color w:val="auto"/>
          <w:sz w:val="24"/>
          <w:szCs w:val="24"/>
          <w:lang w:eastAsia="ro-RO"/>
        </w:rPr>
        <w:footnoteReference w:id="62"/>
      </w:r>
      <w:bookmarkEnd w:id="106"/>
    </w:p>
    <w:p w:rsidR="00DD5F85" w:rsidRDefault="009B6A9D" w:rsidP="000C6A67">
      <w:pPr>
        <w:spacing w:after="0" w:line="240" w:lineRule="auto"/>
        <w:jc w:val="center"/>
        <w:rPr>
          <w:rFonts w:ascii="Arial" w:hAnsi="Arial" w:cs="Arial"/>
          <w:sz w:val="24"/>
          <w:szCs w:val="24"/>
          <w:lang w:eastAsia="ro-RO"/>
        </w:rPr>
      </w:pPr>
      <w:r>
        <w:rPr>
          <w:rFonts w:ascii="Arial" w:hAnsi="Arial" w:cs="Arial"/>
          <w:sz w:val="24"/>
          <w:szCs w:val="24"/>
          <w:lang w:eastAsia="ro-RO"/>
        </w:rPr>
        <w:t xml:space="preserve">Figura  </w:t>
      </w:r>
      <w:r w:rsidR="00373E67">
        <w:rPr>
          <w:rFonts w:ascii="Arial" w:hAnsi="Arial" w:cs="Arial"/>
          <w:sz w:val="24"/>
          <w:szCs w:val="24"/>
          <w:lang w:eastAsia="ro-RO"/>
        </w:rPr>
        <w:t>41</w:t>
      </w:r>
    </w:p>
    <w:p w:rsidR="001937AF" w:rsidRDefault="009B6A9D" w:rsidP="000C6A67">
      <w:pPr>
        <w:spacing w:after="0" w:line="240" w:lineRule="auto"/>
        <w:jc w:val="both"/>
        <w:rPr>
          <w:rFonts w:ascii="Arial" w:hAnsi="Arial" w:cs="Arial"/>
          <w:sz w:val="24"/>
          <w:szCs w:val="24"/>
          <w:lang w:eastAsia="ro-RO"/>
        </w:rPr>
      </w:pPr>
      <w:r>
        <w:rPr>
          <w:noProof/>
          <w:lang w:val="en-US"/>
        </w:rPr>
        <w:drawing>
          <wp:inline distT="0" distB="0" distL="0" distR="0">
            <wp:extent cx="5554980" cy="2087880"/>
            <wp:effectExtent l="19050" t="0" r="26670" b="762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4E35A1" w:rsidRDefault="004E35A1" w:rsidP="000C6A67">
      <w:pPr>
        <w:spacing w:after="0" w:line="240" w:lineRule="auto"/>
        <w:jc w:val="both"/>
        <w:rPr>
          <w:rFonts w:ascii="Arial" w:hAnsi="Arial" w:cs="Arial"/>
          <w:sz w:val="24"/>
          <w:szCs w:val="24"/>
          <w:lang w:eastAsia="ro-RO"/>
        </w:rPr>
      </w:pPr>
    </w:p>
    <w:p w:rsidR="009B6A9D" w:rsidRDefault="009B6A9D" w:rsidP="000C6A67">
      <w:pPr>
        <w:spacing w:after="0" w:line="240" w:lineRule="auto"/>
        <w:jc w:val="both"/>
        <w:rPr>
          <w:rFonts w:ascii="Arial" w:hAnsi="Arial" w:cs="Arial"/>
          <w:sz w:val="24"/>
          <w:szCs w:val="24"/>
          <w:lang w:eastAsia="ro-RO"/>
        </w:rPr>
      </w:pPr>
      <w:r>
        <w:rPr>
          <w:rFonts w:ascii="Arial" w:hAnsi="Arial" w:cs="Arial"/>
          <w:sz w:val="24"/>
          <w:szCs w:val="24"/>
          <w:lang w:eastAsia="ro-RO"/>
        </w:rPr>
        <w:t xml:space="preserve">Cu privire la distribuția absolvenților pe cele trei filiere de liceu, se poate observa o menținere a numărului pentru Filiera vocațională, o creștere constantă pentru Filiera </w:t>
      </w:r>
      <w:r w:rsidR="00E6256F">
        <w:rPr>
          <w:rFonts w:ascii="Arial" w:hAnsi="Arial" w:cs="Arial"/>
          <w:sz w:val="24"/>
          <w:szCs w:val="24"/>
          <w:lang w:eastAsia="ro-RO"/>
        </w:rPr>
        <w:t>l</w:t>
      </w:r>
      <w:r>
        <w:rPr>
          <w:rFonts w:ascii="Arial" w:hAnsi="Arial" w:cs="Arial"/>
          <w:sz w:val="24"/>
          <w:szCs w:val="24"/>
          <w:lang w:eastAsia="ro-RO"/>
        </w:rPr>
        <w:t>icee și colegii teoretice,</w:t>
      </w:r>
      <w:r w:rsidR="00D500B2">
        <w:rPr>
          <w:rFonts w:ascii="Arial" w:hAnsi="Arial" w:cs="Arial"/>
          <w:sz w:val="24"/>
          <w:szCs w:val="24"/>
          <w:lang w:eastAsia="ro-RO"/>
        </w:rPr>
        <w:t xml:space="preserve"> </w:t>
      </w:r>
      <w:r>
        <w:rPr>
          <w:rFonts w:ascii="Arial" w:hAnsi="Arial" w:cs="Arial"/>
          <w:sz w:val="24"/>
          <w:szCs w:val="24"/>
          <w:lang w:eastAsia="ro-RO"/>
        </w:rPr>
        <w:t>și o scădere constant</w:t>
      </w:r>
      <w:r w:rsidR="00D500B2">
        <w:rPr>
          <w:rFonts w:ascii="Arial" w:hAnsi="Arial" w:cs="Arial"/>
          <w:sz w:val="24"/>
          <w:szCs w:val="24"/>
          <w:lang w:eastAsia="ro-RO"/>
        </w:rPr>
        <w:t>ă și îngrijorătoare pentru Fili</w:t>
      </w:r>
      <w:r>
        <w:rPr>
          <w:rFonts w:ascii="Arial" w:hAnsi="Arial" w:cs="Arial"/>
          <w:sz w:val="24"/>
          <w:szCs w:val="24"/>
          <w:lang w:eastAsia="ro-RO"/>
        </w:rPr>
        <w:t>era tehnologic</w:t>
      </w:r>
      <w:r w:rsidR="00D500B2">
        <w:rPr>
          <w:rFonts w:ascii="Arial" w:hAnsi="Arial" w:cs="Arial"/>
          <w:sz w:val="24"/>
          <w:szCs w:val="24"/>
          <w:lang w:eastAsia="ro-RO"/>
        </w:rPr>
        <w:t>ă</w:t>
      </w:r>
      <w:r>
        <w:rPr>
          <w:rFonts w:ascii="Arial" w:hAnsi="Arial" w:cs="Arial"/>
          <w:sz w:val="24"/>
          <w:szCs w:val="24"/>
          <w:lang w:eastAsia="ro-RO"/>
        </w:rPr>
        <w:t xml:space="preserve">. </w:t>
      </w:r>
    </w:p>
    <w:p w:rsidR="009B6A9D" w:rsidRPr="001937AF" w:rsidRDefault="009B6A9D" w:rsidP="000C6A67">
      <w:pPr>
        <w:spacing w:after="0" w:line="240" w:lineRule="auto"/>
        <w:jc w:val="both"/>
        <w:rPr>
          <w:rFonts w:ascii="Arial" w:hAnsi="Arial" w:cs="Arial"/>
          <w:sz w:val="24"/>
          <w:szCs w:val="24"/>
          <w:lang w:eastAsia="ro-RO"/>
        </w:rPr>
      </w:pPr>
    </w:p>
    <w:p w:rsidR="00406DCE" w:rsidRPr="004E35A1" w:rsidRDefault="00FE3CCA" w:rsidP="000C6A67">
      <w:pPr>
        <w:pStyle w:val="Heading3"/>
        <w:spacing w:before="0" w:line="240" w:lineRule="auto"/>
        <w:jc w:val="both"/>
        <w:rPr>
          <w:rFonts w:ascii="Arial" w:hAnsi="Arial" w:cs="Arial"/>
          <w:b w:val="0"/>
          <w:i/>
          <w:color w:val="auto"/>
          <w:sz w:val="24"/>
          <w:szCs w:val="24"/>
          <w:lang w:eastAsia="ro-RO"/>
        </w:rPr>
      </w:pPr>
      <w:bookmarkStart w:id="107" w:name="_Toc488066076"/>
      <w:r w:rsidRPr="004E35A1">
        <w:rPr>
          <w:rFonts w:ascii="Arial" w:hAnsi="Arial" w:cs="Arial"/>
          <w:b w:val="0"/>
          <w:i/>
          <w:color w:val="auto"/>
          <w:sz w:val="24"/>
          <w:szCs w:val="24"/>
          <w:lang w:eastAsia="ro-RO"/>
        </w:rPr>
        <w:t>6.3</w:t>
      </w:r>
      <w:r w:rsidR="00406DCE" w:rsidRPr="004E35A1">
        <w:rPr>
          <w:rFonts w:ascii="Arial" w:hAnsi="Arial" w:cs="Arial"/>
          <w:b w:val="0"/>
          <w:i/>
          <w:color w:val="auto"/>
          <w:sz w:val="24"/>
          <w:szCs w:val="24"/>
          <w:lang w:eastAsia="ro-RO"/>
        </w:rPr>
        <w:t>.2. Rata de absolvire, pe niveluri de educaţie ISCED</w:t>
      </w:r>
      <w:r w:rsidR="00F94754" w:rsidRPr="004E35A1">
        <w:rPr>
          <w:rStyle w:val="FootnoteReference"/>
          <w:rFonts w:ascii="Arial" w:hAnsi="Arial" w:cs="Arial"/>
          <w:b w:val="0"/>
          <w:i/>
          <w:color w:val="auto"/>
          <w:sz w:val="24"/>
          <w:szCs w:val="24"/>
          <w:lang w:eastAsia="ro-RO"/>
        </w:rPr>
        <w:footnoteReference w:id="63"/>
      </w:r>
      <w:bookmarkEnd w:id="107"/>
    </w:p>
    <w:p w:rsidR="00381CFF" w:rsidRPr="004E35A1" w:rsidRDefault="00381CFF" w:rsidP="000C6A67">
      <w:pPr>
        <w:spacing w:after="0" w:line="240" w:lineRule="auto"/>
        <w:jc w:val="both"/>
        <w:rPr>
          <w:rFonts w:ascii="Arial" w:eastAsia="Times New Roman" w:hAnsi="Arial" w:cs="Arial"/>
          <w:bCs/>
          <w:i/>
          <w:sz w:val="24"/>
          <w:szCs w:val="24"/>
          <w:lang w:val="en-US"/>
        </w:rPr>
      </w:pPr>
      <w:r w:rsidRPr="004E35A1">
        <w:rPr>
          <w:rFonts w:ascii="Arial" w:eastAsia="Times New Roman" w:hAnsi="Arial" w:cs="Arial"/>
          <w:bCs/>
          <w:i/>
          <w:sz w:val="24"/>
          <w:szCs w:val="24"/>
          <w:lang w:val="en-US"/>
        </w:rPr>
        <w:t>6.3.2.1.Rata de absolvire în învăţământul gimnazial</w:t>
      </w:r>
    </w:p>
    <w:p w:rsidR="00381CFF" w:rsidRPr="005409E6" w:rsidRDefault="00381CFF" w:rsidP="000C6A67">
      <w:pPr>
        <w:spacing w:after="0" w:line="240" w:lineRule="auto"/>
        <w:jc w:val="both"/>
        <w:rPr>
          <w:rFonts w:ascii="Arial" w:eastAsia="Times New Roman" w:hAnsi="Arial" w:cs="Arial"/>
          <w:bCs/>
          <w:sz w:val="24"/>
          <w:szCs w:val="24"/>
          <w:lang w:val="en-US"/>
        </w:rPr>
      </w:pPr>
      <w:r w:rsidRPr="005409E6">
        <w:rPr>
          <w:rFonts w:ascii="Arial" w:eastAsia="Times New Roman" w:hAnsi="Arial" w:cs="Arial"/>
          <w:bCs/>
          <w:sz w:val="24"/>
          <w:szCs w:val="24"/>
          <w:lang w:val="en-US"/>
        </w:rPr>
        <w:t xml:space="preserve">In anul școlar 2003-2004 a fost coborâtă vârsta de debut școlar la 6 ani în clasa I. Practic în acest an școlar au intrat în clasa I și copiii în vârstă de 7 ani dar și cei de 6 </w:t>
      </w:r>
      <w:r w:rsidRPr="005409E6">
        <w:rPr>
          <w:rFonts w:ascii="Arial" w:eastAsia="Times New Roman" w:hAnsi="Arial" w:cs="Arial"/>
          <w:bCs/>
          <w:sz w:val="24"/>
          <w:szCs w:val="24"/>
          <w:lang w:val="en-US"/>
        </w:rPr>
        <w:lastRenderedPageBreak/>
        <w:t>ani. Astfel, în anul școlar 2010-2011, au finalizat clasa a VIII-a doua cohorte de elevi, cei care au avut debutul școlar la 6 ani și 7 ani simultan.</w:t>
      </w:r>
    </w:p>
    <w:p w:rsidR="00381CFF" w:rsidRPr="005409E6" w:rsidRDefault="00381CFF" w:rsidP="000C6A67">
      <w:pPr>
        <w:spacing w:after="0" w:line="240" w:lineRule="auto"/>
        <w:jc w:val="both"/>
        <w:rPr>
          <w:rFonts w:ascii="Arial" w:eastAsia="Times New Roman" w:hAnsi="Arial" w:cs="Arial"/>
          <w:bCs/>
          <w:sz w:val="24"/>
          <w:szCs w:val="24"/>
          <w:lang w:val="en-US"/>
        </w:rPr>
      </w:pPr>
      <w:r w:rsidRPr="005409E6">
        <w:rPr>
          <w:rFonts w:ascii="Arial" w:eastAsia="Times New Roman" w:hAnsi="Arial" w:cs="Arial"/>
          <w:bCs/>
          <w:sz w:val="24"/>
          <w:szCs w:val="24"/>
          <w:lang w:val="en-US"/>
        </w:rPr>
        <w:t>La nivel național, rata de absolvire în învățământul gimnazial a înregistrat în anul școlar 2014-2015 (85,3%) o scădere nesemnificativă de 0,2% față de anul școlar 2006-2007 (85,5%). Pe parcursul perioadei analizate acest indicator a înregistrat valore maximă 103,3% (2010-2011) și valore minimă 82,2% (2012-2013).</w:t>
      </w:r>
    </w:p>
    <w:p w:rsidR="00381CFF" w:rsidRPr="005409E6" w:rsidRDefault="00381CFF" w:rsidP="000C6A67">
      <w:pPr>
        <w:spacing w:after="0" w:line="240" w:lineRule="auto"/>
        <w:jc w:val="both"/>
        <w:rPr>
          <w:rFonts w:ascii="Arial" w:eastAsia="Times New Roman" w:hAnsi="Arial" w:cs="Arial"/>
          <w:bCs/>
          <w:sz w:val="24"/>
          <w:szCs w:val="24"/>
          <w:lang w:val="en-US"/>
        </w:rPr>
      </w:pPr>
      <w:r w:rsidRPr="005409E6">
        <w:rPr>
          <w:rFonts w:ascii="Arial" w:eastAsia="Times New Roman" w:hAnsi="Arial" w:cs="Arial"/>
          <w:bCs/>
          <w:sz w:val="24"/>
          <w:szCs w:val="24"/>
          <w:lang w:val="en-US"/>
        </w:rPr>
        <w:t>De remarcat că în anul 2010-2011 s-au înregistrat ponderi mai ridicate decât cele de la nivel național (103,3%) în regiunile București –Ilfov (112,9%), Sud-Vest Oltenia (106,3%), Nord-Est (104,3%) și Sud-Muntenia (103,4%) iar în regiunile Centru (96,9%), Nord-Vest (102,6), Vest (102%) și Sud-Est (100,4%) ponderile inregistrate au fost mai scăzute decât cele naționale.</w:t>
      </w:r>
    </w:p>
    <w:p w:rsidR="00381CFF" w:rsidRPr="005409E6" w:rsidRDefault="00381CFF" w:rsidP="000C6A67">
      <w:pPr>
        <w:spacing w:after="0" w:line="240" w:lineRule="auto"/>
        <w:jc w:val="both"/>
        <w:rPr>
          <w:rFonts w:ascii="Arial" w:eastAsia="Times New Roman" w:hAnsi="Arial" w:cs="Arial"/>
          <w:bCs/>
          <w:sz w:val="24"/>
          <w:szCs w:val="24"/>
          <w:lang w:val="en-US"/>
        </w:rPr>
      </w:pPr>
      <w:r w:rsidRPr="005409E6">
        <w:rPr>
          <w:rFonts w:ascii="Arial" w:eastAsia="Times New Roman" w:hAnsi="Arial" w:cs="Arial"/>
          <w:bCs/>
          <w:sz w:val="24"/>
          <w:szCs w:val="24"/>
          <w:lang w:val="en-US"/>
        </w:rPr>
        <w:t>Rata de absolvire în învățământul gimnazial, la nivel regional,  a înregistrat în anul școlar 2014-2015 (85,3%) o ușoară creștere cu 1,1% față de anul școlar 2006-2007(84,2%). Valoarea de 85,3%, înregiatrată la sfârșitul perioadei analizate, este cu 16,7% mai scăzută față valoarea maximă înregistrată în anul școlar 2010-2011(102%).</w:t>
      </w:r>
    </w:p>
    <w:p w:rsidR="00381CFF" w:rsidRDefault="00381CFF" w:rsidP="000C6A67">
      <w:pPr>
        <w:spacing w:after="0" w:line="240" w:lineRule="auto"/>
        <w:jc w:val="both"/>
        <w:rPr>
          <w:rFonts w:ascii="Arial" w:hAnsi="Arial" w:cs="Arial"/>
          <w:sz w:val="24"/>
          <w:szCs w:val="24"/>
        </w:rPr>
      </w:pPr>
      <w:r w:rsidRPr="005409E6">
        <w:rPr>
          <w:rFonts w:ascii="Arial" w:hAnsi="Arial" w:cs="Arial"/>
          <w:sz w:val="24"/>
          <w:szCs w:val="24"/>
        </w:rPr>
        <w:t xml:space="preserve">Pentru întreaga perioadă analizată, rata de absolvire a învățământului gimnazial a înregistrat valori mai mici în mediul rural, comparativ cu mediul urban. În anul şcolar 2014-2015 diferența pe medii de rezidență a fost de 34,2% în favoarea mediului urban (101,4% în mediul urban față de 67,2% în mediul rural), situație care reflectă obstacole majore pentru 32,8% din populația școlară din mediul rural, fără absolvirea învățământului gimnazial, deci cu șanse reduse de obținerea unie calificări și finalizarea studiilor obligatorii. </w:t>
      </w:r>
    </w:p>
    <w:p w:rsidR="00381CFF" w:rsidRPr="008E5539" w:rsidRDefault="00381CFF" w:rsidP="000C6A67">
      <w:pPr>
        <w:spacing w:after="0" w:line="240" w:lineRule="auto"/>
        <w:jc w:val="both"/>
        <w:rPr>
          <w:rFonts w:ascii="Arial" w:eastAsia="Times New Roman" w:hAnsi="Arial" w:cs="Arial"/>
          <w:bCs/>
          <w:i/>
          <w:sz w:val="24"/>
          <w:szCs w:val="24"/>
          <w:lang w:val="en-US"/>
        </w:rPr>
      </w:pPr>
      <w:r w:rsidRPr="008E5539">
        <w:rPr>
          <w:rFonts w:ascii="Arial" w:eastAsia="Times New Roman" w:hAnsi="Arial" w:cs="Arial"/>
          <w:bCs/>
          <w:i/>
          <w:sz w:val="24"/>
          <w:szCs w:val="24"/>
          <w:lang w:val="en-US"/>
        </w:rPr>
        <w:t>6.3.2.2. Rata de absolvire în învăţământul liceal</w:t>
      </w:r>
    </w:p>
    <w:p w:rsidR="00381CFF" w:rsidRPr="005409E6" w:rsidRDefault="00381CFF" w:rsidP="000C6A67">
      <w:pPr>
        <w:spacing w:after="0" w:line="240" w:lineRule="auto"/>
        <w:jc w:val="both"/>
        <w:rPr>
          <w:rFonts w:ascii="Arial" w:eastAsia="Times New Roman" w:hAnsi="Arial" w:cs="Arial"/>
          <w:bCs/>
          <w:sz w:val="24"/>
          <w:szCs w:val="24"/>
          <w:lang w:val="en-US"/>
        </w:rPr>
      </w:pPr>
      <w:r w:rsidRPr="005409E6">
        <w:rPr>
          <w:rFonts w:ascii="Arial" w:eastAsia="Times New Roman" w:hAnsi="Arial" w:cs="Arial"/>
          <w:bCs/>
          <w:sz w:val="24"/>
          <w:szCs w:val="24"/>
          <w:lang w:val="en-US"/>
        </w:rPr>
        <w:t>La nivel național rata de absolvire în învățământul liceal a înregistrat o creștere de la 53,5% în anul școlar 2006-2007 la 89,1% în anul școlar 2014-2015.</w:t>
      </w:r>
    </w:p>
    <w:p w:rsidR="00381CFF" w:rsidRPr="005409E6" w:rsidRDefault="00381CFF" w:rsidP="000C6A67">
      <w:pPr>
        <w:spacing w:after="0" w:line="240" w:lineRule="auto"/>
        <w:jc w:val="both"/>
        <w:rPr>
          <w:rFonts w:ascii="Arial" w:eastAsia="Times New Roman" w:hAnsi="Arial" w:cs="Arial"/>
          <w:bCs/>
          <w:sz w:val="24"/>
          <w:szCs w:val="24"/>
          <w:lang w:val="en-US"/>
        </w:rPr>
      </w:pPr>
      <w:r w:rsidRPr="005409E6">
        <w:rPr>
          <w:rFonts w:ascii="Arial" w:hAnsi="Arial" w:cs="Arial"/>
          <w:sz w:val="24"/>
          <w:szCs w:val="24"/>
        </w:rPr>
        <w:t>In general, ponderile înregistrate la nivelul Regiunii Vest sunt mai ridicate decât cele de la nivel național.</w:t>
      </w:r>
      <w:r w:rsidRPr="005409E6">
        <w:rPr>
          <w:rFonts w:ascii="Arial" w:eastAsia="Times New Roman" w:hAnsi="Arial" w:cs="Arial"/>
          <w:bCs/>
          <w:sz w:val="24"/>
          <w:szCs w:val="24"/>
          <w:lang w:val="en-US"/>
        </w:rPr>
        <w:t xml:space="preserve"> </w:t>
      </w:r>
    </w:p>
    <w:p w:rsidR="00381CFF" w:rsidRPr="005409E6" w:rsidRDefault="00381CFF" w:rsidP="000C6A67">
      <w:pPr>
        <w:spacing w:after="0" w:line="240" w:lineRule="auto"/>
        <w:jc w:val="both"/>
        <w:rPr>
          <w:rFonts w:ascii="Arial" w:eastAsia="Times New Roman" w:hAnsi="Arial" w:cs="Arial"/>
          <w:bCs/>
          <w:sz w:val="24"/>
          <w:szCs w:val="24"/>
          <w:lang w:val="en-US"/>
        </w:rPr>
      </w:pPr>
      <w:r w:rsidRPr="005409E6">
        <w:rPr>
          <w:rFonts w:ascii="Arial" w:eastAsia="Times New Roman" w:hAnsi="Arial" w:cs="Arial"/>
          <w:bCs/>
          <w:sz w:val="24"/>
          <w:szCs w:val="24"/>
          <w:lang w:val="en-US"/>
        </w:rPr>
        <w:t>Evoluția ratei de absolvire în învăţământul liceal, la nivel regional, înregistrează un trend ascendent cu 3 momente de discontinuitate: anul 2008-2009 când înregistrează valoarea de 63,9% față de 66,3% în anul școlar anterior; anul școlar 2011-2012 când înregistrează valoarea de 81,6% față de 85,1% în anul școlar precedent; anul școlar 2013-2014 când atinge valoarea de 84,5% față de 91,1% în 2012-2013.</w:t>
      </w:r>
    </w:p>
    <w:p w:rsidR="00381CFF" w:rsidRPr="005409E6" w:rsidRDefault="00381CFF" w:rsidP="000C6A67">
      <w:pPr>
        <w:spacing w:after="0" w:line="240" w:lineRule="auto"/>
        <w:jc w:val="both"/>
        <w:rPr>
          <w:rFonts w:ascii="Arial" w:hAnsi="Arial" w:cs="Arial"/>
          <w:sz w:val="24"/>
          <w:szCs w:val="24"/>
        </w:rPr>
      </w:pPr>
      <w:r w:rsidRPr="005409E6">
        <w:rPr>
          <w:rFonts w:ascii="Arial" w:hAnsi="Arial" w:cs="Arial"/>
          <w:sz w:val="24"/>
          <w:szCs w:val="24"/>
        </w:rPr>
        <w:t xml:space="preserve">În ceea ce priveşte situația pe genuri, ratele de absolvire în învățământul liceal sunt  mai mari în cazul fetelor, comparativ cu băieții. </w:t>
      </w:r>
    </w:p>
    <w:p w:rsidR="00381CFF" w:rsidRPr="00D2776A" w:rsidRDefault="00381CFF" w:rsidP="000C6A67">
      <w:pPr>
        <w:spacing w:after="0" w:line="240" w:lineRule="auto"/>
        <w:jc w:val="both"/>
        <w:rPr>
          <w:rFonts w:ascii="Arial" w:hAnsi="Arial" w:cs="Arial"/>
          <w:sz w:val="24"/>
          <w:szCs w:val="24"/>
        </w:rPr>
      </w:pPr>
      <w:r w:rsidRPr="005409E6">
        <w:rPr>
          <w:rFonts w:ascii="Arial" w:hAnsi="Arial" w:cs="Arial"/>
          <w:sz w:val="24"/>
          <w:szCs w:val="24"/>
        </w:rPr>
        <w:t xml:space="preserve">Pe perioada supusă analizei, între raportul urban-rural se înregistrează un dezechilibru foarte mare în favoarea mediului urban. </w:t>
      </w:r>
    </w:p>
    <w:p w:rsidR="00381CFF" w:rsidRPr="008E5539" w:rsidRDefault="00381CFF" w:rsidP="000C6A67">
      <w:pPr>
        <w:spacing w:after="0" w:line="240" w:lineRule="auto"/>
        <w:jc w:val="both"/>
        <w:rPr>
          <w:rFonts w:ascii="Arial" w:eastAsia="Times New Roman" w:hAnsi="Arial" w:cs="Arial"/>
          <w:bCs/>
          <w:i/>
          <w:sz w:val="24"/>
          <w:szCs w:val="24"/>
          <w:lang w:val="en-US"/>
        </w:rPr>
      </w:pPr>
      <w:r w:rsidRPr="008E5539">
        <w:rPr>
          <w:rFonts w:ascii="Arial" w:eastAsia="Times New Roman" w:hAnsi="Arial" w:cs="Arial"/>
          <w:bCs/>
          <w:i/>
          <w:sz w:val="24"/>
          <w:szCs w:val="24"/>
          <w:lang w:val="en-US"/>
        </w:rPr>
        <w:t xml:space="preserve">6.3.2.3. Rata de absolvire în învăţământul profesional </w:t>
      </w:r>
    </w:p>
    <w:p w:rsidR="00381CFF" w:rsidRPr="00475152" w:rsidRDefault="00381CFF" w:rsidP="000C6A67">
      <w:pPr>
        <w:spacing w:after="0" w:line="240" w:lineRule="auto"/>
        <w:jc w:val="both"/>
        <w:rPr>
          <w:rFonts w:ascii="Arial" w:eastAsia="Times New Roman" w:hAnsi="Arial" w:cs="Arial"/>
          <w:bCs/>
          <w:sz w:val="24"/>
          <w:szCs w:val="24"/>
        </w:rPr>
      </w:pPr>
      <w:r w:rsidRPr="00475152">
        <w:rPr>
          <w:rFonts w:ascii="Arial" w:eastAsia="Times New Roman" w:hAnsi="Arial" w:cs="Arial"/>
          <w:bCs/>
          <w:sz w:val="24"/>
          <w:szCs w:val="24"/>
        </w:rPr>
        <w:t xml:space="preserve">Pe parcursul intervalului analizat, evoluţia </w:t>
      </w:r>
      <w:r w:rsidRPr="00475152">
        <w:rPr>
          <w:rFonts w:ascii="Arial" w:eastAsia="Times New Roman" w:hAnsi="Arial" w:cs="Arial"/>
          <w:bCs/>
          <w:sz w:val="24"/>
          <w:szCs w:val="24"/>
          <w:lang w:val="en-US"/>
        </w:rPr>
        <w:t>ratei de absolvire în învăţământul</w:t>
      </w:r>
      <w:r w:rsidRPr="00475152">
        <w:rPr>
          <w:rFonts w:ascii="Arial" w:eastAsia="Times New Roman" w:hAnsi="Arial" w:cs="Arial"/>
          <w:b/>
          <w:bCs/>
          <w:sz w:val="24"/>
          <w:szCs w:val="24"/>
          <w:lang w:val="en-US"/>
        </w:rPr>
        <w:t xml:space="preserve"> </w:t>
      </w:r>
      <w:r w:rsidRPr="00475152">
        <w:rPr>
          <w:rFonts w:ascii="Arial" w:eastAsia="Times New Roman" w:hAnsi="Arial" w:cs="Arial"/>
          <w:bCs/>
          <w:sz w:val="24"/>
          <w:szCs w:val="24"/>
          <w:lang w:val="en-US"/>
        </w:rPr>
        <w:t>profesional</w:t>
      </w:r>
      <w:r w:rsidRPr="00475152">
        <w:rPr>
          <w:rFonts w:ascii="Arial" w:eastAsia="Times New Roman" w:hAnsi="Arial" w:cs="Arial"/>
          <w:bCs/>
          <w:sz w:val="24"/>
          <w:szCs w:val="24"/>
        </w:rPr>
        <w:t xml:space="preserve"> înregistrează un trend continuu descendent. Cea mai dramatică scădere cu 19,9% se înregistrează în anul  2010-2011 (de la 34,8% în 2009-2010 la 14,9% în 2010-2011). Scăderea continuă până în anul școlar 2012-2013 când se înregistrează cea mai scăzută valoare a acestui indicator 0,6% din întreaga perioadă analizată. </w:t>
      </w:r>
    </w:p>
    <w:p w:rsidR="00381CFF" w:rsidRPr="00475152" w:rsidRDefault="00381CFF" w:rsidP="000C6A67">
      <w:pPr>
        <w:spacing w:after="0" w:line="240" w:lineRule="auto"/>
        <w:jc w:val="both"/>
        <w:rPr>
          <w:rFonts w:ascii="Arial" w:hAnsi="Arial" w:cs="Arial"/>
          <w:sz w:val="24"/>
          <w:szCs w:val="24"/>
        </w:rPr>
      </w:pPr>
      <w:r w:rsidRPr="00475152">
        <w:rPr>
          <w:rFonts w:ascii="Arial" w:hAnsi="Arial" w:cs="Arial"/>
          <w:sz w:val="24"/>
          <w:szCs w:val="24"/>
        </w:rPr>
        <w:t>Populația școlară masculină are, de-a lungul intervalului analizat, o cuprindere școlară mai mare decât cea feminină.</w:t>
      </w:r>
    </w:p>
    <w:p w:rsidR="00196B6A" w:rsidRPr="00D2776A" w:rsidRDefault="00381CFF" w:rsidP="000C6A67">
      <w:pPr>
        <w:spacing w:after="0" w:line="240" w:lineRule="auto"/>
        <w:jc w:val="both"/>
        <w:rPr>
          <w:rFonts w:ascii="Arial" w:hAnsi="Arial" w:cs="Arial"/>
          <w:sz w:val="24"/>
          <w:szCs w:val="24"/>
        </w:rPr>
      </w:pPr>
      <w:r>
        <w:rPr>
          <w:rFonts w:ascii="Arial" w:hAnsi="Arial" w:cs="Arial"/>
          <w:sz w:val="24"/>
          <w:szCs w:val="24"/>
        </w:rPr>
        <w:t xml:space="preserve"> </w:t>
      </w:r>
      <w:r w:rsidRPr="00475152">
        <w:rPr>
          <w:rFonts w:ascii="Arial" w:hAnsi="Arial" w:cs="Arial"/>
          <w:sz w:val="24"/>
          <w:szCs w:val="24"/>
        </w:rPr>
        <w:t xml:space="preserve">Din datele analizate, la nivel regional, de-a lungul întregului interval de timp,  ponderea a fost mai mare în rândul elevilor din mediul urban. În doi ani școlari consecutivi 2011-2012 și 2012-2013 rata  de absolvire nu înregistrează valori în mediul rural. </w:t>
      </w:r>
    </w:p>
    <w:p w:rsidR="00196B6A" w:rsidRDefault="00196B6A" w:rsidP="000C6A67">
      <w:pPr>
        <w:spacing w:after="0" w:line="240" w:lineRule="auto"/>
        <w:jc w:val="both"/>
        <w:rPr>
          <w:rFonts w:ascii="Arial" w:eastAsia="Times New Roman" w:hAnsi="Arial" w:cs="Arial"/>
          <w:bCs/>
          <w:i/>
          <w:sz w:val="24"/>
          <w:szCs w:val="24"/>
          <w:lang w:val="en-US"/>
        </w:rPr>
      </w:pPr>
    </w:p>
    <w:p w:rsidR="00381CFF" w:rsidRPr="008E5539" w:rsidRDefault="00381CFF" w:rsidP="000C6A67">
      <w:pPr>
        <w:spacing w:after="0" w:line="240" w:lineRule="auto"/>
        <w:jc w:val="both"/>
        <w:rPr>
          <w:rFonts w:ascii="Arial" w:eastAsia="Times New Roman" w:hAnsi="Arial" w:cs="Arial"/>
          <w:bCs/>
          <w:i/>
          <w:sz w:val="24"/>
          <w:szCs w:val="24"/>
          <w:lang w:val="en-US"/>
        </w:rPr>
      </w:pPr>
      <w:r w:rsidRPr="008E5539">
        <w:rPr>
          <w:rFonts w:ascii="Arial" w:eastAsia="Times New Roman" w:hAnsi="Arial" w:cs="Arial"/>
          <w:bCs/>
          <w:i/>
          <w:sz w:val="24"/>
          <w:szCs w:val="24"/>
          <w:lang w:val="en-US"/>
        </w:rPr>
        <w:t xml:space="preserve">6.3.2.4. Rata de absolvire în învăţământul postliceal </w:t>
      </w:r>
    </w:p>
    <w:p w:rsidR="00381CFF" w:rsidRPr="00475152" w:rsidRDefault="00381CFF" w:rsidP="000C6A67">
      <w:pPr>
        <w:spacing w:after="0" w:line="240" w:lineRule="auto"/>
        <w:jc w:val="both"/>
        <w:rPr>
          <w:rFonts w:ascii="Arial" w:eastAsia="Times New Roman" w:hAnsi="Arial" w:cs="Arial"/>
          <w:bCs/>
          <w:sz w:val="24"/>
          <w:szCs w:val="24"/>
          <w:lang w:val="en-US"/>
        </w:rPr>
      </w:pPr>
      <w:r w:rsidRPr="00475152">
        <w:rPr>
          <w:rFonts w:ascii="Arial" w:eastAsia="Times New Roman" w:hAnsi="Arial" w:cs="Arial"/>
          <w:bCs/>
          <w:sz w:val="24"/>
          <w:szCs w:val="24"/>
          <w:lang w:val="en-US"/>
        </w:rPr>
        <w:t>În perioada analizată rata de absolvire în învățământul postliceal are un trend ascendant atingând în anul școlar 2014-2015 valoarea de 18% cu 14,7% mai mult față de anul școlar 2006-2007 (3,3%).</w:t>
      </w:r>
    </w:p>
    <w:p w:rsidR="00381CFF" w:rsidRPr="00475152" w:rsidRDefault="00381CFF" w:rsidP="000C6A67">
      <w:pPr>
        <w:spacing w:after="0" w:line="240" w:lineRule="auto"/>
        <w:jc w:val="both"/>
        <w:rPr>
          <w:rFonts w:ascii="Arial" w:hAnsi="Arial" w:cs="Arial"/>
          <w:sz w:val="24"/>
          <w:szCs w:val="24"/>
        </w:rPr>
      </w:pPr>
      <w:r w:rsidRPr="00475152">
        <w:rPr>
          <w:rFonts w:ascii="Arial" w:hAnsi="Arial" w:cs="Arial"/>
          <w:sz w:val="24"/>
          <w:szCs w:val="24"/>
        </w:rPr>
        <w:lastRenderedPageBreak/>
        <w:t>Ratele de absolvire relevă diferențe semnificative pe sexe, constant în favoarea fetelor cu valori cuprinse între 2% și 8,2%.</w:t>
      </w:r>
    </w:p>
    <w:p w:rsidR="001937AF" w:rsidRPr="001937AF" w:rsidRDefault="001937AF" w:rsidP="000C6A67">
      <w:pPr>
        <w:spacing w:after="0" w:line="240" w:lineRule="auto"/>
        <w:jc w:val="both"/>
        <w:rPr>
          <w:rFonts w:ascii="Arial" w:hAnsi="Arial" w:cs="Arial"/>
          <w:sz w:val="24"/>
          <w:szCs w:val="24"/>
          <w:lang w:eastAsia="ro-RO"/>
        </w:rPr>
      </w:pPr>
    </w:p>
    <w:p w:rsidR="00DD5F85" w:rsidRPr="008E5539" w:rsidRDefault="00FE3CCA" w:rsidP="008E5539">
      <w:pPr>
        <w:pStyle w:val="Heading3"/>
        <w:spacing w:before="0" w:line="240" w:lineRule="auto"/>
        <w:jc w:val="both"/>
        <w:rPr>
          <w:rFonts w:ascii="Arial" w:hAnsi="Arial" w:cs="Arial"/>
          <w:b w:val="0"/>
          <w:i/>
          <w:color w:val="auto"/>
          <w:sz w:val="24"/>
          <w:szCs w:val="24"/>
          <w:lang w:eastAsia="ro-RO"/>
        </w:rPr>
      </w:pPr>
      <w:bookmarkStart w:id="108" w:name="_Toc488066077"/>
      <w:r w:rsidRPr="008E5539">
        <w:rPr>
          <w:rFonts w:ascii="Arial" w:hAnsi="Arial" w:cs="Arial"/>
          <w:b w:val="0"/>
          <w:i/>
          <w:color w:val="auto"/>
          <w:sz w:val="24"/>
          <w:szCs w:val="24"/>
          <w:lang w:eastAsia="ro-RO"/>
        </w:rPr>
        <w:t>6.3</w:t>
      </w:r>
      <w:r w:rsidR="00406DCE" w:rsidRPr="008E5539">
        <w:rPr>
          <w:rFonts w:ascii="Arial" w:hAnsi="Arial" w:cs="Arial"/>
          <w:b w:val="0"/>
          <w:i/>
          <w:color w:val="auto"/>
          <w:sz w:val="24"/>
          <w:szCs w:val="24"/>
          <w:lang w:eastAsia="ro-RO"/>
        </w:rPr>
        <w:t>.3. Rata de tranziţie la următorul nivel de educaţie</w:t>
      </w:r>
      <w:r w:rsidR="003F18E0" w:rsidRPr="008E5539">
        <w:rPr>
          <w:rStyle w:val="FootnoteReference"/>
          <w:rFonts w:ascii="Arial" w:hAnsi="Arial" w:cs="Arial"/>
          <w:b w:val="0"/>
          <w:i/>
          <w:color w:val="auto"/>
          <w:sz w:val="24"/>
          <w:szCs w:val="24"/>
          <w:lang w:eastAsia="ro-RO"/>
        </w:rPr>
        <w:footnoteReference w:id="64"/>
      </w:r>
      <w:bookmarkEnd w:id="108"/>
    </w:p>
    <w:p w:rsidR="008E5539" w:rsidRPr="00081326" w:rsidRDefault="00381CFF" w:rsidP="00081326">
      <w:pPr>
        <w:spacing w:after="0" w:line="240" w:lineRule="auto"/>
        <w:jc w:val="both"/>
        <w:rPr>
          <w:rFonts w:ascii="Arial" w:hAnsi="Arial" w:cs="Arial"/>
          <w:sz w:val="24"/>
          <w:szCs w:val="24"/>
        </w:rPr>
      </w:pPr>
      <w:r w:rsidRPr="008E5539">
        <w:rPr>
          <w:rFonts w:ascii="Arial" w:hAnsi="Arial" w:cs="Arial"/>
          <w:i/>
          <w:sz w:val="24"/>
          <w:szCs w:val="24"/>
        </w:rPr>
        <w:t xml:space="preserve">6.3.3.1.Rata de tranziţie în învăţământul secundar superior (de la gimnaziu la liceu si SAM/scoala profesionala) </w:t>
      </w:r>
      <w:r w:rsidRPr="00650F9F">
        <w:rPr>
          <w:rFonts w:ascii="Arial" w:hAnsi="Arial" w:cs="Arial"/>
          <w:sz w:val="24"/>
          <w:szCs w:val="24"/>
        </w:rPr>
        <w:t xml:space="preserve">În perioada 2007-2008/2014-2015, rata de tranziţie în învăţământul secundar superior a înregistrat un trend ascendent ajungând în anul 2014-2015 la o pondere de 100,7%. În acest interval s-au înregistrat și scăderi ale ratelor  de tranziție: de la 99,5% în 2008-2009 la 96,9% în 2009-2010 și de la 97,6% în 2011-2012 la 96,4% când s-a atins cea mai scăzută valoare. În anul școlar 2015-2016 rata de tranziție înregistrează o scădere de 3,9% față de anul anterior (100,7%).Diferențele dintre populaţia școlară de gen masculin și cea de gen feminin oscilează cu valori cuprinse între 0,2% și 1,7% pentru fete  și între  0,5% și 2,7% pentru băieți.Diferențe foarte mari se înregistrează între mediul urban și cel rural. </w:t>
      </w:r>
    </w:p>
    <w:p w:rsidR="008E5539" w:rsidRDefault="008E5539" w:rsidP="000C6A67">
      <w:pPr>
        <w:spacing w:after="0" w:line="240" w:lineRule="auto"/>
        <w:jc w:val="center"/>
        <w:rPr>
          <w:rFonts w:ascii="Arial" w:hAnsi="Arial" w:cs="Arial"/>
        </w:rPr>
      </w:pPr>
    </w:p>
    <w:p w:rsidR="009B6A9D" w:rsidRPr="009B6A9D" w:rsidRDefault="009B6A9D" w:rsidP="000C6A67">
      <w:pPr>
        <w:spacing w:after="0" w:line="240" w:lineRule="auto"/>
        <w:jc w:val="center"/>
        <w:rPr>
          <w:rFonts w:ascii="Arial" w:hAnsi="Arial" w:cs="Arial"/>
        </w:rPr>
      </w:pPr>
      <w:r w:rsidRPr="009B6A9D">
        <w:rPr>
          <w:rFonts w:ascii="Arial" w:hAnsi="Arial" w:cs="Arial"/>
        </w:rPr>
        <w:t>Figu</w:t>
      </w:r>
      <w:r w:rsidR="003A2C81">
        <w:rPr>
          <w:rFonts w:ascii="Arial" w:hAnsi="Arial" w:cs="Arial"/>
        </w:rPr>
        <w:t>r</w:t>
      </w:r>
      <w:r w:rsidRPr="009B6A9D">
        <w:rPr>
          <w:rFonts w:ascii="Arial" w:hAnsi="Arial" w:cs="Arial"/>
        </w:rPr>
        <w:t>a 4</w:t>
      </w:r>
      <w:r w:rsidR="00373E67">
        <w:rPr>
          <w:rFonts w:ascii="Arial" w:hAnsi="Arial" w:cs="Arial"/>
        </w:rPr>
        <w:t>2</w:t>
      </w:r>
    </w:p>
    <w:p w:rsidR="00381CFF" w:rsidRDefault="00381CFF" w:rsidP="000C6A67">
      <w:pPr>
        <w:spacing w:after="0" w:line="240" w:lineRule="auto"/>
        <w:jc w:val="both"/>
      </w:pPr>
      <w:r w:rsidRPr="00081326">
        <w:rPr>
          <w:noProof/>
          <w:bdr w:val="single" w:sz="4" w:space="0" w:color="auto"/>
          <w:lang w:val="en-US"/>
        </w:rPr>
        <w:drawing>
          <wp:inline distT="0" distB="0" distL="0" distR="0">
            <wp:extent cx="5962650" cy="3314700"/>
            <wp:effectExtent l="19050" t="0" r="19050" b="0"/>
            <wp:docPr id="45" name="Diagramă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381CFF" w:rsidRDefault="00381CFF" w:rsidP="000C6A67">
      <w:pPr>
        <w:spacing w:after="0" w:line="240" w:lineRule="auto"/>
        <w:jc w:val="center"/>
      </w:pPr>
      <w:r w:rsidRPr="00650F9F">
        <w:t>Sursa datelor: INS</w:t>
      </w:r>
    </w:p>
    <w:p w:rsidR="00381CFF" w:rsidRPr="003B6562" w:rsidRDefault="00381CFF" w:rsidP="000C6A67">
      <w:pPr>
        <w:spacing w:after="0" w:line="240" w:lineRule="auto"/>
        <w:jc w:val="both"/>
        <w:rPr>
          <w:rFonts w:ascii="Arial" w:hAnsi="Arial" w:cs="Arial"/>
          <w:b/>
          <w:i/>
          <w:sz w:val="24"/>
          <w:szCs w:val="24"/>
        </w:rPr>
      </w:pPr>
      <w:r w:rsidRPr="003B6562">
        <w:rPr>
          <w:rFonts w:ascii="Arial" w:hAnsi="Arial" w:cs="Arial"/>
          <w:i/>
          <w:sz w:val="24"/>
          <w:szCs w:val="24"/>
        </w:rPr>
        <w:t>6.3.3.2. Rata de tranziţie în învăţământul post-secundar non-tertiar/tertiar (de la liceal la postliceal si superior</w:t>
      </w:r>
      <w:r w:rsidRPr="003B6562">
        <w:rPr>
          <w:rFonts w:ascii="Arial" w:hAnsi="Arial" w:cs="Arial"/>
          <w:b/>
          <w:i/>
          <w:sz w:val="24"/>
          <w:szCs w:val="24"/>
        </w:rPr>
        <w:t>)</w:t>
      </w:r>
    </w:p>
    <w:p w:rsidR="00381CFF" w:rsidRPr="00650F9F" w:rsidRDefault="00381CFF" w:rsidP="000C6A67">
      <w:pPr>
        <w:spacing w:after="0" w:line="240" w:lineRule="auto"/>
        <w:jc w:val="both"/>
        <w:rPr>
          <w:rFonts w:ascii="Arial" w:hAnsi="Arial" w:cs="Arial"/>
          <w:noProof/>
          <w:sz w:val="24"/>
          <w:szCs w:val="24"/>
        </w:rPr>
      </w:pPr>
      <w:r w:rsidRPr="00650F9F">
        <w:rPr>
          <w:rFonts w:ascii="Arial" w:hAnsi="Arial" w:cs="Arial"/>
          <w:sz w:val="24"/>
          <w:szCs w:val="24"/>
        </w:rPr>
        <w:t xml:space="preserve">În perioada analizată, la nivel regional, rata de tranziţie în învăţământul post-secundar non-tertiar/tertiar înregistrează o scădere semnificativă de 22,2 puncte procentuale (85,4 în 2007-2008 față 63,2% în 2015-2016). </w:t>
      </w:r>
      <w:r w:rsidRPr="00650F9F">
        <w:rPr>
          <w:rFonts w:ascii="Arial" w:hAnsi="Arial" w:cs="Arial"/>
          <w:noProof/>
          <w:sz w:val="24"/>
          <w:szCs w:val="24"/>
        </w:rPr>
        <w:t xml:space="preserve">Evoluția a fost oscilantă cu o valoare de minim </w:t>
      </w:r>
      <w:r w:rsidRPr="00650F9F">
        <w:rPr>
          <w:rFonts w:ascii="Arial" w:hAnsi="Arial" w:cs="Arial"/>
          <w:sz w:val="24"/>
          <w:szCs w:val="24"/>
        </w:rPr>
        <w:t>55,3% înregistrată în anul 2011-2012.</w:t>
      </w:r>
    </w:p>
    <w:p w:rsidR="00381CFF" w:rsidRPr="00650F9F" w:rsidRDefault="00381CFF" w:rsidP="000C6A67">
      <w:pPr>
        <w:spacing w:after="0" w:line="240" w:lineRule="auto"/>
        <w:jc w:val="both"/>
        <w:rPr>
          <w:rFonts w:ascii="Arial" w:hAnsi="Arial" w:cs="Arial"/>
          <w:b/>
          <w:sz w:val="24"/>
          <w:szCs w:val="24"/>
        </w:rPr>
      </w:pPr>
      <w:r w:rsidRPr="00650F9F">
        <w:rPr>
          <w:rFonts w:ascii="Arial" w:hAnsi="Arial" w:cs="Arial"/>
          <w:sz w:val="24"/>
          <w:szCs w:val="24"/>
        </w:rPr>
        <w:t>De-a lungul perioadei de analiză, decalajul între rata de tranziție a persoanelor de gen feminin și rata de tranziție a persoanelor de gen masculin s-a păstrat la un nivel destul de ridicat, deși s-au înregistrat ameliorări din 2007 până în 2015: de la o diferență de 13,7 puncte procentuale în 2007-2008 la 7,5 puncte procentuale în 2015-2016.</w:t>
      </w:r>
      <w:r w:rsidRPr="00650F9F">
        <w:rPr>
          <w:rFonts w:ascii="Arial" w:hAnsi="Arial" w:cs="Arial"/>
          <w:b/>
          <w:sz w:val="24"/>
          <w:szCs w:val="24"/>
        </w:rPr>
        <w:t xml:space="preserve"> </w:t>
      </w:r>
    </w:p>
    <w:p w:rsidR="007659BC" w:rsidRPr="00081326" w:rsidRDefault="00381CFF" w:rsidP="00081326">
      <w:pPr>
        <w:spacing w:after="0" w:line="240" w:lineRule="auto"/>
        <w:jc w:val="both"/>
        <w:rPr>
          <w:rFonts w:ascii="Arial" w:hAnsi="Arial" w:cs="Arial"/>
          <w:sz w:val="24"/>
          <w:szCs w:val="24"/>
        </w:rPr>
      </w:pPr>
      <w:r w:rsidRPr="00650F9F">
        <w:rPr>
          <w:rFonts w:ascii="Arial" w:hAnsi="Arial" w:cs="Arial"/>
          <w:sz w:val="24"/>
          <w:szCs w:val="24"/>
        </w:rPr>
        <w:t xml:space="preserve">Diferențele înregistrate între județele regiunii reflectă disparitățile în ceea ce privește oferta existentă, și în mai mică măsură este o reflectare a diferenței privind aspirațiile tinerilor. </w:t>
      </w:r>
    </w:p>
    <w:p w:rsidR="007659BC" w:rsidRDefault="007659BC" w:rsidP="000C6A67">
      <w:pPr>
        <w:spacing w:after="0" w:line="240" w:lineRule="auto"/>
        <w:jc w:val="center"/>
        <w:rPr>
          <w:rFonts w:ascii="Arial" w:hAnsi="Arial" w:cs="Arial"/>
        </w:rPr>
      </w:pPr>
    </w:p>
    <w:p w:rsidR="001B6344" w:rsidRDefault="001B6344" w:rsidP="000C6A67">
      <w:pPr>
        <w:spacing w:after="0" w:line="240" w:lineRule="auto"/>
        <w:jc w:val="center"/>
        <w:rPr>
          <w:rFonts w:ascii="Arial" w:hAnsi="Arial" w:cs="Arial"/>
        </w:rPr>
      </w:pPr>
    </w:p>
    <w:p w:rsidR="001B6344" w:rsidRDefault="001B6344" w:rsidP="000C6A67">
      <w:pPr>
        <w:spacing w:after="0" w:line="240" w:lineRule="auto"/>
        <w:jc w:val="center"/>
        <w:rPr>
          <w:rFonts w:ascii="Arial" w:hAnsi="Arial" w:cs="Arial"/>
        </w:rPr>
      </w:pPr>
    </w:p>
    <w:p w:rsidR="00381CFF" w:rsidRPr="009B6A9D" w:rsidRDefault="009B6A9D" w:rsidP="000C6A67">
      <w:pPr>
        <w:spacing w:after="0" w:line="240" w:lineRule="auto"/>
        <w:jc w:val="center"/>
        <w:rPr>
          <w:rFonts w:ascii="Arial" w:hAnsi="Arial" w:cs="Arial"/>
        </w:rPr>
      </w:pPr>
      <w:r w:rsidRPr="009B6A9D">
        <w:rPr>
          <w:rFonts w:ascii="Arial" w:hAnsi="Arial" w:cs="Arial"/>
        </w:rPr>
        <w:t>Figura 4</w:t>
      </w:r>
      <w:r w:rsidR="00373E67">
        <w:rPr>
          <w:rFonts w:ascii="Arial" w:hAnsi="Arial" w:cs="Arial"/>
        </w:rPr>
        <w:t>3</w:t>
      </w:r>
    </w:p>
    <w:p w:rsidR="00381CFF" w:rsidRDefault="00381CFF" w:rsidP="000C6A67">
      <w:pPr>
        <w:spacing w:after="0" w:line="240" w:lineRule="auto"/>
        <w:jc w:val="center"/>
        <w:rPr>
          <w:b/>
        </w:rPr>
      </w:pPr>
      <w:r w:rsidRPr="00081326">
        <w:rPr>
          <w:b/>
          <w:noProof/>
          <w:bdr w:val="single" w:sz="4" w:space="0" w:color="auto"/>
          <w:lang w:val="en-US"/>
        </w:rPr>
        <w:drawing>
          <wp:inline distT="0" distB="0" distL="0" distR="0">
            <wp:extent cx="5565913" cy="3315335"/>
            <wp:effectExtent l="19050" t="0" r="15737" b="0"/>
            <wp:docPr id="46" name="Diagramă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381CFF" w:rsidRPr="00A6134A" w:rsidRDefault="00381CFF" w:rsidP="000C6A67">
      <w:pPr>
        <w:spacing w:after="0" w:line="240" w:lineRule="auto"/>
        <w:jc w:val="center"/>
        <w:rPr>
          <w:rFonts w:ascii="Arial" w:hAnsi="Arial" w:cs="Arial"/>
        </w:rPr>
      </w:pPr>
      <w:r w:rsidRPr="00A6134A">
        <w:rPr>
          <w:rFonts w:ascii="Arial" w:hAnsi="Arial" w:cs="Arial"/>
        </w:rPr>
        <w:t>Sursa datelor: INS</w:t>
      </w:r>
    </w:p>
    <w:p w:rsidR="00406DCE" w:rsidRPr="00A6134A" w:rsidRDefault="00406DCE" w:rsidP="000C6A67">
      <w:pPr>
        <w:pStyle w:val="Heading3"/>
        <w:spacing w:before="0" w:line="240" w:lineRule="auto"/>
        <w:jc w:val="both"/>
        <w:rPr>
          <w:rFonts w:ascii="Arial" w:hAnsi="Arial" w:cs="Arial"/>
          <w:b w:val="0"/>
          <w:color w:val="auto"/>
          <w:sz w:val="24"/>
          <w:szCs w:val="24"/>
          <w:lang w:eastAsia="ro-RO"/>
        </w:rPr>
      </w:pPr>
    </w:p>
    <w:p w:rsidR="00DD5F85" w:rsidRPr="00073C85" w:rsidRDefault="00FE3CCA" w:rsidP="00073C85">
      <w:pPr>
        <w:pStyle w:val="Heading3"/>
        <w:spacing w:before="0" w:line="240" w:lineRule="auto"/>
        <w:jc w:val="both"/>
        <w:rPr>
          <w:rFonts w:ascii="Arial" w:hAnsi="Arial" w:cs="Arial"/>
          <w:b w:val="0"/>
          <w:i/>
          <w:color w:val="auto"/>
          <w:sz w:val="24"/>
          <w:szCs w:val="24"/>
          <w:lang w:eastAsia="ro-RO"/>
        </w:rPr>
      </w:pPr>
      <w:bookmarkStart w:id="109" w:name="_Toc488066078"/>
      <w:r w:rsidRPr="00073C85">
        <w:rPr>
          <w:rFonts w:ascii="Arial" w:hAnsi="Arial" w:cs="Arial"/>
          <w:b w:val="0"/>
          <w:i/>
          <w:color w:val="auto"/>
          <w:sz w:val="24"/>
          <w:szCs w:val="24"/>
          <w:lang w:eastAsia="ro-RO"/>
        </w:rPr>
        <w:t>6.3</w:t>
      </w:r>
      <w:r w:rsidR="003F18E0" w:rsidRPr="00073C85">
        <w:rPr>
          <w:rFonts w:ascii="Arial" w:hAnsi="Arial" w:cs="Arial"/>
          <w:b w:val="0"/>
          <w:i/>
          <w:color w:val="auto"/>
          <w:sz w:val="24"/>
          <w:szCs w:val="24"/>
          <w:lang w:eastAsia="ro-RO"/>
        </w:rPr>
        <w:t>.4</w:t>
      </w:r>
      <w:r w:rsidR="00406DCE" w:rsidRPr="00073C85">
        <w:rPr>
          <w:rFonts w:ascii="Arial" w:hAnsi="Arial" w:cs="Arial"/>
          <w:b w:val="0"/>
          <w:i/>
          <w:color w:val="auto"/>
          <w:sz w:val="24"/>
          <w:szCs w:val="24"/>
          <w:lang w:eastAsia="ro-RO"/>
        </w:rPr>
        <w:t>. Rata abandonului şcolar, pe niveluri de educaţie ISCED</w:t>
      </w:r>
      <w:r w:rsidR="003F18E0" w:rsidRPr="00073C85">
        <w:rPr>
          <w:rStyle w:val="FootnoteReference"/>
          <w:rFonts w:ascii="Arial" w:hAnsi="Arial" w:cs="Arial"/>
          <w:b w:val="0"/>
          <w:i/>
          <w:color w:val="auto"/>
          <w:sz w:val="24"/>
          <w:szCs w:val="24"/>
          <w:lang w:eastAsia="ro-RO"/>
        </w:rPr>
        <w:footnoteReference w:id="65"/>
      </w:r>
      <w:bookmarkEnd w:id="109"/>
    </w:p>
    <w:p w:rsidR="00381CFF" w:rsidRPr="00073C85" w:rsidRDefault="00381CFF" w:rsidP="000C6A67">
      <w:pPr>
        <w:spacing w:after="0" w:line="240" w:lineRule="auto"/>
        <w:jc w:val="both"/>
        <w:rPr>
          <w:rFonts w:ascii="Arial" w:eastAsia="Times New Roman" w:hAnsi="Arial" w:cs="Arial"/>
          <w:bCs/>
          <w:i/>
          <w:sz w:val="24"/>
          <w:szCs w:val="24"/>
          <w:lang w:val="en-US"/>
        </w:rPr>
      </w:pPr>
      <w:r w:rsidRPr="00073C85">
        <w:rPr>
          <w:rFonts w:ascii="Arial" w:eastAsia="Times New Roman" w:hAnsi="Arial" w:cs="Arial"/>
          <w:bCs/>
          <w:i/>
          <w:sz w:val="24"/>
          <w:szCs w:val="24"/>
          <w:lang w:val="en-US"/>
        </w:rPr>
        <w:t>6.3.4.1. Rata abandonului şcolar în învăţământul primar şi gimnazial</w:t>
      </w:r>
    </w:p>
    <w:p w:rsidR="00381CFF" w:rsidRPr="002C0DD7" w:rsidRDefault="00381CFF" w:rsidP="000C6A67">
      <w:pPr>
        <w:spacing w:after="0" w:line="240" w:lineRule="auto"/>
        <w:jc w:val="both"/>
        <w:rPr>
          <w:rFonts w:ascii="Arial" w:hAnsi="Arial" w:cs="Arial"/>
          <w:noProof/>
          <w:sz w:val="24"/>
          <w:szCs w:val="24"/>
        </w:rPr>
      </w:pPr>
      <w:r w:rsidRPr="002C0DD7">
        <w:rPr>
          <w:rFonts w:ascii="Arial" w:hAnsi="Arial" w:cs="Arial"/>
          <w:bCs/>
          <w:noProof/>
          <w:sz w:val="24"/>
          <w:szCs w:val="24"/>
        </w:rPr>
        <w:t>In intervalul analizat, la nivel regional,  rata abandonului</w:t>
      </w:r>
      <w:r w:rsidRPr="002C0DD7">
        <w:rPr>
          <w:rFonts w:ascii="Arial" w:hAnsi="Arial" w:cs="Arial"/>
          <w:bCs/>
          <w:i/>
          <w:noProof/>
          <w:sz w:val="24"/>
          <w:szCs w:val="24"/>
        </w:rPr>
        <w:t xml:space="preserve"> </w:t>
      </w:r>
      <w:r w:rsidRPr="002C0DD7">
        <w:rPr>
          <w:rFonts w:ascii="Arial" w:hAnsi="Arial" w:cs="Arial"/>
          <w:bCs/>
          <w:noProof/>
          <w:sz w:val="24"/>
          <w:szCs w:val="24"/>
        </w:rPr>
        <w:t>școlar în învățământul primar și gimnazial</w:t>
      </w:r>
      <w:r w:rsidRPr="002C0DD7">
        <w:rPr>
          <w:rFonts w:ascii="Arial" w:hAnsi="Arial" w:cs="Arial"/>
          <w:bCs/>
          <w:i/>
          <w:noProof/>
          <w:sz w:val="24"/>
          <w:szCs w:val="24"/>
        </w:rPr>
        <w:t xml:space="preserve"> </w:t>
      </w:r>
      <w:r w:rsidRPr="002C0DD7">
        <w:rPr>
          <w:rFonts w:ascii="Arial" w:hAnsi="Arial" w:cs="Arial"/>
          <w:noProof/>
          <w:sz w:val="24"/>
          <w:szCs w:val="24"/>
        </w:rPr>
        <w:t xml:space="preserve"> a scăzut nesemnificativ cu 0,1%, de la 2,5% în 2006-2007 la 2,4 % în 2014-2015. Evoluția a fost oscilantă cu două valori maxime de 2,5% în 2006 și 2010 și o valoare minimă de 1,5%  în 2012-2013, dar s-a păstrat la valori peste media națională în fiecare an. </w:t>
      </w:r>
    </w:p>
    <w:p w:rsidR="00381CFF" w:rsidRPr="002C0DD7" w:rsidRDefault="00381CFF" w:rsidP="000C6A67">
      <w:pPr>
        <w:spacing w:after="0" w:line="240" w:lineRule="auto"/>
        <w:jc w:val="both"/>
        <w:rPr>
          <w:rFonts w:ascii="Arial" w:hAnsi="Arial" w:cs="Arial"/>
          <w:sz w:val="24"/>
          <w:szCs w:val="24"/>
        </w:rPr>
      </w:pPr>
      <w:r w:rsidRPr="002C0DD7">
        <w:rPr>
          <w:rFonts w:ascii="Arial" w:hAnsi="Arial" w:cs="Arial"/>
          <w:sz w:val="24"/>
          <w:szCs w:val="24"/>
        </w:rPr>
        <w:t>In ceea ce priveste raportul dintre populația școlară de sex masculin și cea de sex feminin, se înregistrează diferențe în favoarea sexului masculin.</w:t>
      </w:r>
    </w:p>
    <w:p w:rsidR="00381CFF" w:rsidRDefault="00381CFF" w:rsidP="000C6A67">
      <w:pPr>
        <w:spacing w:after="0" w:line="240" w:lineRule="auto"/>
        <w:jc w:val="both"/>
        <w:rPr>
          <w:rFonts w:ascii="Arial" w:hAnsi="Arial" w:cs="Arial"/>
          <w:sz w:val="24"/>
          <w:szCs w:val="24"/>
        </w:rPr>
      </w:pPr>
      <w:r w:rsidRPr="002C0DD7">
        <w:rPr>
          <w:rFonts w:ascii="Arial" w:hAnsi="Arial" w:cs="Arial"/>
          <w:sz w:val="24"/>
          <w:szCs w:val="24"/>
        </w:rPr>
        <w:t xml:space="preserve">În ceea ce privește rata abandonului pe medii de rezidență se înregistrează o scădere a acesteia în mediul urban, cu 0,2 puncte procentuale, iar  în mediul rural se înregistrează aceeași valoare de 2,6 puncte procentuale. </w:t>
      </w:r>
    </w:p>
    <w:p w:rsidR="00073C85" w:rsidRDefault="00073C85" w:rsidP="000C6A67">
      <w:pPr>
        <w:spacing w:after="0" w:line="240" w:lineRule="auto"/>
        <w:jc w:val="center"/>
        <w:rPr>
          <w:rFonts w:ascii="Arial" w:hAnsi="Arial" w:cs="Arial"/>
        </w:rPr>
      </w:pPr>
    </w:p>
    <w:p w:rsidR="00073C85" w:rsidRDefault="00073C85" w:rsidP="000C6A67">
      <w:pPr>
        <w:spacing w:after="0" w:line="240" w:lineRule="auto"/>
        <w:jc w:val="center"/>
        <w:rPr>
          <w:rFonts w:ascii="Arial" w:hAnsi="Arial" w:cs="Arial"/>
        </w:rPr>
      </w:pPr>
    </w:p>
    <w:p w:rsidR="00381CFF" w:rsidRPr="00073C85" w:rsidRDefault="00381CFF" w:rsidP="000C6A67">
      <w:pPr>
        <w:spacing w:after="0" w:line="240" w:lineRule="auto"/>
        <w:jc w:val="both"/>
        <w:rPr>
          <w:rFonts w:ascii="Arial" w:eastAsia="Times New Roman" w:hAnsi="Arial" w:cs="Arial"/>
          <w:bCs/>
          <w:i/>
          <w:sz w:val="24"/>
          <w:szCs w:val="24"/>
          <w:lang w:val="en-US"/>
        </w:rPr>
      </w:pPr>
      <w:r w:rsidRPr="00073C85">
        <w:rPr>
          <w:rFonts w:ascii="Arial" w:eastAsia="Times New Roman" w:hAnsi="Arial" w:cs="Arial"/>
          <w:bCs/>
          <w:i/>
          <w:sz w:val="24"/>
          <w:szCs w:val="24"/>
          <w:lang w:val="en-US"/>
        </w:rPr>
        <w:t xml:space="preserve">6.3.4.2. Rata abandonului şcolar în învăţământul gimnazial </w:t>
      </w:r>
    </w:p>
    <w:p w:rsidR="00381CFF" w:rsidRPr="00140F72" w:rsidRDefault="00381CFF" w:rsidP="000C6A67">
      <w:pPr>
        <w:spacing w:after="0" w:line="240" w:lineRule="auto"/>
        <w:jc w:val="both"/>
        <w:rPr>
          <w:rFonts w:ascii="Arial" w:hAnsi="Arial" w:cs="Arial"/>
          <w:sz w:val="24"/>
          <w:szCs w:val="24"/>
        </w:rPr>
      </w:pPr>
      <w:r w:rsidRPr="00140F72">
        <w:rPr>
          <w:rFonts w:ascii="Arial" w:hAnsi="Arial" w:cs="Arial"/>
          <w:sz w:val="24"/>
          <w:szCs w:val="24"/>
        </w:rPr>
        <w:t>La nivelul Regiunii Vest, în intervalul supus analizei, până la nivelul anului școlar 2008-2009, rata abandonului şcolar, a înregistrat un trend continuu descendent. Anul şcolar 2009-2010 marchează o tendinţă ascendentă în ceea ce priveşte abandonul, tendinţă continuată şi în următorul an școlar. Anul școlar 2011-2012 marchează o nouă descreștere a ratei abandonului școlar, înregistrând valoarea de 2%, cu 0,7 puncte procentuale mai puțin decât în anul școlar precedent. Această descreștere se regăsește și în anul școlar următor. Anul școlar 2013-2014 este începutul unei noi perioade de creștere, ajungând la sfârșitul perioadei analizate să înregistreze valoarea de 2,7% identică cu cea din anul școlar 2006-2007, începutul perioadei analizate.</w:t>
      </w:r>
    </w:p>
    <w:p w:rsidR="00381CFF" w:rsidRPr="00140F72" w:rsidRDefault="00381CFF" w:rsidP="000C6A67">
      <w:pPr>
        <w:spacing w:after="0" w:line="240" w:lineRule="auto"/>
        <w:jc w:val="both"/>
        <w:rPr>
          <w:rFonts w:ascii="Arial" w:hAnsi="Arial" w:cs="Arial"/>
          <w:sz w:val="24"/>
          <w:szCs w:val="24"/>
        </w:rPr>
      </w:pPr>
      <w:r w:rsidRPr="00140F72">
        <w:rPr>
          <w:rFonts w:ascii="Arial" w:hAnsi="Arial" w:cs="Arial"/>
          <w:sz w:val="24"/>
          <w:szCs w:val="24"/>
        </w:rPr>
        <w:t>Rata abandonului este mai crescută în cazul băieților iar diferența dintre sexe este cuprinsă între 0,2 puncte procentuale și 0,7 puncte procentuale.</w:t>
      </w:r>
    </w:p>
    <w:p w:rsidR="00381CFF" w:rsidRPr="00073C85" w:rsidRDefault="00381CFF" w:rsidP="000C6A67">
      <w:pPr>
        <w:spacing w:after="0" w:line="240" w:lineRule="auto"/>
        <w:jc w:val="both"/>
        <w:rPr>
          <w:rFonts w:ascii="Arial" w:hAnsi="Arial" w:cs="Arial"/>
          <w:sz w:val="24"/>
          <w:szCs w:val="24"/>
        </w:rPr>
      </w:pPr>
      <w:r w:rsidRPr="00140F72">
        <w:rPr>
          <w:rFonts w:ascii="Arial" w:hAnsi="Arial" w:cs="Arial"/>
          <w:sz w:val="24"/>
          <w:szCs w:val="24"/>
        </w:rPr>
        <w:lastRenderedPageBreak/>
        <w:t xml:space="preserve">Pe medii de rezidență, rata abandonului înregistrează valori cuprinse între 0,3 puncte procentuale și 1,1 puncte procentuale mai ridicate în mediul rural. In anul școlar 2009-2010 se remarcă, însă, diminuarea acestei diferențe, față de anul anterior când valoarea ratei abandonului este cu 0,1 puncte procentuale mai mare în urban decât în rural, iar valorile ratei sunt egale 2,7 puncte procentuale. </w:t>
      </w:r>
    </w:p>
    <w:p w:rsidR="00381CFF" w:rsidRPr="00073C85" w:rsidRDefault="00381CFF" w:rsidP="000C6A67">
      <w:pPr>
        <w:spacing w:after="0" w:line="240" w:lineRule="auto"/>
        <w:jc w:val="both"/>
        <w:rPr>
          <w:rFonts w:ascii="Arial" w:hAnsi="Arial" w:cs="Arial"/>
          <w:i/>
          <w:sz w:val="24"/>
          <w:szCs w:val="24"/>
        </w:rPr>
      </w:pPr>
      <w:r w:rsidRPr="00073C85">
        <w:rPr>
          <w:rFonts w:ascii="Arial" w:hAnsi="Arial" w:cs="Arial"/>
          <w:i/>
          <w:sz w:val="24"/>
          <w:szCs w:val="24"/>
        </w:rPr>
        <w:t>6.3.4.3.Rata abandonului şcolar în învăţământul liceal</w:t>
      </w:r>
    </w:p>
    <w:p w:rsidR="00381CFF" w:rsidRPr="000A739B" w:rsidRDefault="00381CFF" w:rsidP="000C6A67">
      <w:pPr>
        <w:spacing w:after="0" w:line="240" w:lineRule="auto"/>
        <w:jc w:val="both"/>
        <w:rPr>
          <w:rFonts w:ascii="Arial" w:hAnsi="Arial" w:cs="Arial"/>
          <w:sz w:val="24"/>
          <w:szCs w:val="24"/>
        </w:rPr>
      </w:pPr>
      <w:r w:rsidRPr="000A739B">
        <w:rPr>
          <w:rFonts w:ascii="Arial" w:hAnsi="Arial" w:cs="Arial"/>
          <w:sz w:val="24"/>
          <w:szCs w:val="24"/>
        </w:rPr>
        <w:t xml:space="preserve">La nivel național, analiza ratei abandonului în învățământul liceal prezintă un trend descrescător până la nivelul anului  școlar 2009-2010, după care urmează o creștere înregistrând valoarea de 3,2 puncte procentuale cu 1 punct procentual mai mult decât în anul școlar precedent. În Regiunea Vest, rata abandonului școlar a înregistrat o creștere, diferența dintre începutul și sfârșitul perioadei analizate fiind de 0,6 puncte procentuale, de la 3,3% în 2006-2007 la 3,9% în 2010-2011, dar a existat și o valoare minimă înregistrată de 2,2% în 2008-2009. În anul școlar 2010-2011, primul după anul intrării în lichidare a SAM-urilor și de preluare a locurilor la liceu, s-a înregistrat o creștere a procentului elevilor care au abandonat studiile liceale: ca urmare, în acest an școlar, rata abandonului a crescut de la 2,3% la 3,9%. </w:t>
      </w:r>
    </w:p>
    <w:p w:rsidR="00381CFF" w:rsidRPr="000A739B" w:rsidRDefault="00381CFF" w:rsidP="000C6A67">
      <w:pPr>
        <w:spacing w:after="0" w:line="240" w:lineRule="auto"/>
        <w:jc w:val="both"/>
        <w:rPr>
          <w:rFonts w:ascii="Arial" w:hAnsi="Arial" w:cs="Arial"/>
          <w:sz w:val="24"/>
          <w:szCs w:val="24"/>
        </w:rPr>
      </w:pPr>
      <w:r w:rsidRPr="000A739B">
        <w:rPr>
          <w:rFonts w:ascii="Arial" w:hAnsi="Arial" w:cs="Arial"/>
          <w:sz w:val="24"/>
          <w:szCs w:val="24"/>
        </w:rPr>
        <w:t>In ceea ce priveste raportul masculin-feminin, se înregistrează diferențe în favoarea sexului masculin.</w:t>
      </w:r>
    </w:p>
    <w:p w:rsidR="00381CFF" w:rsidRPr="009B6A9D" w:rsidRDefault="009B6A9D" w:rsidP="000C6A67">
      <w:pPr>
        <w:spacing w:after="0" w:line="240" w:lineRule="auto"/>
        <w:ind w:firstLine="720"/>
        <w:jc w:val="center"/>
        <w:rPr>
          <w:rFonts w:ascii="Arial" w:hAnsi="Arial" w:cs="Arial"/>
        </w:rPr>
      </w:pPr>
      <w:r w:rsidRPr="009B6A9D">
        <w:rPr>
          <w:rFonts w:ascii="Arial" w:hAnsi="Arial" w:cs="Arial"/>
        </w:rPr>
        <w:t>Figura 4</w:t>
      </w:r>
      <w:r w:rsidR="001714CD">
        <w:rPr>
          <w:rFonts w:ascii="Arial" w:hAnsi="Arial" w:cs="Arial"/>
        </w:rPr>
        <w:t>4</w:t>
      </w:r>
      <w:r w:rsidRPr="009B6A9D">
        <w:rPr>
          <w:rFonts w:ascii="Arial" w:hAnsi="Arial" w:cs="Arial"/>
        </w:rPr>
        <w:t>.</w:t>
      </w:r>
    </w:p>
    <w:p w:rsidR="00381CFF" w:rsidRPr="003B143C" w:rsidRDefault="00381CFF" w:rsidP="000C6A67">
      <w:pPr>
        <w:spacing w:after="0" w:line="240" w:lineRule="auto"/>
        <w:ind w:firstLine="720"/>
        <w:jc w:val="both"/>
        <w:rPr>
          <w:color w:val="00B050"/>
        </w:rPr>
      </w:pPr>
      <w:r w:rsidRPr="003B143C">
        <w:rPr>
          <w:noProof/>
          <w:color w:val="00B050"/>
          <w:lang w:val="en-US"/>
        </w:rPr>
        <w:drawing>
          <wp:inline distT="0" distB="0" distL="0" distR="0">
            <wp:extent cx="4996815" cy="3020695"/>
            <wp:effectExtent l="19050" t="0" r="13335" b="8255"/>
            <wp:docPr id="48" name="Diagramă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381CFF" w:rsidRPr="00527273" w:rsidRDefault="00381CFF" w:rsidP="000C6A67">
      <w:pPr>
        <w:tabs>
          <w:tab w:val="left" w:pos="1440"/>
        </w:tabs>
        <w:spacing w:after="0" w:line="240" w:lineRule="auto"/>
        <w:jc w:val="center"/>
        <w:rPr>
          <w:rFonts w:ascii="Arial" w:eastAsia="Times New Roman" w:hAnsi="Arial" w:cs="Arial"/>
          <w:bCs/>
          <w:lang w:val="en-US"/>
        </w:rPr>
      </w:pPr>
      <w:r w:rsidRPr="00527273">
        <w:rPr>
          <w:rFonts w:ascii="Arial" w:eastAsia="Times New Roman" w:hAnsi="Arial" w:cs="Arial"/>
          <w:bCs/>
          <w:lang w:val="en-US"/>
        </w:rPr>
        <w:t>Sursa datelor: INS</w:t>
      </w:r>
    </w:p>
    <w:p w:rsidR="004E0A9A" w:rsidRDefault="004E0A9A" w:rsidP="00373E67">
      <w:pPr>
        <w:spacing w:after="0" w:line="240" w:lineRule="auto"/>
        <w:jc w:val="both"/>
        <w:rPr>
          <w:rFonts w:ascii="Arial" w:hAnsi="Arial" w:cs="Arial"/>
          <w:sz w:val="24"/>
          <w:szCs w:val="24"/>
        </w:rPr>
      </w:pPr>
    </w:p>
    <w:p w:rsidR="00373E67" w:rsidRPr="000A739B" w:rsidRDefault="00373E67" w:rsidP="00373E67">
      <w:pPr>
        <w:spacing w:after="0" w:line="240" w:lineRule="auto"/>
        <w:jc w:val="both"/>
        <w:rPr>
          <w:rFonts w:ascii="Arial" w:hAnsi="Arial" w:cs="Arial"/>
          <w:sz w:val="24"/>
          <w:szCs w:val="24"/>
        </w:rPr>
      </w:pPr>
      <w:r w:rsidRPr="000A739B">
        <w:rPr>
          <w:rFonts w:ascii="Arial" w:hAnsi="Arial" w:cs="Arial"/>
          <w:sz w:val="24"/>
          <w:szCs w:val="24"/>
        </w:rPr>
        <w:t>Cu excepția anului școlar 2006-2007, primul an al perioadei analizate, când rata abandonului școlar din mediul urban este mai scăzută decât cea  din mediul rural (3,3% - urban și 3,4% în rural), rata abandonului școlar din mediul urban înregistrează valori peste cele calculate în mediul rural.</w:t>
      </w:r>
    </w:p>
    <w:p w:rsidR="00373E67" w:rsidRPr="000A739B" w:rsidRDefault="00373E67" w:rsidP="00373E67">
      <w:pPr>
        <w:spacing w:after="0" w:line="240" w:lineRule="auto"/>
        <w:jc w:val="both"/>
        <w:rPr>
          <w:rFonts w:ascii="Arial" w:hAnsi="Arial" w:cs="Arial"/>
          <w:sz w:val="24"/>
          <w:szCs w:val="24"/>
        </w:rPr>
      </w:pPr>
      <w:r w:rsidRPr="000A739B">
        <w:rPr>
          <w:rFonts w:ascii="Arial" w:hAnsi="Arial" w:cs="Arial"/>
          <w:sz w:val="24"/>
          <w:szCs w:val="24"/>
        </w:rPr>
        <w:t xml:space="preserve">Dacă valorile regionale sunt comparabile cu cele naționale, atunic la nivelul județelor se înregistrează diferențe semnificative, cu cele mai bune valori în județul Arad, și cele mai îngrijorătoare situații în județul Timiș. </w:t>
      </w:r>
    </w:p>
    <w:p w:rsidR="00373E67" w:rsidRDefault="00373E67" w:rsidP="000C6A67">
      <w:pPr>
        <w:spacing w:after="0" w:line="240" w:lineRule="auto"/>
        <w:jc w:val="both"/>
        <w:rPr>
          <w:rFonts w:ascii="Arial" w:eastAsia="Times New Roman" w:hAnsi="Arial" w:cs="Arial"/>
          <w:bCs/>
          <w:i/>
          <w:sz w:val="24"/>
          <w:szCs w:val="24"/>
          <w:lang w:val="en-US"/>
        </w:rPr>
      </w:pPr>
    </w:p>
    <w:p w:rsidR="00381CFF" w:rsidRPr="00073C85" w:rsidRDefault="001C1C34" w:rsidP="000C6A67">
      <w:pPr>
        <w:spacing w:after="0" w:line="240" w:lineRule="auto"/>
        <w:jc w:val="both"/>
        <w:rPr>
          <w:rFonts w:ascii="Arial" w:eastAsia="Times New Roman" w:hAnsi="Arial" w:cs="Arial"/>
          <w:bCs/>
          <w:i/>
          <w:sz w:val="24"/>
          <w:szCs w:val="24"/>
          <w:lang w:val="en-US"/>
        </w:rPr>
      </w:pPr>
      <w:r w:rsidRPr="00073C85">
        <w:rPr>
          <w:rFonts w:ascii="Arial" w:eastAsia="Times New Roman" w:hAnsi="Arial" w:cs="Arial"/>
          <w:bCs/>
          <w:i/>
          <w:sz w:val="24"/>
          <w:szCs w:val="24"/>
          <w:lang w:val="en-US"/>
        </w:rPr>
        <w:t>6</w:t>
      </w:r>
      <w:r w:rsidR="00381CFF" w:rsidRPr="00073C85">
        <w:rPr>
          <w:rFonts w:ascii="Arial" w:eastAsia="Times New Roman" w:hAnsi="Arial" w:cs="Arial"/>
          <w:bCs/>
          <w:i/>
          <w:sz w:val="24"/>
          <w:szCs w:val="24"/>
          <w:lang w:val="en-US"/>
        </w:rPr>
        <w:t>.3.4.4.Rata abandonului şcolar în învăţământul profesional</w:t>
      </w:r>
    </w:p>
    <w:p w:rsidR="00381CFF" w:rsidRPr="000A739B" w:rsidRDefault="00381CFF" w:rsidP="000C6A67">
      <w:pPr>
        <w:spacing w:after="0" w:line="240" w:lineRule="auto"/>
        <w:jc w:val="both"/>
        <w:rPr>
          <w:rFonts w:ascii="Arial" w:eastAsia="Times New Roman" w:hAnsi="Arial" w:cs="Arial"/>
          <w:bCs/>
          <w:sz w:val="24"/>
          <w:szCs w:val="24"/>
          <w:lang w:val="en-US"/>
        </w:rPr>
      </w:pPr>
      <w:r w:rsidRPr="000A739B">
        <w:rPr>
          <w:rFonts w:ascii="Arial" w:eastAsia="Times New Roman" w:hAnsi="Arial" w:cs="Arial"/>
          <w:bCs/>
          <w:sz w:val="24"/>
          <w:szCs w:val="24"/>
          <w:lang w:val="en-US"/>
        </w:rPr>
        <w:t>La nivel național, până în anul școlar 2009-2010, rata abandonului a înregistrat o evoluție oscilantă cu valori cuprinse între 8,2% și 8,6%. În anul școlar 2010-2011 se remarcă o creștere cu 11,2% față de anul școlar 2009-2010 (8,6%).</w:t>
      </w:r>
    </w:p>
    <w:p w:rsidR="00381CFF" w:rsidRPr="000A739B" w:rsidRDefault="00381CFF" w:rsidP="00073C85">
      <w:pPr>
        <w:spacing w:after="0" w:line="240" w:lineRule="auto"/>
        <w:jc w:val="both"/>
        <w:rPr>
          <w:rFonts w:ascii="Arial" w:eastAsia="Times New Roman" w:hAnsi="Arial" w:cs="Arial"/>
          <w:bCs/>
          <w:sz w:val="24"/>
          <w:szCs w:val="24"/>
          <w:lang w:val="en-US"/>
        </w:rPr>
      </w:pPr>
      <w:r w:rsidRPr="000A739B">
        <w:rPr>
          <w:rFonts w:ascii="Arial" w:eastAsia="Times New Roman" w:hAnsi="Arial" w:cs="Arial"/>
          <w:bCs/>
          <w:sz w:val="24"/>
          <w:szCs w:val="24"/>
          <w:lang w:val="en-US"/>
        </w:rPr>
        <w:t xml:space="preserve">În ceea ce priveste rata abandonului școlar în învățământul profesional, la nivelul Regiunii Vest se remarcă următoarea evoluție: în perioada 2006 – 2010 indicatorul a </w:t>
      </w:r>
      <w:r w:rsidRPr="000A739B">
        <w:rPr>
          <w:rFonts w:ascii="Arial" w:eastAsia="Times New Roman" w:hAnsi="Arial" w:cs="Arial"/>
          <w:bCs/>
          <w:sz w:val="24"/>
          <w:szCs w:val="24"/>
          <w:lang w:val="en-US"/>
        </w:rPr>
        <w:lastRenderedPageBreak/>
        <w:t xml:space="preserve">înregistrat o scădere de la un an la altul cu valori cuprinse între 0,8% și 1,3%. În anul școlar 2010-2011 se remarcă o creștere a ratei abandonului școlar. Astfel, rata abandonului școlar înregistrează o valoare de 14,3%  în creștere față de anul școlar anterior cu 8,5 puncte procentuale. </w:t>
      </w:r>
    </w:p>
    <w:p w:rsidR="00381CFF" w:rsidRPr="006A43DC" w:rsidRDefault="00381CFF" w:rsidP="00073C85">
      <w:pPr>
        <w:spacing w:after="0" w:line="240" w:lineRule="auto"/>
        <w:jc w:val="both"/>
        <w:rPr>
          <w:rFonts w:ascii="Arial" w:eastAsia="Times New Roman" w:hAnsi="Arial" w:cs="Arial"/>
          <w:bCs/>
          <w:sz w:val="24"/>
          <w:szCs w:val="24"/>
          <w:lang w:val="en-US"/>
        </w:rPr>
      </w:pPr>
      <w:r w:rsidRPr="000A739B">
        <w:rPr>
          <w:rFonts w:ascii="Arial" w:eastAsia="Times New Roman" w:hAnsi="Arial" w:cs="Arial"/>
          <w:bCs/>
          <w:sz w:val="24"/>
          <w:szCs w:val="24"/>
          <w:lang w:val="en-US"/>
        </w:rPr>
        <w:t>Valorile ratei abandonului școlar, pe genuri, relevă diferențe în favoarea populației școlare feminine pe parcursul perioadei analizate, nivelul maxim al acestei diferențe fiind înregistrat în anul școlar 2009-2010 de 3,2%.  Se remarcă faptul că, în anul școlar 2010-</w:t>
      </w:r>
      <w:r w:rsidRPr="006A43DC">
        <w:rPr>
          <w:rFonts w:ascii="Arial" w:eastAsia="Times New Roman" w:hAnsi="Arial" w:cs="Arial"/>
          <w:bCs/>
          <w:sz w:val="24"/>
          <w:szCs w:val="24"/>
          <w:lang w:val="en-US"/>
        </w:rPr>
        <w:t>2011, atât la băieți cât și la fete se înregistrează cea mai mare rată a abandonului școlar (14,3% în cazul fetelor și 14,4% în cazul băieților).</w:t>
      </w:r>
    </w:p>
    <w:p w:rsidR="00381CFF" w:rsidRPr="00073C85" w:rsidRDefault="00381CFF" w:rsidP="00073C85">
      <w:pPr>
        <w:spacing w:after="0" w:line="240" w:lineRule="auto"/>
        <w:jc w:val="both"/>
        <w:rPr>
          <w:rFonts w:ascii="Arial" w:hAnsi="Arial" w:cs="Arial"/>
          <w:sz w:val="24"/>
          <w:szCs w:val="24"/>
        </w:rPr>
      </w:pPr>
      <w:r w:rsidRPr="006A43DC">
        <w:rPr>
          <w:rFonts w:ascii="Arial" w:eastAsia="Times New Roman" w:hAnsi="Arial" w:cs="Arial"/>
          <w:bCs/>
          <w:sz w:val="24"/>
          <w:szCs w:val="24"/>
          <w:lang w:val="en-US"/>
        </w:rPr>
        <w:t xml:space="preserve">Pe medii de rezidență, </w:t>
      </w:r>
      <w:r w:rsidRPr="006A43DC">
        <w:rPr>
          <w:rFonts w:ascii="Arial" w:hAnsi="Arial" w:cs="Arial"/>
          <w:sz w:val="24"/>
          <w:szCs w:val="24"/>
        </w:rPr>
        <w:t>la nivelul anului școlar 2008-2009 se ating cele mai mari valori ale ratei abandonului școlar din mediul rural (15,4%) iar în anul școlar 2010-2011 cele mai mari valori din mediul urban (14,4%).</w:t>
      </w:r>
    </w:p>
    <w:p w:rsidR="00381CFF" w:rsidRPr="00073C85" w:rsidRDefault="001C1C34" w:rsidP="00073C85">
      <w:pPr>
        <w:spacing w:after="0" w:line="240" w:lineRule="auto"/>
        <w:jc w:val="both"/>
        <w:rPr>
          <w:rFonts w:ascii="Arial" w:eastAsia="Times New Roman" w:hAnsi="Arial" w:cs="Arial"/>
          <w:bCs/>
          <w:i/>
          <w:sz w:val="24"/>
          <w:szCs w:val="24"/>
          <w:lang w:val="en-US"/>
        </w:rPr>
      </w:pPr>
      <w:r w:rsidRPr="00073C85">
        <w:rPr>
          <w:rFonts w:ascii="Arial" w:eastAsia="Times New Roman" w:hAnsi="Arial" w:cs="Arial"/>
          <w:bCs/>
          <w:i/>
          <w:sz w:val="24"/>
          <w:szCs w:val="24"/>
          <w:lang w:val="en-US"/>
        </w:rPr>
        <w:t>6</w:t>
      </w:r>
      <w:r w:rsidR="00381CFF" w:rsidRPr="00073C85">
        <w:rPr>
          <w:rFonts w:ascii="Arial" w:eastAsia="Times New Roman" w:hAnsi="Arial" w:cs="Arial"/>
          <w:bCs/>
          <w:i/>
          <w:sz w:val="24"/>
          <w:szCs w:val="24"/>
          <w:lang w:val="en-US"/>
        </w:rPr>
        <w:t>.3.4.5. Rata abandonului şcolar în învăţământul liceal şi profesional</w:t>
      </w:r>
    </w:p>
    <w:p w:rsidR="00381CFF" w:rsidRPr="006A43DC" w:rsidRDefault="00381CFF" w:rsidP="00073C85">
      <w:pPr>
        <w:pStyle w:val="BodyText"/>
        <w:spacing w:after="0" w:line="240" w:lineRule="auto"/>
        <w:jc w:val="both"/>
        <w:rPr>
          <w:rFonts w:ascii="Arial" w:hAnsi="Arial" w:cs="Arial"/>
          <w:sz w:val="24"/>
          <w:szCs w:val="24"/>
        </w:rPr>
      </w:pPr>
      <w:r w:rsidRPr="006A43DC">
        <w:rPr>
          <w:rFonts w:ascii="Arial" w:hAnsi="Arial" w:cs="Arial"/>
          <w:sz w:val="24"/>
          <w:szCs w:val="24"/>
        </w:rPr>
        <w:t>În perioada anilor şcolari 2010/2011-2014/2015, la nivel național, rata abandonului şcolar în învățământul liceal și profesional, înregistrează o valoare totală maximă de 4,2% în intervalul 2010-2012  şi cu un minim de 2,9% doi ani consecutivi după care urmează o creștere cu 1,3 puncte procentuale (anul școlar 2014-2015).</w:t>
      </w:r>
    </w:p>
    <w:p w:rsidR="00381CFF" w:rsidRPr="006A43DC" w:rsidRDefault="00381CFF" w:rsidP="00073C85">
      <w:pPr>
        <w:pStyle w:val="BodyText"/>
        <w:spacing w:after="0" w:line="240" w:lineRule="auto"/>
        <w:jc w:val="both"/>
        <w:rPr>
          <w:rFonts w:ascii="Arial" w:hAnsi="Arial" w:cs="Arial"/>
          <w:sz w:val="24"/>
          <w:szCs w:val="24"/>
        </w:rPr>
      </w:pPr>
      <w:r w:rsidRPr="006A43DC">
        <w:rPr>
          <w:rFonts w:ascii="Arial" w:hAnsi="Arial" w:cs="Arial"/>
          <w:sz w:val="24"/>
          <w:szCs w:val="24"/>
        </w:rPr>
        <w:t>La nivel regional, în perioada analizată, rata abandonului școlar în învăţământul liceal şi profesional, are următoarea evoluție: un maxim de 4,5% în 2011-2012  pornind de la 4,4% în anul şcolar 2010/2011 şi cu un minim de 2,7% în anul şcolar 2013/2014. Urmează o creștere de 1,7 % de la 2,7% în 2013-2014 la 4,4% în 2014-2015.</w:t>
      </w:r>
    </w:p>
    <w:p w:rsidR="00381CFF" w:rsidRPr="006A43DC" w:rsidRDefault="00381CFF" w:rsidP="00073C85">
      <w:pPr>
        <w:pStyle w:val="BodyText"/>
        <w:spacing w:after="0" w:line="240" w:lineRule="auto"/>
        <w:jc w:val="both"/>
        <w:rPr>
          <w:rFonts w:ascii="Arial" w:hAnsi="Arial" w:cs="Arial"/>
          <w:sz w:val="24"/>
          <w:szCs w:val="24"/>
        </w:rPr>
      </w:pPr>
      <w:r w:rsidRPr="006A43DC">
        <w:rPr>
          <w:rFonts w:ascii="Arial" w:hAnsi="Arial" w:cs="Arial"/>
          <w:sz w:val="24"/>
          <w:szCs w:val="24"/>
        </w:rPr>
        <w:t xml:space="preserve">Analiza pe sexe arată o situație mai bună a fetelor de-a lungul întregului interval de timp analizat. </w:t>
      </w:r>
    </w:p>
    <w:p w:rsidR="00381CFF" w:rsidRPr="006A43DC" w:rsidRDefault="00381CFF" w:rsidP="00073C85">
      <w:pPr>
        <w:pStyle w:val="BodyText"/>
        <w:spacing w:after="0" w:line="240" w:lineRule="auto"/>
        <w:jc w:val="both"/>
        <w:rPr>
          <w:rFonts w:ascii="Arial" w:hAnsi="Arial" w:cs="Arial"/>
          <w:sz w:val="24"/>
          <w:szCs w:val="24"/>
        </w:rPr>
      </w:pPr>
      <w:r w:rsidRPr="006A43DC">
        <w:rPr>
          <w:rFonts w:ascii="Arial" w:hAnsi="Arial" w:cs="Arial"/>
          <w:sz w:val="24"/>
          <w:szCs w:val="24"/>
        </w:rPr>
        <w:t>De-a lungul perioadei de analiză, există decalaj între mediul urban și cel rural. Cea mai spectaculoasă evoluție se înregistrează în mediul rural când de la 3,8% (an școlar 2010-2011) rata abandonului școlar crește cu 8,7% (12,5% în anul școlar 2011-2012) după care urmează o scădere bruscă de 12,4% (0,1% în 2012-2013).</w:t>
      </w:r>
    </w:p>
    <w:p w:rsidR="00381CFF" w:rsidRPr="00073C85" w:rsidRDefault="001C1C34" w:rsidP="00073C85">
      <w:pPr>
        <w:spacing w:after="0" w:line="240" w:lineRule="auto"/>
        <w:jc w:val="both"/>
        <w:rPr>
          <w:rFonts w:ascii="Arial" w:eastAsia="Times New Roman" w:hAnsi="Arial" w:cs="Arial"/>
          <w:bCs/>
          <w:i/>
          <w:sz w:val="24"/>
          <w:szCs w:val="24"/>
          <w:lang w:val="en-US"/>
        </w:rPr>
      </w:pPr>
      <w:r w:rsidRPr="00073C85">
        <w:rPr>
          <w:rFonts w:ascii="Arial" w:eastAsia="Times New Roman" w:hAnsi="Arial" w:cs="Arial"/>
          <w:bCs/>
          <w:i/>
          <w:sz w:val="24"/>
          <w:szCs w:val="24"/>
          <w:lang w:val="en-US"/>
        </w:rPr>
        <w:t>6</w:t>
      </w:r>
      <w:r w:rsidR="00381CFF" w:rsidRPr="00073C85">
        <w:rPr>
          <w:rFonts w:ascii="Arial" w:eastAsia="Times New Roman" w:hAnsi="Arial" w:cs="Arial"/>
          <w:bCs/>
          <w:i/>
          <w:sz w:val="24"/>
          <w:szCs w:val="24"/>
          <w:lang w:val="en-US"/>
        </w:rPr>
        <w:t>.3.4.6. Rata abandonului şcolar în învăţământul postliceal</w:t>
      </w:r>
    </w:p>
    <w:p w:rsidR="00381CFF" w:rsidRPr="006A43DC" w:rsidRDefault="00381CFF" w:rsidP="00073C85">
      <w:pPr>
        <w:spacing w:after="0" w:line="240" w:lineRule="auto"/>
        <w:jc w:val="both"/>
        <w:rPr>
          <w:rFonts w:ascii="Arial" w:hAnsi="Arial" w:cs="Arial"/>
          <w:sz w:val="24"/>
          <w:szCs w:val="24"/>
        </w:rPr>
      </w:pPr>
      <w:r w:rsidRPr="006A43DC">
        <w:rPr>
          <w:rFonts w:ascii="Arial" w:hAnsi="Arial" w:cs="Arial"/>
          <w:sz w:val="24"/>
          <w:szCs w:val="24"/>
        </w:rPr>
        <w:t>La nivelul Regiunii Vest, pe întreaga perioadă analizată evoluția ratei abandonului școlar în învățământul postliceal înregistrează o scădere cu 1,3% de la 11,7% în anul școlar 2006-2007 la 10,4% în anul școlar 2014-2015. Valoarea minimă înregistrată este de 2,4% în anul școlar 2007-2008.</w:t>
      </w:r>
    </w:p>
    <w:p w:rsidR="00381CFF" w:rsidRPr="006A43DC" w:rsidRDefault="00381CFF" w:rsidP="00073C85">
      <w:pPr>
        <w:spacing w:after="0" w:line="240" w:lineRule="auto"/>
        <w:jc w:val="both"/>
        <w:rPr>
          <w:rFonts w:ascii="Arial" w:hAnsi="Arial" w:cs="Arial"/>
          <w:sz w:val="24"/>
          <w:szCs w:val="24"/>
        </w:rPr>
      </w:pPr>
      <w:r w:rsidRPr="006A43DC">
        <w:rPr>
          <w:rFonts w:ascii="Arial" w:hAnsi="Arial" w:cs="Arial"/>
          <w:sz w:val="24"/>
          <w:szCs w:val="24"/>
        </w:rPr>
        <w:t xml:space="preserve">În perioada 2006-2007/2008-2009 și în anul 2014-2015 rata abandonului înregistrează valori mai ridicate în rândul populației masculine. Rata abandonului în rândul bărbaților înregistrează o scădere şi în anul școlar 2010-2011 atinge cel mai scăzut nivel din perioada de analiză: 1,9%. </w:t>
      </w:r>
    </w:p>
    <w:p w:rsidR="00381CFF" w:rsidRPr="006A43DC" w:rsidRDefault="00381CFF" w:rsidP="00073C85">
      <w:pPr>
        <w:spacing w:after="0" w:line="240" w:lineRule="auto"/>
        <w:jc w:val="both"/>
        <w:rPr>
          <w:rFonts w:ascii="Arial" w:hAnsi="Arial" w:cs="Arial"/>
          <w:sz w:val="24"/>
          <w:szCs w:val="24"/>
        </w:rPr>
      </w:pPr>
      <w:r w:rsidRPr="006A43DC">
        <w:rPr>
          <w:rFonts w:ascii="Arial" w:hAnsi="Arial" w:cs="Arial"/>
          <w:sz w:val="24"/>
          <w:szCs w:val="24"/>
        </w:rPr>
        <w:t>La nivel regional, anul școlar 2006-2007 este singurul din perioada analizată, în care se înregistrează valori ale ratei abandonului școlar în mediul rural (44,4%).</w:t>
      </w:r>
    </w:p>
    <w:p w:rsidR="001937AF" w:rsidRPr="006A43DC" w:rsidRDefault="001937AF" w:rsidP="000C6A67">
      <w:pPr>
        <w:spacing w:after="0" w:line="240" w:lineRule="auto"/>
        <w:jc w:val="both"/>
        <w:rPr>
          <w:rFonts w:ascii="Arial" w:hAnsi="Arial" w:cs="Arial"/>
          <w:sz w:val="24"/>
          <w:szCs w:val="24"/>
          <w:lang w:eastAsia="ro-RO"/>
        </w:rPr>
      </w:pPr>
    </w:p>
    <w:p w:rsidR="00406DCE" w:rsidRPr="00073C85" w:rsidRDefault="00FE3CCA" w:rsidP="000C6A67">
      <w:pPr>
        <w:pStyle w:val="Heading3"/>
        <w:spacing w:before="0" w:line="240" w:lineRule="auto"/>
        <w:jc w:val="both"/>
        <w:rPr>
          <w:rFonts w:ascii="Arial" w:hAnsi="Arial" w:cs="Arial"/>
          <w:b w:val="0"/>
          <w:i/>
          <w:color w:val="auto"/>
          <w:sz w:val="24"/>
          <w:szCs w:val="24"/>
          <w:lang w:eastAsia="ro-RO"/>
        </w:rPr>
      </w:pPr>
      <w:bookmarkStart w:id="110" w:name="_Toc488066079"/>
      <w:r w:rsidRPr="00073C85">
        <w:rPr>
          <w:rFonts w:ascii="Arial" w:hAnsi="Arial" w:cs="Arial"/>
          <w:b w:val="0"/>
          <w:i/>
          <w:color w:val="auto"/>
          <w:sz w:val="24"/>
          <w:szCs w:val="24"/>
          <w:lang w:eastAsia="ro-RO"/>
        </w:rPr>
        <w:t>6.3</w:t>
      </w:r>
      <w:r w:rsidR="00406DCE" w:rsidRPr="00073C85">
        <w:rPr>
          <w:rFonts w:ascii="Arial" w:hAnsi="Arial" w:cs="Arial"/>
          <w:b w:val="0"/>
          <w:i/>
          <w:color w:val="auto"/>
          <w:sz w:val="24"/>
          <w:szCs w:val="24"/>
          <w:lang w:eastAsia="ro-RO"/>
        </w:rPr>
        <w:t>.6. Rata de părăsire timpurie a sistemului de educaţie</w:t>
      </w:r>
      <w:r w:rsidR="003F18E0" w:rsidRPr="00073C85">
        <w:rPr>
          <w:rStyle w:val="FootnoteReference"/>
          <w:rFonts w:ascii="Arial" w:hAnsi="Arial" w:cs="Arial"/>
          <w:b w:val="0"/>
          <w:i/>
          <w:color w:val="auto"/>
          <w:sz w:val="24"/>
          <w:szCs w:val="24"/>
          <w:lang w:eastAsia="ro-RO"/>
        </w:rPr>
        <w:footnoteReference w:id="66"/>
      </w:r>
      <w:bookmarkEnd w:id="110"/>
    </w:p>
    <w:p w:rsidR="006747D0" w:rsidRPr="006A43DC" w:rsidRDefault="006747D0" w:rsidP="000C6A67">
      <w:pPr>
        <w:spacing w:after="0" w:line="240" w:lineRule="auto"/>
        <w:jc w:val="both"/>
        <w:rPr>
          <w:rFonts w:ascii="Arial" w:eastAsia="Times New Roman" w:hAnsi="Arial" w:cs="Arial"/>
          <w:bCs/>
          <w:sz w:val="24"/>
          <w:szCs w:val="24"/>
          <w:lang w:val="en-US"/>
        </w:rPr>
      </w:pPr>
      <w:r w:rsidRPr="006A43DC">
        <w:rPr>
          <w:rFonts w:ascii="Arial" w:eastAsia="Times New Roman" w:hAnsi="Arial" w:cs="Arial"/>
          <w:bCs/>
          <w:sz w:val="24"/>
          <w:szCs w:val="24"/>
          <w:lang w:val="en-US"/>
        </w:rPr>
        <w:t>Rata de parasire timpurie a sistemului educational a tinerilor (18-24 ani)</w:t>
      </w:r>
      <w:r w:rsidRPr="006A43DC">
        <w:rPr>
          <w:rFonts w:ascii="Arial" w:eastAsia="Times New Roman" w:hAnsi="Arial" w:cs="Arial"/>
          <w:bCs/>
          <w:sz w:val="24"/>
          <w:szCs w:val="24"/>
          <w:vertAlign w:val="superscript"/>
          <w:lang w:val="en-US"/>
        </w:rPr>
        <w:t>*)</w:t>
      </w:r>
      <w:r w:rsidRPr="006A43DC">
        <w:rPr>
          <w:rFonts w:ascii="Arial" w:hAnsi="Arial" w:cs="Arial"/>
          <w:sz w:val="24"/>
          <w:szCs w:val="24"/>
        </w:rPr>
        <w:t xml:space="preserve"> </w:t>
      </w:r>
      <w:r w:rsidRPr="006A43DC">
        <w:rPr>
          <w:rFonts w:ascii="Arial" w:eastAsia="Times New Roman" w:hAnsi="Arial" w:cs="Arial"/>
          <w:bCs/>
          <w:sz w:val="24"/>
          <w:szCs w:val="24"/>
          <w:vertAlign w:val="superscript"/>
          <w:lang w:val="en-US"/>
        </w:rPr>
        <w:t>Proportia populatiei de 18-24 ani cu nivel de educatie elementar (scazut) care nu urmeaza nicio forma de instruire in ultimele patru saptamani precedente interviului, in total populatie de 18-24 ani</w:t>
      </w:r>
    </w:p>
    <w:p w:rsidR="006747D0" w:rsidRPr="006A43DC" w:rsidRDefault="006747D0" w:rsidP="000C6A67">
      <w:pPr>
        <w:shd w:val="clear" w:color="auto" w:fill="FFFFFF"/>
        <w:spacing w:after="0" w:line="240" w:lineRule="auto"/>
        <w:jc w:val="both"/>
        <w:rPr>
          <w:rFonts w:ascii="Arial" w:hAnsi="Arial" w:cs="Arial"/>
          <w:sz w:val="24"/>
          <w:szCs w:val="24"/>
        </w:rPr>
      </w:pPr>
      <w:r w:rsidRPr="006A43DC">
        <w:rPr>
          <w:rFonts w:ascii="Arial" w:hAnsi="Arial" w:cs="Arial"/>
          <w:sz w:val="24"/>
          <w:szCs w:val="24"/>
          <w:lang w:val="en-US"/>
        </w:rPr>
        <w:t>In România în perioada 2002-2015</w:t>
      </w:r>
      <w:r w:rsidR="004E0A9A">
        <w:rPr>
          <w:rFonts w:ascii="Arial" w:hAnsi="Arial" w:cs="Arial"/>
          <w:sz w:val="24"/>
          <w:szCs w:val="24"/>
          <w:lang w:val="en-US"/>
        </w:rPr>
        <w:t xml:space="preserve">, </w:t>
      </w:r>
      <w:r w:rsidRPr="006A43DC">
        <w:rPr>
          <w:rFonts w:ascii="Arial" w:hAnsi="Arial" w:cs="Arial"/>
          <w:sz w:val="24"/>
          <w:szCs w:val="24"/>
          <w:lang w:val="en-US"/>
        </w:rPr>
        <w:t xml:space="preserve">rata de părăsire timpurie a școlii a scăzut cu 6 puncte procentuale de la 23 %  la 17,3 %. In anul 2008 s-a înregistrat cea mai scăzută rată de părăsire timpurie a școlii 15,9%. România și-a propus să atingă ținta de 11,3% în 2020. </w:t>
      </w:r>
      <w:r w:rsidRPr="006A43DC">
        <w:rPr>
          <w:rFonts w:ascii="Arial" w:hAnsi="Arial" w:cs="Arial"/>
          <w:sz w:val="24"/>
          <w:szCs w:val="24"/>
        </w:rPr>
        <w:t xml:space="preserve">In general, ponderile înregistrate la nivelul țării noastre  sunt cu 1,7% până la 6,4% peste media țărilor din Uniunea Europeană. </w:t>
      </w:r>
    </w:p>
    <w:p w:rsidR="006747D0" w:rsidRPr="006A43DC" w:rsidRDefault="006747D0" w:rsidP="000C6A67">
      <w:pPr>
        <w:shd w:val="clear" w:color="auto" w:fill="FFFFFF"/>
        <w:spacing w:after="0" w:line="240" w:lineRule="auto"/>
        <w:jc w:val="both"/>
        <w:rPr>
          <w:rFonts w:ascii="Arial" w:hAnsi="Arial" w:cs="Arial"/>
          <w:sz w:val="24"/>
          <w:szCs w:val="24"/>
        </w:rPr>
      </w:pPr>
      <w:r w:rsidRPr="006A43DC">
        <w:rPr>
          <w:rFonts w:ascii="Arial" w:hAnsi="Arial" w:cs="Arial"/>
          <w:sz w:val="24"/>
          <w:szCs w:val="24"/>
        </w:rPr>
        <w:t xml:space="preserve">La nivelul Regiunii Vest </w:t>
      </w:r>
      <w:r w:rsidRPr="006A43DC">
        <w:rPr>
          <w:rFonts w:ascii="Arial" w:eastAsia="Times New Roman" w:hAnsi="Arial" w:cs="Arial"/>
          <w:bCs/>
          <w:sz w:val="24"/>
          <w:szCs w:val="24"/>
          <w:lang w:val="en-US"/>
        </w:rPr>
        <w:t>rata de părăsire timpurie a sistemului educațional a tinerilor (18-24 ani)</w:t>
      </w:r>
      <w:r w:rsidRPr="006A43DC">
        <w:rPr>
          <w:rFonts w:ascii="Arial" w:eastAsia="Times New Roman" w:hAnsi="Arial" w:cs="Arial"/>
          <w:bCs/>
          <w:sz w:val="24"/>
          <w:szCs w:val="24"/>
          <w:vertAlign w:val="superscript"/>
          <w:lang w:val="en-US"/>
        </w:rPr>
        <w:t xml:space="preserve"> </w:t>
      </w:r>
      <w:r w:rsidRPr="006A43DC">
        <w:rPr>
          <w:rFonts w:ascii="Arial" w:hAnsi="Arial" w:cs="Arial"/>
          <w:sz w:val="24"/>
          <w:szCs w:val="24"/>
        </w:rPr>
        <w:t xml:space="preserve"> a scăzut, în perioada supusă analizei, cu 6,7 puncte procentuale. </w:t>
      </w:r>
    </w:p>
    <w:p w:rsidR="006747D0" w:rsidRPr="006A43DC" w:rsidRDefault="006747D0" w:rsidP="000C6A67">
      <w:pPr>
        <w:shd w:val="clear" w:color="auto" w:fill="FFFFFF"/>
        <w:spacing w:after="0" w:line="240" w:lineRule="auto"/>
        <w:jc w:val="both"/>
        <w:rPr>
          <w:rFonts w:ascii="Arial" w:hAnsi="Arial" w:cs="Arial"/>
          <w:sz w:val="24"/>
          <w:szCs w:val="24"/>
        </w:rPr>
      </w:pPr>
      <w:r w:rsidRPr="006A43DC">
        <w:rPr>
          <w:rFonts w:ascii="Arial" w:hAnsi="Arial" w:cs="Arial"/>
          <w:sz w:val="24"/>
          <w:szCs w:val="24"/>
        </w:rPr>
        <w:lastRenderedPageBreak/>
        <w:t>Cea mai mare scădere s-a înregistrat în Regiunea Nord-Vest (12,1puncte procentuale) urmată de Bucureși –Ilfov (7 puncte procentuale) pe locul trei situându-se Regiunea Nord-Est și Regiunea Vest (6,7 puncte procentuale). Singura regiune care a înregistrat o creștere a ratei de părăsire timpurie a sistemului educațional a tinerilor (18-24 ani) este Regiunea Centru (0,3 puncte procentuale).</w:t>
      </w:r>
    </w:p>
    <w:p w:rsidR="00073C85" w:rsidRPr="00373E67" w:rsidRDefault="006747D0" w:rsidP="00373E67">
      <w:pPr>
        <w:shd w:val="clear" w:color="auto" w:fill="FFFFFF"/>
        <w:spacing w:after="0" w:line="240" w:lineRule="auto"/>
        <w:jc w:val="both"/>
        <w:rPr>
          <w:rFonts w:ascii="Arial" w:hAnsi="Arial" w:cs="Arial"/>
          <w:b/>
          <w:sz w:val="24"/>
          <w:szCs w:val="24"/>
        </w:rPr>
      </w:pPr>
      <w:r w:rsidRPr="006747D0">
        <w:rPr>
          <w:rFonts w:ascii="Arial" w:hAnsi="Arial" w:cs="Arial"/>
          <w:b/>
          <w:sz w:val="24"/>
          <w:szCs w:val="24"/>
        </w:rPr>
        <w:t xml:space="preserve">Analizând valorile pentru Regiunea Vest, se observă că acestea se situează sub valoarea mediei naționale, iar în perioada 2008-2011 cu valori chiar sub media UE28. Însă în perioada 2011-2015 asistăm la o creștere a acestui indicator, chiar dacă ea se păstrează la o valoare mai mică decât media națională, ar fi util de analizat care sunt fenomenele din spatele acestei situații. </w:t>
      </w:r>
    </w:p>
    <w:p w:rsidR="00073C85" w:rsidRDefault="00073C85" w:rsidP="000C6A67">
      <w:pPr>
        <w:shd w:val="clear" w:color="auto" w:fill="FFFFFF"/>
        <w:spacing w:after="0" w:line="240" w:lineRule="auto"/>
        <w:jc w:val="center"/>
        <w:rPr>
          <w:rFonts w:ascii="Arial" w:hAnsi="Arial" w:cs="Arial"/>
        </w:rPr>
      </w:pPr>
    </w:p>
    <w:p w:rsidR="006747D0" w:rsidRPr="009B6A9D" w:rsidRDefault="00360521" w:rsidP="000C6A67">
      <w:pPr>
        <w:shd w:val="clear" w:color="auto" w:fill="FFFFFF"/>
        <w:spacing w:after="0" w:line="240" w:lineRule="auto"/>
        <w:jc w:val="center"/>
        <w:rPr>
          <w:rFonts w:ascii="Arial" w:hAnsi="Arial" w:cs="Arial"/>
        </w:rPr>
      </w:pPr>
      <w:r>
        <w:rPr>
          <w:rFonts w:ascii="Arial" w:hAnsi="Arial" w:cs="Arial"/>
        </w:rPr>
        <w:t>Figura 4</w:t>
      </w:r>
      <w:r w:rsidR="001714CD">
        <w:rPr>
          <w:rFonts w:ascii="Arial" w:hAnsi="Arial" w:cs="Arial"/>
        </w:rPr>
        <w:t>5</w:t>
      </w:r>
      <w:r w:rsidR="009B6A9D" w:rsidRPr="009B6A9D">
        <w:rPr>
          <w:rFonts w:ascii="Arial" w:hAnsi="Arial" w:cs="Arial"/>
        </w:rPr>
        <w:t>.</w:t>
      </w:r>
    </w:p>
    <w:p w:rsidR="006747D0" w:rsidRPr="003B143C" w:rsidRDefault="006747D0" w:rsidP="000C6A67">
      <w:pPr>
        <w:shd w:val="clear" w:color="auto" w:fill="FFFFFF"/>
        <w:spacing w:after="0" w:line="240" w:lineRule="auto"/>
        <w:jc w:val="both"/>
        <w:rPr>
          <w:rFonts w:eastAsia="Times New Roman"/>
          <w:color w:val="00B050"/>
          <w:lang w:val="en-US"/>
        </w:rPr>
      </w:pPr>
      <w:r w:rsidRPr="003B143C">
        <w:rPr>
          <w:rFonts w:eastAsia="Times New Roman"/>
          <w:noProof/>
          <w:color w:val="00B050"/>
          <w:lang w:val="en-US"/>
        </w:rPr>
        <w:drawing>
          <wp:inline distT="0" distB="0" distL="0" distR="0">
            <wp:extent cx="5966460" cy="2240280"/>
            <wp:effectExtent l="19050" t="0" r="15240" b="7620"/>
            <wp:docPr id="49" name="Diagramă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rsidR="001937AF" w:rsidRPr="00FE2A1A" w:rsidRDefault="006747D0" w:rsidP="00284057">
      <w:pPr>
        <w:spacing w:after="0" w:line="240" w:lineRule="auto"/>
        <w:jc w:val="center"/>
        <w:rPr>
          <w:rFonts w:ascii="Arial" w:eastAsia="Times New Roman" w:hAnsi="Arial" w:cs="Arial"/>
          <w:bCs/>
        </w:rPr>
      </w:pPr>
      <w:r w:rsidRPr="00FE2A1A">
        <w:rPr>
          <w:rFonts w:ascii="Arial" w:eastAsia="Times New Roman" w:hAnsi="Arial" w:cs="Arial"/>
          <w:bCs/>
        </w:rPr>
        <w:t>Sursa: EUROSTAT[edat_lfse_16]</w:t>
      </w:r>
    </w:p>
    <w:p w:rsidR="00406DCE" w:rsidRPr="00073C85" w:rsidRDefault="00FE3CCA" w:rsidP="000C6A67">
      <w:pPr>
        <w:pStyle w:val="Heading3"/>
        <w:spacing w:before="0" w:line="240" w:lineRule="auto"/>
        <w:jc w:val="both"/>
        <w:rPr>
          <w:rFonts w:ascii="Arial" w:hAnsi="Arial" w:cs="Arial"/>
          <w:b w:val="0"/>
          <w:i/>
          <w:color w:val="auto"/>
          <w:sz w:val="24"/>
          <w:szCs w:val="24"/>
          <w:lang w:eastAsia="ro-RO"/>
        </w:rPr>
      </w:pPr>
      <w:bookmarkStart w:id="111" w:name="_Toc488066080"/>
      <w:r w:rsidRPr="00073C85">
        <w:rPr>
          <w:rFonts w:ascii="Arial" w:hAnsi="Arial" w:cs="Arial"/>
          <w:b w:val="0"/>
          <w:i/>
          <w:color w:val="auto"/>
          <w:sz w:val="24"/>
          <w:szCs w:val="24"/>
          <w:lang w:eastAsia="ro-RO"/>
        </w:rPr>
        <w:t>6.3.7</w:t>
      </w:r>
      <w:r w:rsidR="00406DCE" w:rsidRPr="00073C85">
        <w:rPr>
          <w:rFonts w:ascii="Arial" w:hAnsi="Arial" w:cs="Arial"/>
          <w:b w:val="0"/>
          <w:i/>
          <w:color w:val="auto"/>
          <w:sz w:val="24"/>
          <w:szCs w:val="24"/>
          <w:lang w:eastAsia="ro-RO"/>
        </w:rPr>
        <w:t>. Procentul elevilor cu nivel scăzut al competenţelor (PISA)</w:t>
      </w:r>
      <w:r w:rsidR="00D017D0" w:rsidRPr="00073C85">
        <w:rPr>
          <w:rStyle w:val="FootnoteReference"/>
          <w:rFonts w:ascii="Arial" w:hAnsi="Arial" w:cs="Arial"/>
          <w:b w:val="0"/>
          <w:i/>
          <w:color w:val="auto"/>
          <w:sz w:val="24"/>
          <w:szCs w:val="24"/>
          <w:lang w:eastAsia="ro-RO"/>
        </w:rPr>
        <w:footnoteReference w:id="67"/>
      </w:r>
      <w:bookmarkEnd w:id="111"/>
    </w:p>
    <w:p w:rsidR="00982F2C" w:rsidRDefault="001C0FC3" w:rsidP="000C6A67">
      <w:pPr>
        <w:spacing w:after="0" w:line="240" w:lineRule="auto"/>
        <w:jc w:val="both"/>
        <w:rPr>
          <w:rFonts w:ascii="Arial" w:hAnsi="Arial" w:cs="Arial"/>
          <w:noProof/>
          <w:sz w:val="24"/>
          <w:szCs w:val="24"/>
          <w:lang w:eastAsia="ro-RO"/>
        </w:rPr>
      </w:pPr>
      <w:r>
        <w:rPr>
          <w:rFonts w:ascii="Arial" w:hAnsi="Arial" w:cs="Arial"/>
          <w:sz w:val="24"/>
          <w:szCs w:val="24"/>
          <w:lang w:eastAsia="ro-RO"/>
        </w:rPr>
        <w:t xml:space="preserve">Datele privind competențele elevilor în citire au o evoluție de descreștere a ponderii celor sub nivelul 2, de la 40,4% în 2009 la 38,6% în 2015, </w:t>
      </w:r>
      <w:r w:rsidRPr="00073C85">
        <w:rPr>
          <w:rFonts w:ascii="Arial" w:hAnsi="Arial" w:cs="Arial"/>
          <w:noProof/>
          <w:sz w:val="24"/>
          <w:szCs w:val="24"/>
          <w:lang w:eastAsia="ro-RO"/>
        </w:rPr>
        <w:t>devansând doar Bulgaria</w:t>
      </w:r>
      <w:r w:rsidR="00982F2C">
        <w:rPr>
          <w:rFonts w:ascii="Arial" w:hAnsi="Arial" w:cs="Arial"/>
          <w:noProof/>
          <w:sz w:val="24"/>
          <w:szCs w:val="24"/>
          <w:lang w:eastAsia="ro-RO"/>
        </w:rPr>
        <w:t xml:space="preserve"> </w:t>
      </w:r>
    </w:p>
    <w:p w:rsidR="00DD5F85" w:rsidRPr="00073C85" w:rsidRDefault="001C0FC3" w:rsidP="000C6A67">
      <w:pPr>
        <w:spacing w:after="0" w:line="240" w:lineRule="auto"/>
        <w:jc w:val="both"/>
        <w:rPr>
          <w:rFonts w:ascii="Arial" w:hAnsi="Arial" w:cs="Arial"/>
          <w:noProof/>
          <w:sz w:val="24"/>
          <w:szCs w:val="24"/>
          <w:lang w:eastAsia="ro-RO"/>
        </w:rPr>
      </w:pPr>
      <w:r w:rsidRPr="00073C85">
        <w:rPr>
          <w:rFonts w:ascii="Arial" w:hAnsi="Arial" w:cs="Arial"/>
          <w:noProof/>
          <w:sz w:val="24"/>
          <w:szCs w:val="24"/>
          <w:lang w:eastAsia="ro-RO"/>
        </w:rPr>
        <w:t xml:space="preserve">( 41,5%) </w:t>
      </w:r>
      <w:r w:rsidRPr="00073C85">
        <w:rPr>
          <w:rFonts w:ascii="Arial" w:hAnsi="Arial" w:cs="Arial"/>
          <w:sz w:val="24"/>
          <w:szCs w:val="24"/>
          <w:lang w:eastAsia="ro-RO"/>
        </w:rPr>
        <w:t xml:space="preserve">valori mult peste media Eu și peste ținta asumată. </w:t>
      </w:r>
    </w:p>
    <w:p w:rsidR="00073C85" w:rsidRDefault="001C0FC3" w:rsidP="00073C85">
      <w:pPr>
        <w:spacing w:after="0" w:line="240" w:lineRule="auto"/>
        <w:jc w:val="both"/>
        <w:rPr>
          <w:rFonts w:ascii="Arial" w:hAnsi="Arial" w:cs="Arial"/>
          <w:noProof/>
          <w:sz w:val="24"/>
          <w:szCs w:val="24"/>
          <w:lang w:eastAsia="ro-RO"/>
        </w:rPr>
      </w:pPr>
      <w:r w:rsidRPr="00073C85">
        <w:rPr>
          <w:rFonts w:ascii="Arial" w:hAnsi="Arial" w:cs="Arial"/>
          <w:sz w:val="24"/>
          <w:szCs w:val="24"/>
          <w:lang w:eastAsia="ro-RO"/>
        </w:rPr>
        <w:t xml:space="preserve">La matematică situația este similară, cu valori de 52,7% în 2006 și 39,9% în 2015, </w:t>
      </w:r>
      <w:r w:rsidRPr="00073C85">
        <w:rPr>
          <w:rFonts w:ascii="Arial" w:hAnsi="Arial" w:cs="Arial"/>
          <w:noProof/>
          <w:sz w:val="24"/>
          <w:szCs w:val="24"/>
          <w:lang w:eastAsia="ro-RO"/>
        </w:rPr>
        <w:t>devansând doar Cipru (42,1%) și Bulgaria ( 42,6%)</w:t>
      </w:r>
      <w:r w:rsidR="00982F2C">
        <w:rPr>
          <w:rFonts w:ascii="Arial" w:hAnsi="Arial" w:cs="Arial"/>
          <w:noProof/>
          <w:sz w:val="24"/>
          <w:szCs w:val="24"/>
          <w:lang w:eastAsia="ro-RO"/>
        </w:rPr>
        <w:t>.</w:t>
      </w:r>
      <w:r w:rsidRPr="00073C85">
        <w:rPr>
          <w:rFonts w:ascii="Arial" w:hAnsi="Arial" w:cs="Arial"/>
          <w:noProof/>
          <w:sz w:val="24"/>
          <w:szCs w:val="24"/>
          <w:lang w:eastAsia="ro-RO"/>
        </w:rPr>
        <w:t xml:space="preserve"> </w:t>
      </w:r>
    </w:p>
    <w:p w:rsidR="00373E67" w:rsidRPr="00073C85" w:rsidRDefault="00373E67" w:rsidP="00373E67">
      <w:pPr>
        <w:spacing w:after="0" w:line="240" w:lineRule="auto"/>
        <w:jc w:val="both"/>
        <w:rPr>
          <w:rFonts w:ascii="Arial" w:hAnsi="Arial" w:cs="Arial"/>
          <w:noProof/>
          <w:sz w:val="24"/>
          <w:szCs w:val="24"/>
          <w:lang w:eastAsia="ro-RO"/>
        </w:rPr>
      </w:pPr>
      <w:r w:rsidRPr="00073C85">
        <w:rPr>
          <w:rFonts w:ascii="Arial" w:hAnsi="Arial" w:cs="Arial"/>
          <w:noProof/>
          <w:sz w:val="24"/>
          <w:szCs w:val="24"/>
          <w:lang w:eastAsia="ro-RO"/>
        </w:rPr>
        <w:t>La științe tendința este tot descrescătoare de la 46,9% în 2006 la 38,5 în 2015, devansând doar Cipru (42,1%)</w:t>
      </w:r>
      <w:r w:rsidR="00982F2C">
        <w:rPr>
          <w:rFonts w:ascii="Arial" w:hAnsi="Arial" w:cs="Arial"/>
          <w:noProof/>
          <w:sz w:val="24"/>
          <w:szCs w:val="24"/>
          <w:lang w:eastAsia="ro-RO"/>
        </w:rPr>
        <w:t>.</w:t>
      </w:r>
    </w:p>
    <w:p w:rsidR="00EC4405" w:rsidRDefault="00373E67" w:rsidP="00073C85">
      <w:pPr>
        <w:spacing w:after="0" w:line="240" w:lineRule="auto"/>
        <w:jc w:val="both"/>
        <w:rPr>
          <w:rFonts w:ascii="Arial" w:hAnsi="Arial" w:cs="Arial"/>
          <w:sz w:val="24"/>
          <w:szCs w:val="24"/>
          <w:lang w:eastAsia="ro-RO"/>
        </w:rPr>
      </w:pPr>
      <w:r w:rsidRPr="005B5E0D">
        <w:rPr>
          <w:rFonts w:ascii="Arial" w:hAnsi="Arial" w:cs="Arial"/>
          <w:sz w:val="24"/>
          <w:szCs w:val="24"/>
          <w:lang w:eastAsia="ro-RO"/>
        </w:rPr>
        <w:t>Elevii care obțin aceste rezultate la testul PISA, au șanse mari de a nu reuși la examenul național de evaluare, și majoritatea lor se vor îndrepta către IPT; acest fenomen ne arată că este necesară o intervenție suplimentară din partea școlilor pentru a remedia acest deficit de competențe de bază, care sunt absolut necesare pentru dobandirea unie calificări și succes pe piața muncii.</w:t>
      </w:r>
    </w:p>
    <w:p w:rsidR="00073C85" w:rsidRPr="00073C85" w:rsidRDefault="00073C85" w:rsidP="00073C85">
      <w:pPr>
        <w:shd w:val="clear" w:color="auto" w:fill="FFFFFF"/>
        <w:spacing w:after="0" w:line="240" w:lineRule="auto"/>
        <w:jc w:val="center"/>
        <w:rPr>
          <w:rFonts w:ascii="Arial" w:hAnsi="Arial" w:cs="Arial"/>
        </w:rPr>
      </w:pPr>
      <w:r>
        <w:rPr>
          <w:rFonts w:ascii="Arial" w:hAnsi="Arial" w:cs="Arial"/>
        </w:rPr>
        <w:t>Figura 4</w:t>
      </w:r>
      <w:r w:rsidR="001714CD">
        <w:rPr>
          <w:rFonts w:ascii="Arial" w:hAnsi="Arial" w:cs="Arial"/>
        </w:rPr>
        <w:t>6</w:t>
      </w:r>
      <w:r w:rsidRPr="009B6A9D">
        <w:rPr>
          <w:rFonts w:ascii="Arial" w:hAnsi="Arial" w:cs="Arial"/>
        </w:rPr>
        <w:t>.</w:t>
      </w:r>
      <w:r>
        <w:rPr>
          <w:rFonts w:ascii="Arial" w:hAnsi="Arial" w:cs="Arial"/>
        </w:rPr>
        <w:t xml:space="preserve">                                                                    </w:t>
      </w:r>
      <w:r w:rsidRPr="00073C85">
        <w:rPr>
          <w:rFonts w:ascii="Arial" w:hAnsi="Arial" w:cs="Arial"/>
        </w:rPr>
        <w:t xml:space="preserve"> </w:t>
      </w:r>
      <w:r>
        <w:rPr>
          <w:rFonts w:ascii="Arial" w:hAnsi="Arial" w:cs="Arial"/>
        </w:rPr>
        <w:t>Figura 4</w:t>
      </w:r>
      <w:r w:rsidR="001714CD">
        <w:rPr>
          <w:rFonts w:ascii="Arial" w:hAnsi="Arial" w:cs="Arial"/>
        </w:rPr>
        <w:t>7</w:t>
      </w:r>
      <w:r>
        <w:rPr>
          <w:rFonts w:ascii="Arial" w:hAnsi="Arial" w:cs="Arial"/>
        </w:rPr>
        <w:t>.</w:t>
      </w:r>
    </w:p>
    <w:p w:rsidR="001937AF" w:rsidRDefault="001C0FC3" w:rsidP="000C6A67">
      <w:pPr>
        <w:spacing w:after="0" w:line="240" w:lineRule="auto"/>
        <w:jc w:val="both"/>
        <w:rPr>
          <w:noProof/>
          <w:lang w:eastAsia="ro-RO"/>
        </w:rPr>
      </w:pPr>
      <w:r w:rsidRPr="001C0FC3">
        <w:rPr>
          <w:rFonts w:ascii="Arial" w:hAnsi="Arial" w:cs="Arial"/>
          <w:noProof/>
          <w:sz w:val="24"/>
          <w:szCs w:val="24"/>
          <w:lang w:val="en-US"/>
        </w:rPr>
        <w:drawing>
          <wp:inline distT="0" distB="0" distL="0" distR="0">
            <wp:extent cx="2773680" cy="1592580"/>
            <wp:effectExtent l="19050" t="0" r="26670" b="7620"/>
            <wp:docPr id="5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r w:rsidRPr="001C0FC3">
        <w:rPr>
          <w:noProof/>
          <w:lang w:eastAsia="ro-RO"/>
        </w:rPr>
        <w:t xml:space="preserve"> </w:t>
      </w:r>
      <w:r w:rsidRPr="001C0FC3">
        <w:rPr>
          <w:rFonts w:ascii="Arial" w:hAnsi="Arial" w:cs="Arial"/>
          <w:noProof/>
          <w:color w:val="C00000"/>
          <w:sz w:val="24"/>
          <w:szCs w:val="24"/>
          <w:lang w:val="en-US"/>
        </w:rPr>
        <w:drawing>
          <wp:inline distT="0" distB="0" distL="0" distR="0">
            <wp:extent cx="2766060" cy="1600200"/>
            <wp:effectExtent l="19050" t="0" r="15240" b="0"/>
            <wp:docPr id="5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rsidR="005954B9" w:rsidRDefault="005954B9" w:rsidP="00073C85">
      <w:pPr>
        <w:spacing w:after="0" w:line="240" w:lineRule="auto"/>
        <w:jc w:val="both"/>
        <w:rPr>
          <w:rFonts w:ascii="Arial" w:eastAsia="Times New Roman" w:hAnsi="Arial" w:cs="Arial"/>
          <w:color w:val="000000"/>
          <w:sz w:val="20"/>
          <w:szCs w:val="20"/>
          <w:lang w:val="en-US"/>
        </w:rPr>
      </w:pPr>
    </w:p>
    <w:p w:rsidR="00073C85" w:rsidRPr="00073C85" w:rsidRDefault="00073C85" w:rsidP="00073C85">
      <w:pPr>
        <w:spacing w:after="0" w:line="240" w:lineRule="auto"/>
        <w:jc w:val="both"/>
        <w:rPr>
          <w:rFonts w:ascii="Arial" w:eastAsia="Times New Roman" w:hAnsi="Arial" w:cs="Arial"/>
          <w:color w:val="000000"/>
          <w:sz w:val="20"/>
          <w:szCs w:val="20"/>
          <w:lang w:val="en-US"/>
        </w:rPr>
      </w:pPr>
      <w:r w:rsidRPr="00073C85">
        <w:rPr>
          <w:rFonts w:ascii="Arial" w:eastAsia="Times New Roman" w:hAnsi="Arial" w:cs="Arial"/>
          <w:color w:val="000000"/>
          <w:sz w:val="20"/>
          <w:szCs w:val="20"/>
          <w:lang w:val="en-US"/>
        </w:rPr>
        <w:t>Sursa datelor:</w:t>
      </w:r>
      <w:r w:rsidRPr="00073C85">
        <w:rPr>
          <w:rFonts w:ascii="Arial" w:hAnsi="Arial" w:cs="Arial"/>
          <w:sz w:val="20"/>
          <w:szCs w:val="20"/>
        </w:rPr>
        <w:t xml:space="preserve"> </w:t>
      </w:r>
      <w:r w:rsidRPr="00073C85">
        <w:rPr>
          <w:rFonts w:ascii="Arial" w:eastAsia="Times New Roman" w:hAnsi="Arial" w:cs="Arial"/>
          <w:color w:val="000000"/>
          <w:sz w:val="20"/>
          <w:szCs w:val="20"/>
          <w:lang w:val="en-US"/>
        </w:rPr>
        <w:t>PISA 2015 Results (Volume I):</w:t>
      </w:r>
      <w:r w:rsidR="00982F2C">
        <w:rPr>
          <w:rFonts w:ascii="Arial" w:eastAsia="Times New Roman" w:hAnsi="Arial" w:cs="Arial"/>
          <w:color w:val="000000"/>
          <w:sz w:val="20"/>
          <w:szCs w:val="20"/>
          <w:lang w:val="en-US"/>
        </w:rPr>
        <w:t xml:space="preserve"> </w:t>
      </w:r>
      <w:r w:rsidRPr="00073C85">
        <w:rPr>
          <w:rFonts w:ascii="Arial" w:eastAsia="Times New Roman" w:hAnsi="Arial" w:cs="Arial"/>
          <w:color w:val="000000"/>
          <w:sz w:val="20"/>
          <w:szCs w:val="20"/>
          <w:lang w:val="en-US"/>
        </w:rPr>
        <w:t>Excellence and Equity in Education - © OECD 2016</w:t>
      </w:r>
    </w:p>
    <w:p w:rsidR="00073C85" w:rsidRDefault="00073C85" w:rsidP="000C6A67">
      <w:pPr>
        <w:spacing w:after="0" w:line="240" w:lineRule="auto"/>
        <w:jc w:val="both"/>
        <w:rPr>
          <w:rFonts w:ascii="Arial" w:hAnsi="Arial" w:cs="Arial"/>
          <w:noProof/>
          <w:sz w:val="24"/>
          <w:szCs w:val="24"/>
          <w:lang w:eastAsia="ro-RO"/>
        </w:rPr>
      </w:pPr>
    </w:p>
    <w:p w:rsidR="00DD5F85" w:rsidRPr="00073C85" w:rsidRDefault="00FE3CCA" w:rsidP="00073C85">
      <w:pPr>
        <w:pStyle w:val="Heading3"/>
        <w:spacing w:before="0" w:line="240" w:lineRule="auto"/>
        <w:jc w:val="both"/>
        <w:rPr>
          <w:rFonts w:ascii="Arial" w:hAnsi="Arial" w:cs="Arial"/>
          <w:b w:val="0"/>
          <w:i/>
          <w:color w:val="auto"/>
          <w:sz w:val="24"/>
          <w:szCs w:val="24"/>
          <w:lang w:eastAsia="ro-RO"/>
        </w:rPr>
      </w:pPr>
      <w:bookmarkStart w:id="112" w:name="_Toc488066081"/>
      <w:r w:rsidRPr="00073C85">
        <w:rPr>
          <w:rFonts w:ascii="Arial" w:hAnsi="Arial" w:cs="Arial"/>
          <w:b w:val="0"/>
          <w:i/>
          <w:color w:val="auto"/>
          <w:sz w:val="24"/>
          <w:szCs w:val="24"/>
          <w:lang w:eastAsia="ro-RO"/>
        </w:rPr>
        <w:t>6.3.8</w:t>
      </w:r>
      <w:r w:rsidR="00406DCE" w:rsidRPr="00073C85">
        <w:rPr>
          <w:rFonts w:ascii="Arial" w:hAnsi="Arial" w:cs="Arial"/>
          <w:b w:val="0"/>
          <w:i/>
          <w:color w:val="auto"/>
          <w:sz w:val="24"/>
          <w:szCs w:val="24"/>
          <w:lang w:eastAsia="ro-RO"/>
        </w:rPr>
        <w:t xml:space="preserve">. Ponderea populaţiei cu vârste cuprinse între 20-24 de ani care </w:t>
      </w:r>
      <w:r w:rsidR="009E5EBB" w:rsidRPr="00073C85">
        <w:rPr>
          <w:rFonts w:ascii="Arial" w:hAnsi="Arial" w:cs="Arial"/>
          <w:b w:val="0"/>
          <w:i/>
          <w:color w:val="auto"/>
          <w:sz w:val="24"/>
          <w:szCs w:val="24"/>
          <w:lang w:eastAsia="ro-RO"/>
        </w:rPr>
        <w:t>nu urmează un program de educație şi formare si nici nu au un loc de munca (NEET)</w:t>
      </w:r>
      <w:r w:rsidR="009E5EBB" w:rsidRPr="00073C85">
        <w:rPr>
          <w:rStyle w:val="FootnoteReference"/>
          <w:rFonts w:ascii="Arial" w:hAnsi="Arial" w:cs="Arial"/>
          <w:b w:val="0"/>
          <w:i/>
          <w:color w:val="auto"/>
          <w:sz w:val="24"/>
          <w:szCs w:val="24"/>
          <w:lang w:eastAsia="ro-RO"/>
        </w:rPr>
        <w:footnoteReference w:id="68"/>
      </w:r>
      <w:bookmarkEnd w:id="112"/>
    </w:p>
    <w:p w:rsidR="005B5E0D" w:rsidRDefault="005B5E0D" w:rsidP="000C6A67">
      <w:pPr>
        <w:spacing w:after="0" w:line="240" w:lineRule="auto"/>
        <w:jc w:val="both"/>
        <w:rPr>
          <w:rFonts w:ascii="Arial" w:hAnsi="Arial" w:cs="Arial"/>
          <w:sz w:val="24"/>
          <w:szCs w:val="24"/>
          <w:lang w:eastAsia="ro-RO"/>
        </w:rPr>
      </w:pPr>
      <w:r>
        <w:rPr>
          <w:rFonts w:ascii="Arial" w:hAnsi="Arial" w:cs="Arial"/>
          <w:sz w:val="24"/>
          <w:szCs w:val="24"/>
          <w:lang w:eastAsia="ro-RO"/>
        </w:rPr>
        <w:t>Tinerii din categoria NEET reprezint</w:t>
      </w:r>
      <w:r w:rsidR="00B43E31">
        <w:rPr>
          <w:rFonts w:ascii="Arial" w:hAnsi="Arial" w:cs="Arial"/>
          <w:sz w:val="24"/>
          <w:szCs w:val="24"/>
          <w:lang w:eastAsia="ro-RO"/>
        </w:rPr>
        <w:t>ă</w:t>
      </w:r>
      <w:r>
        <w:rPr>
          <w:rFonts w:ascii="Arial" w:hAnsi="Arial" w:cs="Arial"/>
          <w:sz w:val="24"/>
          <w:szCs w:val="24"/>
          <w:lang w:eastAsia="ro-RO"/>
        </w:rPr>
        <w:t xml:space="preserve"> o altă problemă importantă pe l</w:t>
      </w:r>
      <w:r w:rsidR="00B43E31">
        <w:rPr>
          <w:rFonts w:ascii="Arial" w:hAnsi="Arial" w:cs="Arial"/>
          <w:sz w:val="24"/>
          <w:szCs w:val="24"/>
          <w:lang w:eastAsia="ro-RO"/>
        </w:rPr>
        <w:t>â</w:t>
      </w:r>
      <w:r>
        <w:rPr>
          <w:rFonts w:ascii="Arial" w:hAnsi="Arial" w:cs="Arial"/>
          <w:sz w:val="24"/>
          <w:szCs w:val="24"/>
          <w:lang w:eastAsia="ro-RO"/>
        </w:rPr>
        <w:t xml:space="preserve">ngă elevii cu rezultate slabe la testul PISA. </w:t>
      </w:r>
    </w:p>
    <w:p w:rsidR="005B5E0D" w:rsidRDefault="005B5E0D" w:rsidP="000C6A67">
      <w:pPr>
        <w:spacing w:after="0" w:line="240" w:lineRule="auto"/>
        <w:jc w:val="both"/>
        <w:rPr>
          <w:rFonts w:ascii="Arial" w:hAnsi="Arial" w:cs="Arial"/>
          <w:sz w:val="24"/>
          <w:szCs w:val="24"/>
          <w:lang w:eastAsia="ro-RO"/>
        </w:rPr>
      </w:pPr>
      <w:r>
        <w:rPr>
          <w:rFonts w:ascii="Arial" w:hAnsi="Arial" w:cs="Arial"/>
          <w:sz w:val="24"/>
          <w:szCs w:val="24"/>
          <w:lang w:eastAsia="ro-RO"/>
        </w:rPr>
        <w:t>Această problemă este prezentă în statele membre ale UE, și arată o evoluție ușor crescătoare în perioada crizei (2009-2012), după care sunt vizibile semne de îmbunătățire. În schimb pentru România nici după perioada crizei nu se observă o diminuare a procentului tinerilor NEET, care se situează peste valoarea medie UE, în anul 2016 fiind de 23,6%</w:t>
      </w:r>
      <w:r w:rsidR="00B43E31">
        <w:rPr>
          <w:rFonts w:ascii="Arial" w:hAnsi="Arial" w:cs="Arial"/>
          <w:sz w:val="24"/>
          <w:szCs w:val="24"/>
          <w:lang w:eastAsia="ro-RO"/>
        </w:rPr>
        <w:t xml:space="preserve"> </w:t>
      </w:r>
      <w:r>
        <w:rPr>
          <w:rFonts w:ascii="Arial" w:hAnsi="Arial" w:cs="Arial"/>
          <w:sz w:val="24"/>
          <w:szCs w:val="24"/>
          <w:lang w:eastAsia="ro-RO"/>
        </w:rPr>
        <w:t xml:space="preserve">(16.7% UE). </w:t>
      </w:r>
    </w:p>
    <w:p w:rsidR="005B5E0D" w:rsidRDefault="005B5E0D" w:rsidP="000C6A67">
      <w:pPr>
        <w:spacing w:after="0" w:line="240" w:lineRule="auto"/>
        <w:jc w:val="both"/>
        <w:rPr>
          <w:rFonts w:ascii="Arial" w:hAnsi="Arial" w:cs="Arial"/>
          <w:sz w:val="24"/>
          <w:szCs w:val="24"/>
          <w:lang w:eastAsia="ro-RO"/>
        </w:rPr>
      </w:pPr>
      <w:r>
        <w:rPr>
          <w:rFonts w:ascii="Arial" w:hAnsi="Arial" w:cs="Arial"/>
          <w:sz w:val="24"/>
          <w:szCs w:val="24"/>
          <w:lang w:eastAsia="ro-RO"/>
        </w:rPr>
        <w:t>Ținta asumată pentru 2020 necesită inter</w:t>
      </w:r>
      <w:r w:rsidR="00B43E31">
        <w:rPr>
          <w:rFonts w:ascii="Arial" w:hAnsi="Arial" w:cs="Arial"/>
          <w:sz w:val="24"/>
          <w:szCs w:val="24"/>
          <w:lang w:eastAsia="ro-RO"/>
        </w:rPr>
        <w:t>v</w:t>
      </w:r>
      <w:r>
        <w:rPr>
          <w:rFonts w:ascii="Arial" w:hAnsi="Arial" w:cs="Arial"/>
          <w:sz w:val="24"/>
          <w:szCs w:val="24"/>
          <w:lang w:eastAsia="ro-RO"/>
        </w:rPr>
        <w:t xml:space="preserve">enții dedicate acestei categorii, atât de prevenire a fenomenului cât și reparatorie vizând populația care </w:t>
      </w:r>
      <w:r w:rsidR="00B43E31">
        <w:rPr>
          <w:rFonts w:ascii="Arial" w:hAnsi="Arial" w:cs="Arial"/>
          <w:sz w:val="24"/>
          <w:szCs w:val="24"/>
          <w:lang w:eastAsia="ro-RO"/>
        </w:rPr>
        <w:t>î</w:t>
      </w:r>
      <w:r>
        <w:rPr>
          <w:rFonts w:ascii="Arial" w:hAnsi="Arial" w:cs="Arial"/>
          <w:sz w:val="24"/>
          <w:szCs w:val="24"/>
          <w:lang w:eastAsia="ro-RO"/>
        </w:rPr>
        <w:t xml:space="preserve">n ultimii 10 ani s-a </w:t>
      </w:r>
      <w:r w:rsidR="0059371B">
        <w:rPr>
          <w:rFonts w:ascii="Arial" w:hAnsi="Arial" w:cs="Arial"/>
          <w:sz w:val="24"/>
          <w:szCs w:val="24"/>
          <w:lang w:eastAsia="ro-RO"/>
        </w:rPr>
        <w:t xml:space="preserve">găsit în această situație, și pentru care șansele de inserție profesională sunt reduse. </w:t>
      </w:r>
    </w:p>
    <w:p w:rsidR="00073C85" w:rsidRPr="00073C85" w:rsidRDefault="00073C85" w:rsidP="00073C85">
      <w:pPr>
        <w:shd w:val="clear" w:color="auto" w:fill="FFFFFF"/>
        <w:spacing w:after="0" w:line="240" w:lineRule="auto"/>
        <w:jc w:val="center"/>
        <w:rPr>
          <w:rFonts w:ascii="Arial" w:hAnsi="Arial" w:cs="Arial"/>
        </w:rPr>
      </w:pPr>
      <w:r>
        <w:rPr>
          <w:rFonts w:ascii="Arial" w:hAnsi="Arial" w:cs="Arial"/>
        </w:rPr>
        <w:t>Figura 4</w:t>
      </w:r>
      <w:r w:rsidR="001714CD">
        <w:rPr>
          <w:rFonts w:ascii="Arial" w:hAnsi="Arial" w:cs="Arial"/>
        </w:rPr>
        <w:t>8</w:t>
      </w:r>
      <w:r>
        <w:rPr>
          <w:rFonts w:ascii="Arial" w:hAnsi="Arial" w:cs="Arial"/>
        </w:rPr>
        <w:t>.</w:t>
      </w:r>
    </w:p>
    <w:p w:rsidR="005B5E0D" w:rsidRDefault="00073C85" w:rsidP="000C6A67">
      <w:pPr>
        <w:spacing w:after="0" w:line="240" w:lineRule="auto"/>
        <w:jc w:val="both"/>
        <w:rPr>
          <w:rFonts w:ascii="Arial" w:hAnsi="Arial" w:cs="Arial"/>
          <w:sz w:val="24"/>
          <w:szCs w:val="24"/>
          <w:lang w:eastAsia="ro-RO"/>
        </w:rPr>
      </w:pPr>
      <w:r w:rsidRPr="005B5E0D">
        <w:rPr>
          <w:rFonts w:ascii="Arial" w:hAnsi="Arial" w:cs="Arial"/>
          <w:noProof/>
          <w:sz w:val="24"/>
          <w:szCs w:val="24"/>
          <w:lang w:val="en-US"/>
        </w:rPr>
        <w:drawing>
          <wp:inline distT="0" distB="0" distL="0" distR="0">
            <wp:extent cx="5756910" cy="2125980"/>
            <wp:effectExtent l="19050" t="0" r="15240" b="7620"/>
            <wp:docPr id="10"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rsidR="005B5E0D" w:rsidRPr="00502C76" w:rsidRDefault="00502C76" w:rsidP="00502C76">
      <w:pPr>
        <w:spacing w:after="0" w:line="240" w:lineRule="auto"/>
        <w:jc w:val="center"/>
        <w:rPr>
          <w:rFonts w:ascii="Arial" w:hAnsi="Arial" w:cs="Arial"/>
          <w:lang w:eastAsia="ro-RO"/>
        </w:rPr>
      </w:pPr>
      <w:r w:rsidRPr="00502C76">
        <w:rPr>
          <w:rFonts w:ascii="Arial" w:hAnsi="Arial" w:cs="Arial"/>
          <w:lang w:eastAsia="ro-RO"/>
        </w:rPr>
        <w:t>Sursa datelor: EUROSTAT  [edat_lfse_21]</w:t>
      </w:r>
    </w:p>
    <w:p w:rsidR="001937AF" w:rsidRPr="001937AF" w:rsidRDefault="001937AF" w:rsidP="000C6A67">
      <w:pPr>
        <w:spacing w:after="0" w:line="240" w:lineRule="auto"/>
        <w:jc w:val="both"/>
        <w:rPr>
          <w:rFonts w:ascii="Arial" w:hAnsi="Arial" w:cs="Arial"/>
          <w:sz w:val="24"/>
          <w:szCs w:val="24"/>
          <w:lang w:eastAsia="ro-RO"/>
        </w:rPr>
      </w:pPr>
    </w:p>
    <w:p w:rsidR="00073C85" w:rsidRDefault="00073C85" w:rsidP="000C6A67">
      <w:pPr>
        <w:pStyle w:val="Heading3"/>
        <w:spacing w:before="0" w:line="240" w:lineRule="auto"/>
        <w:jc w:val="both"/>
        <w:rPr>
          <w:rFonts w:ascii="Arial" w:hAnsi="Arial" w:cs="Arial"/>
          <w:b w:val="0"/>
          <w:color w:val="auto"/>
          <w:sz w:val="24"/>
          <w:szCs w:val="24"/>
          <w:lang w:eastAsia="ro-RO"/>
        </w:rPr>
      </w:pPr>
    </w:p>
    <w:p w:rsidR="00DD5F85" w:rsidRPr="00502C76" w:rsidRDefault="00FE3CCA" w:rsidP="00502C76">
      <w:pPr>
        <w:pStyle w:val="Heading3"/>
        <w:spacing w:before="0" w:line="240" w:lineRule="auto"/>
        <w:jc w:val="both"/>
        <w:rPr>
          <w:rFonts w:ascii="Arial" w:hAnsi="Arial" w:cs="Arial"/>
          <w:b w:val="0"/>
          <w:i/>
          <w:color w:val="auto"/>
          <w:sz w:val="24"/>
          <w:szCs w:val="24"/>
          <w:lang w:eastAsia="ro-RO"/>
        </w:rPr>
      </w:pPr>
      <w:bookmarkStart w:id="113" w:name="_Toc488066082"/>
      <w:r w:rsidRPr="00502C76">
        <w:rPr>
          <w:rFonts w:ascii="Arial" w:hAnsi="Arial" w:cs="Arial"/>
          <w:b w:val="0"/>
          <w:i/>
          <w:color w:val="auto"/>
          <w:sz w:val="24"/>
          <w:szCs w:val="24"/>
          <w:lang w:eastAsia="ro-RO"/>
        </w:rPr>
        <w:t>6.3.9</w:t>
      </w:r>
      <w:r w:rsidR="00406DCE" w:rsidRPr="00502C76">
        <w:rPr>
          <w:rFonts w:ascii="Arial" w:hAnsi="Arial" w:cs="Arial"/>
          <w:b w:val="0"/>
          <w:i/>
          <w:color w:val="auto"/>
          <w:sz w:val="24"/>
          <w:szCs w:val="24"/>
          <w:lang w:eastAsia="ro-RO"/>
        </w:rPr>
        <w:t>. Rata de participare în formarea continuă a populaţiei adulte (25-64 ani)</w:t>
      </w:r>
      <w:r w:rsidR="00E728E3" w:rsidRPr="00502C76">
        <w:rPr>
          <w:rStyle w:val="FootnoteReference"/>
          <w:rFonts w:ascii="Arial" w:hAnsi="Arial" w:cs="Arial"/>
          <w:b w:val="0"/>
          <w:i/>
          <w:color w:val="auto"/>
          <w:sz w:val="24"/>
          <w:szCs w:val="24"/>
          <w:lang w:eastAsia="ro-RO"/>
        </w:rPr>
        <w:footnoteReference w:id="69"/>
      </w:r>
      <w:bookmarkEnd w:id="113"/>
    </w:p>
    <w:p w:rsidR="006747D0" w:rsidRPr="00360521" w:rsidRDefault="006747D0" w:rsidP="00502C76">
      <w:pPr>
        <w:spacing w:after="0" w:line="240" w:lineRule="auto"/>
        <w:jc w:val="both"/>
        <w:rPr>
          <w:rFonts w:ascii="Arial" w:hAnsi="Arial" w:cs="Arial"/>
          <w:bCs/>
          <w:sz w:val="24"/>
          <w:szCs w:val="24"/>
          <w:lang w:val="en-US"/>
        </w:rPr>
      </w:pPr>
      <w:r w:rsidRPr="00360521">
        <w:rPr>
          <w:rFonts w:ascii="Arial" w:hAnsi="Arial" w:cs="Arial"/>
          <w:bCs/>
          <w:sz w:val="24"/>
          <w:szCs w:val="24"/>
          <w:lang w:val="en-US"/>
        </w:rPr>
        <w:t xml:space="preserve">Ținta României </w:t>
      </w:r>
      <w:r w:rsidRPr="00360521">
        <w:rPr>
          <w:rFonts w:ascii="Arial" w:hAnsi="Arial" w:cs="Arial"/>
          <w:sz w:val="24"/>
          <w:szCs w:val="24"/>
        </w:rPr>
        <w:t>de creștere a ratei de parti</w:t>
      </w:r>
      <w:r w:rsidR="00502C76">
        <w:rPr>
          <w:rFonts w:ascii="Arial" w:hAnsi="Arial" w:cs="Arial"/>
          <w:sz w:val="24"/>
          <w:szCs w:val="24"/>
        </w:rPr>
        <w:t xml:space="preserve">cipare a adulților (25-64 ani) </w:t>
      </w:r>
      <w:r w:rsidRPr="00360521">
        <w:rPr>
          <w:rFonts w:ascii="Arial" w:hAnsi="Arial" w:cs="Arial"/>
          <w:sz w:val="24"/>
          <w:szCs w:val="24"/>
        </w:rPr>
        <w:t>la formarea continuă este de 10% până în anul 2020 (</w:t>
      </w:r>
      <w:r w:rsidRPr="00360521">
        <w:rPr>
          <w:rFonts w:ascii="Arial" w:hAnsi="Arial" w:cs="Arial"/>
          <w:bCs/>
          <w:sz w:val="24"/>
          <w:szCs w:val="24"/>
          <w:lang w:val="en-US"/>
        </w:rPr>
        <w:t>obiectivului strategic care vizează participarea la formarea continuă a populației adulte este de 15% în UE până în 2020).</w:t>
      </w:r>
    </w:p>
    <w:p w:rsidR="006747D0" w:rsidRPr="00360521" w:rsidRDefault="006747D0" w:rsidP="00502C76">
      <w:pPr>
        <w:spacing w:after="0" w:line="240" w:lineRule="auto"/>
        <w:jc w:val="both"/>
        <w:rPr>
          <w:rFonts w:ascii="Arial" w:hAnsi="Arial" w:cs="Arial"/>
          <w:bCs/>
          <w:sz w:val="24"/>
          <w:szCs w:val="24"/>
          <w:lang w:val="en-US"/>
        </w:rPr>
      </w:pPr>
      <w:r w:rsidRPr="00360521">
        <w:rPr>
          <w:rFonts w:ascii="Arial" w:hAnsi="Arial" w:cs="Arial"/>
          <w:bCs/>
          <w:sz w:val="24"/>
          <w:szCs w:val="24"/>
          <w:lang w:val="en-US"/>
        </w:rPr>
        <w:t>In perioada analizată (2012-2016), la nivel național, procentul variază între 2% (2013) și 1,2% (2016). În concluzie, începând din anul 2013, acest indicator prezintă un trend</w:t>
      </w:r>
      <w:r w:rsidR="009460D6">
        <w:rPr>
          <w:rFonts w:ascii="Arial" w:hAnsi="Arial" w:cs="Arial"/>
          <w:bCs/>
          <w:sz w:val="24"/>
          <w:szCs w:val="24"/>
          <w:lang w:val="en-US"/>
        </w:rPr>
        <w:t xml:space="preserve"> descrescător. Aceeași evoluție </w:t>
      </w:r>
      <w:r w:rsidRPr="00360521">
        <w:rPr>
          <w:rFonts w:ascii="Arial" w:hAnsi="Arial" w:cs="Arial"/>
          <w:bCs/>
          <w:sz w:val="24"/>
          <w:szCs w:val="24"/>
          <w:lang w:val="en-US"/>
        </w:rPr>
        <w:t>descrescătoare din anul 2013 se remarcă în toate regiunile, cu excepția Regiunii Vest.</w:t>
      </w:r>
    </w:p>
    <w:p w:rsidR="006747D0" w:rsidRPr="00360521" w:rsidRDefault="006747D0" w:rsidP="00502C76">
      <w:pPr>
        <w:spacing w:after="0" w:line="240" w:lineRule="auto"/>
        <w:jc w:val="both"/>
        <w:rPr>
          <w:rFonts w:ascii="Arial" w:hAnsi="Arial" w:cs="Arial"/>
          <w:bCs/>
          <w:sz w:val="24"/>
          <w:szCs w:val="24"/>
          <w:lang w:val="en-US"/>
        </w:rPr>
      </w:pPr>
      <w:r w:rsidRPr="00360521">
        <w:rPr>
          <w:rFonts w:ascii="Arial" w:hAnsi="Arial" w:cs="Arial"/>
          <w:bCs/>
          <w:sz w:val="24"/>
          <w:szCs w:val="24"/>
          <w:lang w:val="en-US"/>
        </w:rPr>
        <w:t>Din punct de vedere al evoluției în perioada 2012-2016, la nivel regional, conform datelor analizate, s-a înregistrat un progres al ratei de participare la formarea continuă a populației adulte de la 1,1% (2012) la 1,6% (2016).</w:t>
      </w:r>
    </w:p>
    <w:p w:rsidR="00CF020A" w:rsidRPr="005954B9" w:rsidRDefault="006747D0" w:rsidP="005954B9">
      <w:pPr>
        <w:spacing w:after="0" w:line="240" w:lineRule="auto"/>
        <w:jc w:val="both"/>
        <w:rPr>
          <w:rFonts w:ascii="Arial" w:hAnsi="Arial" w:cs="Arial"/>
          <w:sz w:val="24"/>
          <w:szCs w:val="24"/>
        </w:rPr>
      </w:pPr>
      <w:r w:rsidRPr="00360521">
        <w:rPr>
          <w:rFonts w:ascii="Arial" w:hAnsi="Arial" w:cs="Arial"/>
          <w:sz w:val="24"/>
          <w:szCs w:val="24"/>
        </w:rPr>
        <w:t>In funcție de gen, se observă că proporția persoanelor adulte de gen masculin care optează pentru participarea la formare este nesemnificativ mai ridicată (0,1%) comparativ cu persoanele de gen feminin.</w:t>
      </w:r>
    </w:p>
    <w:p w:rsidR="00CF020A" w:rsidRDefault="00CF020A" w:rsidP="00373E67">
      <w:pPr>
        <w:spacing w:after="0" w:line="240" w:lineRule="auto"/>
        <w:rPr>
          <w:rFonts w:ascii="Arial" w:hAnsi="Arial" w:cs="Arial"/>
          <w:bCs/>
        </w:rPr>
      </w:pPr>
    </w:p>
    <w:p w:rsidR="00940D9D" w:rsidRDefault="00940D9D" w:rsidP="000C6A67">
      <w:pPr>
        <w:spacing w:after="0" w:line="240" w:lineRule="auto"/>
        <w:jc w:val="center"/>
        <w:rPr>
          <w:rFonts w:ascii="Arial" w:hAnsi="Arial" w:cs="Arial"/>
          <w:bCs/>
        </w:rPr>
      </w:pPr>
    </w:p>
    <w:p w:rsidR="00940D9D" w:rsidRDefault="00940D9D" w:rsidP="000C6A67">
      <w:pPr>
        <w:spacing w:after="0" w:line="240" w:lineRule="auto"/>
        <w:jc w:val="center"/>
        <w:rPr>
          <w:rFonts w:ascii="Arial" w:hAnsi="Arial" w:cs="Arial"/>
          <w:bCs/>
        </w:rPr>
      </w:pPr>
    </w:p>
    <w:p w:rsidR="00940D9D" w:rsidRDefault="00940D9D" w:rsidP="000C6A67">
      <w:pPr>
        <w:spacing w:after="0" w:line="240" w:lineRule="auto"/>
        <w:jc w:val="center"/>
        <w:rPr>
          <w:rFonts w:ascii="Arial" w:hAnsi="Arial" w:cs="Arial"/>
          <w:bCs/>
        </w:rPr>
      </w:pPr>
    </w:p>
    <w:p w:rsidR="00940D9D" w:rsidRDefault="00940D9D" w:rsidP="000C6A67">
      <w:pPr>
        <w:spacing w:after="0" w:line="240" w:lineRule="auto"/>
        <w:jc w:val="center"/>
        <w:rPr>
          <w:rFonts w:ascii="Arial" w:hAnsi="Arial" w:cs="Arial"/>
          <w:bCs/>
        </w:rPr>
      </w:pPr>
    </w:p>
    <w:p w:rsidR="00940D9D" w:rsidRDefault="00940D9D" w:rsidP="000C6A67">
      <w:pPr>
        <w:spacing w:after="0" w:line="240" w:lineRule="auto"/>
        <w:jc w:val="center"/>
        <w:rPr>
          <w:rFonts w:ascii="Arial" w:hAnsi="Arial" w:cs="Arial"/>
          <w:bCs/>
        </w:rPr>
      </w:pPr>
    </w:p>
    <w:p w:rsidR="00063F8B" w:rsidRPr="00360521" w:rsidRDefault="00360521" w:rsidP="000C6A67">
      <w:pPr>
        <w:spacing w:after="0" w:line="240" w:lineRule="auto"/>
        <w:jc w:val="center"/>
        <w:rPr>
          <w:rFonts w:ascii="Arial" w:hAnsi="Arial" w:cs="Arial"/>
          <w:bCs/>
        </w:rPr>
      </w:pPr>
      <w:r w:rsidRPr="00360521">
        <w:rPr>
          <w:rFonts w:ascii="Arial" w:hAnsi="Arial" w:cs="Arial"/>
          <w:bCs/>
        </w:rPr>
        <w:lastRenderedPageBreak/>
        <w:t xml:space="preserve">Figura </w:t>
      </w:r>
      <w:r w:rsidR="003529D4">
        <w:rPr>
          <w:rFonts w:ascii="Arial" w:hAnsi="Arial" w:cs="Arial"/>
          <w:bCs/>
        </w:rPr>
        <w:t>4</w:t>
      </w:r>
      <w:r w:rsidR="001714CD">
        <w:rPr>
          <w:rFonts w:ascii="Arial" w:hAnsi="Arial" w:cs="Arial"/>
          <w:bCs/>
        </w:rPr>
        <w:t>9</w:t>
      </w:r>
      <w:r w:rsidRPr="00360521">
        <w:rPr>
          <w:rFonts w:ascii="Arial" w:hAnsi="Arial" w:cs="Arial"/>
          <w:bCs/>
        </w:rPr>
        <w:t>.</w:t>
      </w:r>
    </w:p>
    <w:p w:rsidR="006747D0" w:rsidRDefault="00502C76" w:rsidP="000C6A67">
      <w:pPr>
        <w:spacing w:after="0" w:line="240" w:lineRule="auto"/>
      </w:pPr>
      <w:r>
        <w:tab/>
      </w:r>
      <w:r w:rsidR="006747D0" w:rsidRPr="001C0E2A">
        <w:rPr>
          <w:noProof/>
          <w:lang w:val="en-US"/>
        </w:rPr>
        <w:drawing>
          <wp:inline distT="0" distB="0" distL="0" distR="0">
            <wp:extent cx="5243733" cy="2729132"/>
            <wp:effectExtent l="19050" t="0" r="14067" b="0"/>
            <wp:docPr id="5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rsidR="006747D0" w:rsidRPr="00A80EDC" w:rsidRDefault="006747D0" w:rsidP="00A80EDC">
      <w:pPr>
        <w:tabs>
          <w:tab w:val="left" w:pos="1315"/>
        </w:tabs>
        <w:spacing w:after="0" w:line="240" w:lineRule="auto"/>
        <w:jc w:val="center"/>
        <w:rPr>
          <w:rFonts w:ascii="Arial" w:hAnsi="Arial" w:cs="Arial"/>
        </w:rPr>
      </w:pPr>
      <w:r w:rsidRPr="001C0E2A">
        <w:rPr>
          <w:rFonts w:ascii="Arial" w:hAnsi="Arial" w:cs="Arial"/>
        </w:rPr>
        <w:t>Sursa datelor: Eurostat [trng_lfse_04]</w:t>
      </w:r>
    </w:p>
    <w:p w:rsidR="001937AF" w:rsidRPr="001937AF" w:rsidRDefault="001937AF" w:rsidP="000C6A67">
      <w:pPr>
        <w:spacing w:after="0" w:line="240" w:lineRule="auto"/>
        <w:jc w:val="both"/>
        <w:rPr>
          <w:rFonts w:ascii="Arial" w:hAnsi="Arial" w:cs="Arial"/>
          <w:sz w:val="24"/>
          <w:szCs w:val="24"/>
          <w:lang w:eastAsia="ro-RO"/>
        </w:rPr>
      </w:pPr>
    </w:p>
    <w:p w:rsidR="00502C76" w:rsidRDefault="00502C76" w:rsidP="000C6A67">
      <w:pPr>
        <w:pStyle w:val="Heading2"/>
        <w:spacing w:before="0" w:line="240" w:lineRule="auto"/>
        <w:jc w:val="both"/>
        <w:rPr>
          <w:rFonts w:ascii="Arial" w:hAnsi="Arial" w:cs="Arial"/>
          <w:i/>
          <w:color w:val="auto"/>
          <w:sz w:val="24"/>
          <w:szCs w:val="24"/>
          <w:lang w:eastAsia="ro-RO"/>
        </w:rPr>
      </w:pPr>
    </w:p>
    <w:p w:rsidR="00406DCE" w:rsidRPr="001937AF" w:rsidRDefault="00406DCE" w:rsidP="000C6A67">
      <w:pPr>
        <w:pStyle w:val="Heading2"/>
        <w:spacing w:before="0" w:line="240" w:lineRule="auto"/>
        <w:jc w:val="both"/>
        <w:rPr>
          <w:rFonts w:ascii="Arial" w:hAnsi="Arial" w:cs="Arial"/>
          <w:i/>
          <w:color w:val="auto"/>
          <w:sz w:val="24"/>
          <w:szCs w:val="24"/>
          <w:lang w:eastAsia="ro-RO"/>
        </w:rPr>
      </w:pPr>
      <w:bookmarkStart w:id="114" w:name="_Toc488066083"/>
      <w:r w:rsidRPr="001937AF">
        <w:rPr>
          <w:rFonts w:ascii="Arial" w:hAnsi="Arial" w:cs="Arial"/>
          <w:i/>
          <w:color w:val="auto"/>
          <w:sz w:val="24"/>
          <w:szCs w:val="24"/>
          <w:lang w:eastAsia="ro-RO"/>
        </w:rPr>
        <w:t>6.</w:t>
      </w:r>
      <w:r w:rsidR="00825106" w:rsidRPr="001937AF">
        <w:rPr>
          <w:rFonts w:ascii="Arial" w:hAnsi="Arial" w:cs="Arial"/>
          <w:i/>
          <w:color w:val="auto"/>
          <w:sz w:val="24"/>
          <w:szCs w:val="24"/>
          <w:lang w:eastAsia="ro-RO"/>
        </w:rPr>
        <w:t>4.</w:t>
      </w:r>
      <w:r w:rsidRPr="001937AF">
        <w:rPr>
          <w:rFonts w:ascii="Arial" w:hAnsi="Arial" w:cs="Arial"/>
          <w:i/>
          <w:color w:val="auto"/>
          <w:sz w:val="24"/>
          <w:szCs w:val="24"/>
          <w:lang w:eastAsia="ro-RO"/>
        </w:rPr>
        <w:t xml:space="preserve"> Indicatori de impact</w:t>
      </w:r>
      <w:bookmarkEnd w:id="114"/>
    </w:p>
    <w:p w:rsidR="00DD5F85" w:rsidRPr="001937AF" w:rsidRDefault="00DD5F85" w:rsidP="000C6A67">
      <w:pPr>
        <w:spacing w:after="0" w:line="240" w:lineRule="auto"/>
        <w:jc w:val="both"/>
        <w:rPr>
          <w:rFonts w:ascii="Arial" w:hAnsi="Arial" w:cs="Arial"/>
          <w:sz w:val="24"/>
          <w:szCs w:val="24"/>
          <w:lang w:eastAsia="ro-RO"/>
        </w:rPr>
      </w:pPr>
    </w:p>
    <w:p w:rsidR="00406DCE" w:rsidRPr="00502C76" w:rsidRDefault="00FE3CCA" w:rsidP="00502C76">
      <w:pPr>
        <w:pStyle w:val="Heading3"/>
        <w:spacing w:before="0" w:line="240" w:lineRule="auto"/>
        <w:jc w:val="both"/>
        <w:rPr>
          <w:rFonts w:ascii="Arial" w:hAnsi="Arial" w:cs="Arial"/>
          <w:b w:val="0"/>
          <w:i/>
          <w:color w:val="auto"/>
          <w:sz w:val="24"/>
          <w:szCs w:val="24"/>
          <w:lang w:eastAsia="ro-RO"/>
        </w:rPr>
      </w:pPr>
      <w:bookmarkStart w:id="115" w:name="_Toc488066084"/>
      <w:r w:rsidRPr="00502C76">
        <w:rPr>
          <w:rFonts w:ascii="Arial" w:hAnsi="Arial" w:cs="Arial"/>
          <w:b w:val="0"/>
          <w:i/>
          <w:color w:val="auto"/>
          <w:sz w:val="24"/>
          <w:szCs w:val="24"/>
          <w:lang w:eastAsia="ro-RO"/>
        </w:rPr>
        <w:t>6.4</w:t>
      </w:r>
      <w:r w:rsidR="00406DCE" w:rsidRPr="00502C76">
        <w:rPr>
          <w:rFonts w:ascii="Arial" w:hAnsi="Arial" w:cs="Arial"/>
          <w:b w:val="0"/>
          <w:i/>
          <w:color w:val="auto"/>
          <w:sz w:val="24"/>
          <w:szCs w:val="24"/>
          <w:lang w:eastAsia="ro-RO"/>
        </w:rPr>
        <w:t>.1. Impactul sistemului de învăţământ profesional şi tehnic asupra şomajului</w:t>
      </w:r>
      <w:bookmarkEnd w:id="115"/>
    </w:p>
    <w:p w:rsidR="00E2098A" w:rsidRPr="00502C76" w:rsidRDefault="00FE3CCA" w:rsidP="00502C76">
      <w:pPr>
        <w:pStyle w:val="Heading3"/>
        <w:spacing w:before="0" w:line="240" w:lineRule="auto"/>
        <w:jc w:val="both"/>
        <w:rPr>
          <w:rFonts w:ascii="Arial" w:hAnsi="Arial" w:cs="Arial"/>
          <w:b w:val="0"/>
          <w:i/>
          <w:color w:val="auto"/>
          <w:sz w:val="24"/>
          <w:szCs w:val="24"/>
          <w:lang w:eastAsia="ro-RO"/>
        </w:rPr>
      </w:pPr>
      <w:bookmarkStart w:id="116" w:name="_Toc488066085"/>
      <w:r w:rsidRPr="00502C76">
        <w:rPr>
          <w:rFonts w:ascii="Arial" w:hAnsi="Arial" w:cs="Arial"/>
          <w:b w:val="0"/>
          <w:i/>
          <w:color w:val="auto"/>
          <w:sz w:val="24"/>
          <w:szCs w:val="24"/>
          <w:lang w:eastAsia="ro-RO"/>
        </w:rPr>
        <w:t>6.4</w:t>
      </w:r>
      <w:r w:rsidR="00406DCE" w:rsidRPr="00502C76">
        <w:rPr>
          <w:rFonts w:ascii="Arial" w:hAnsi="Arial" w:cs="Arial"/>
          <w:b w:val="0"/>
          <w:i/>
          <w:color w:val="auto"/>
          <w:sz w:val="24"/>
          <w:szCs w:val="24"/>
          <w:lang w:eastAsia="ro-RO"/>
        </w:rPr>
        <w:t>.2 Inserţia profesională a absolvenţilor IPT  la 6/12 luni de la absolvire, pe niveluri de educaţie</w:t>
      </w:r>
      <w:bookmarkEnd w:id="116"/>
    </w:p>
    <w:p w:rsidR="001506BA" w:rsidRDefault="001506BA" w:rsidP="00502C76">
      <w:pPr>
        <w:spacing w:after="0" w:line="240" w:lineRule="auto"/>
        <w:jc w:val="both"/>
        <w:rPr>
          <w:rFonts w:ascii="Arial" w:hAnsi="Arial" w:cs="Arial"/>
          <w:color w:val="000000"/>
          <w:sz w:val="24"/>
          <w:szCs w:val="24"/>
        </w:rPr>
      </w:pPr>
      <w:r w:rsidRPr="0002315F">
        <w:rPr>
          <w:rFonts w:ascii="Arial" w:hAnsi="Arial" w:cs="Arial"/>
          <w:sz w:val="24"/>
          <w:szCs w:val="24"/>
          <w:lang w:eastAsia="ro-RO"/>
        </w:rPr>
        <w:t xml:space="preserve">Pentru a spijini inserție profesională a absolvenților, Legea 76/2002 prevede diferite tipuri de sprijin de încurajare a trecerii la viața activă, astfel ” </w:t>
      </w:r>
      <w:r w:rsidRPr="0002315F">
        <w:rPr>
          <w:rFonts w:ascii="Arial" w:hAnsi="Arial" w:cs="Arial"/>
          <w:color w:val="000000"/>
          <w:sz w:val="24"/>
          <w:szCs w:val="24"/>
        </w:rPr>
        <w:t>Absolven</w:t>
      </w:r>
      <w:r w:rsidR="00502C76">
        <w:rPr>
          <w:rFonts w:ascii="Arial" w:hAnsi="Arial" w:cs="Arial"/>
          <w:color w:val="000000"/>
          <w:sz w:val="24"/>
          <w:szCs w:val="24"/>
        </w:rPr>
        <w:t>ț</w:t>
      </w:r>
      <w:r w:rsidRPr="0002315F">
        <w:rPr>
          <w:rFonts w:ascii="Arial" w:hAnsi="Arial" w:cs="Arial"/>
          <w:color w:val="000000"/>
          <w:sz w:val="24"/>
          <w:szCs w:val="24"/>
        </w:rPr>
        <w:t>ii institu</w:t>
      </w:r>
      <w:r w:rsidR="00502C76">
        <w:rPr>
          <w:rFonts w:ascii="Arial" w:hAnsi="Arial" w:cs="Arial"/>
          <w:color w:val="000000"/>
          <w:sz w:val="24"/>
          <w:szCs w:val="24"/>
        </w:rPr>
        <w:t>ț</w:t>
      </w:r>
      <w:r w:rsidRPr="0002315F">
        <w:rPr>
          <w:rFonts w:ascii="Arial" w:hAnsi="Arial" w:cs="Arial"/>
          <w:color w:val="000000"/>
          <w:sz w:val="24"/>
          <w:szCs w:val="24"/>
        </w:rPr>
        <w:t xml:space="preserve">iilor de </w:t>
      </w:r>
      <w:r w:rsidR="00502C76">
        <w:rPr>
          <w:rFonts w:ascii="Arial" w:hAnsi="Arial" w:cs="Arial"/>
          <w:color w:val="000000"/>
          <w:sz w:val="24"/>
          <w:szCs w:val="24"/>
        </w:rPr>
        <w:t>î</w:t>
      </w:r>
      <w:r w:rsidRPr="0002315F">
        <w:rPr>
          <w:rFonts w:ascii="Arial" w:hAnsi="Arial" w:cs="Arial"/>
          <w:color w:val="000000"/>
          <w:sz w:val="24"/>
          <w:szCs w:val="24"/>
        </w:rPr>
        <w:t>nv</w:t>
      </w:r>
      <w:r w:rsidR="00502C76">
        <w:rPr>
          <w:rFonts w:ascii="Arial" w:hAnsi="Arial" w:cs="Arial"/>
          <w:color w:val="000000"/>
          <w:sz w:val="24"/>
          <w:szCs w:val="24"/>
        </w:rPr>
        <w:t>ăță</w:t>
      </w:r>
      <w:r w:rsidRPr="0002315F">
        <w:rPr>
          <w:rFonts w:ascii="Arial" w:hAnsi="Arial" w:cs="Arial"/>
          <w:color w:val="000000"/>
          <w:sz w:val="24"/>
          <w:szCs w:val="24"/>
        </w:rPr>
        <w:t>m</w:t>
      </w:r>
      <w:r w:rsidR="00502C76">
        <w:rPr>
          <w:rFonts w:ascii="Arial" w:hAnsi="Arial" w:cs="Arial"/>
          <w:color w:val="000000"/>
          <w:sz w:val="24"/>
          <w:szCs w:val="24"/>
        </w:rPr>
        <w:t>â</w:t>
      </w:r>
      <w:r w:rsidRPr="0002315F">
        <w:rPr>
          <w:rFonts w:ascii="Arial" w:hAnsi="Arial" w:cs="Arial"/>
          <w:color w:val="000000"/>
          <w:sz w:val="24"/>
          <w:szCs w:val="24"/>
        </w:rPr>
        <w:t xml:space="preserve">nt </w:t>
      </w:r>
      <w:r w:rsidR="00502C76">
        <w:rPr>
          <w:rFonts w:ascii="Arial" w:hAnsi="Arial" w:cs="Arial"/>
          <w:color w:val="000000"/>
          <w:sz w:val="24"/>
          <w:szCs w:val="24"/>
        </w:rPr>
        <w:t>ș</w:t>
      </w:r>
      <w:r w:rsidRPr="0002315F">
        <w:rPr>
          <w:rFonts w:ascii="Arial" w:hAnsi="Arial" w:cs="Arial"/>
          <w:color w:val="000000"/>
          <w:sz w:val="24"/>
          <w:szCs w:val="24"/>
        </w:rPr>
        <w:t>i absolven</w:t>
      </w:r>
      <w:r w:rsidR="00502C76">
        <w:rPr>
          <w:rFonts w:ascii="Arial" w:hAnsi="Arial" w:cs="Arial"/>
          <w:color w:val="000000"/>
          <w:sz w:val="24"/>
          <w:szCs w:val="24"/>
        </w:rPr>
        <w:t>ț</w:t>
      </w:r>
      <w:r w:rsidRPr="0002315F">
        <w:rPr>
          <w:rFonts w:ascii="Arial" w:hAnsi="Arial" w:cs="Arial"/>
          <w:color w:val="000000"/>
          <w:sz w:val="24"/>
          <w:szCs w:val="24"/>
        </w:rPr>
        <w:t xml:space="preserve">ii </w:t>
      </w:r>
      <w:r w:rsidR="00502C76">
        <w:rPr>
          <w:rFonts w:ascii="Arial" w:hAnsi="Arial" w:cs="Arial"/>
          <w:color w:val="000000"/>
          <w:sz w:val="24"/>
          <w:szCs w:val="24"/>
        </w:rPr>
        <w:t>ș</w:t>
      </w:r>
      <w:r w:rsidRPr="0002315F">
        <w:rPr>
          <w:rFonts w:ascii="Arial" w:hAnsi="Arial" w:cs="Arial"/>
          <w:color w:val="000000"/>
          <w:sz w:val="24"/>
          <w:szCs w:val="24"/>
        </w:rPr>
        <w:t xml:space="preserve">colilor speciale, </w:t>
      </w:r>
      <w:r w:rsidR="00AA0B78">
        <w:rPr>
          <w:rFonts w:ascii="Arial" w:hAnsi="Arial" w:cs="Arial"/>
          <w:color w:val="000000"/>
          <w:sz w:val="24"/>
          <w:szCs w:val="24"/>
        </w:rPr>
        <w:t>î</w:t>
      </w:r>
      <w:r w:rsidRPr="0002315F">
        <w:rPr>
          <w:rFonts w:ascii="Arial" w:hAnsi="Arial" w:cs="Arial"/>
          <w:color w:val="000000"/>
          <w:sz w:val="24"/>
          <w:szCs w:val="24"/>
        </w:rPr>
        <w:t>n v</w:t>
      </w:r>
      <w:r w:rsidR="00502C76">
        <w:rPr>
          <w:rFonts w:ascii="Arial" w:hAnsi="Arial" w:cs="Arial"/>
          <w:color w:val="000000"/>
          <w:sz w:val="24"/>
          <w:szCs w:val="24"/>
        </w:rPr>
        <w:t>â</w:t>
      </w:r>
      <w:r w:rsidRPr="0002315F">
        <w:rPr>
          <w:rFonts w:ascii="Arial" w:hAnsi="Arial" w:cs="Arial"/>
          <w:color w:val="000000"/>
          <w:sz w:val="24"/>
          <w:szCs w:val="24"/>
        </w:rPr>
        <w:t>rst</w:t>
      </w:r>
      <w:r w:rsidR="00502C76">
        <w:rPr>
          <w:rFonts w:ascii="Arial" w:hAnsi="Arial" w:cs="Arial"/>
          <w:color w:val="000000"/>
          <w:sz w:val="24"/>
          <w:szCs w:val="24"/>
        </w:rPr>
        <w:t xml:space="preserve">ă </w:t>
      </w:r>
      <w:r w:rsidRPr="0002315F">
        <w:rPr>
          <w:rFonts w:ascii="Arial" w:hAnsi="Arial" w:cs="Arial"/>
          <w:color w:val="000000"/>
          <w:sz w:val="24"/>
          <w:szCs w:val="24"/>
        </w:rPr>
        <w:t xml:space="preserve">de minim 16 ani, </w:t>
      </w:r>
      <w:r w:rsidR="00502C76">
        <w:rPr>
          <w:rFonts w:ascii="Arial" w:hAnsi="Arial" w:cs="Arial"/>
          <w:color w:val="000000"/>
          <w:sz w:val="24"/>
          <w:szCs w:val="24"/>
        </w:rPr>
        <w:t>î</w:t>
      </w:r>
      <w:r w:rsidRPr="0002315F">
        <w:rPr>
          <w:rFonts w:ascii="Arial" w:hAnsi="Arial" w:cs="Arial"/>
          <w:color w:val="000000"/>
          <w:sz w:val="24"/>
          <w:szCs w:val="24"/>
        </w:rPr>
        <w:t>nregistra</w:t>
      </w:r>
      <w:r w:rsidR="00502C76">
        <w:rPr>
          <w:rFonts w:ascii="Arial" w:hAnsi="Arial" w:cs="Arial"/>
          <w:color w:val="000000"/>
          <w:sz w:val="24"/>
          <w:szCs w:val="24"/>
        </w:rPr>
        <w:t>ț</w:t>
      </w:r>
      <w:r w:rsidRPr="0002315F">
        <w:rPr>
          <w:rFonts w:ascii="Arial" w:hAnsi="Arial" w:cs="Arial"/>
          <w:color w:val="000000"/>
          <w:sz w:val="24"/>
          <w:szCs w:val="24"/>
        </w:rPr>
        <w:t>i la agen</w:t>
      </w:r>
      <w:r w:rsidR="00502C76">
        <w:rPr>
          <w:rFonts w:ascii="Arial" w:hAnsi="Arial" w:cs="Arial"/>
          <w:color w:val="000000"/>
          <w:sz w:val="24"/>
          <w:szCs w:val="24"/>
        </w:rPr>
        <w:t>ț</w:t>
      </w:r>
      <w:r w:rsidRPr="0002315F">
        <w:rPr>
          <w:rFonts w:ascii="Arial" w:hAnsi="Arial" w:cs="Arial"/>
          <w:color w:val="000000"/>
          <w:sz w:val="24"/>
          <w:szCs w:val="24"/>
        </w:rPr>
        <w:t>iile pentru ocuparea for</w:t>
      </w:r>
      <w:r w:rsidR="00502C76">
        <w:rPr>
          <w:rFonts w:ascii="Arial" w:hAnsi="Arial" w:cs="Arial"/>
          <w:color w:val="000000"/>
          <w:sz w:val="24"/>
          <w:szCs w:val="24"/>
        </w:rPr>
        <w:t>ț</w:t>
      </w:r>
      <w:r w:rsidRPr="0002315F">
        <w:rPr>
          <w:rFonts w:ascii="Arial" w:hAnsi="Arial" w:cs="Arial"/>
          <w:color w:val="000000"/>
          <w:sz w:val="24"/>
          <w:szCs w:val="24"/>
        </w:rPr>
        <w:t>ei de munc</w:t>
      </w:r>
      <w:r w:rsidR="00502C76">
        <w:rPr>
          <w:rFonts w:ascii="Arial" w:hAnsi="Arial" w:cs="Arial"/>
          <w:color w:val="000000"/>
          <w:sz w:val="24"/>
          <w:szCs w:val="24"/>
        </w:rPr>
        <w:t>ă</w:t>
      </w:r>
      <w:r w:rsidRPr="0002315F">
        <w:rPr>
          <w:rFonts w:ascii="Arial" w:hAnsi="Arial" w:cs="Arial"/>
          <w:color w:val="000000"/>
          <w:sz w:val="24"/>
          <w:szCs w:val="24"/>
        </w:rPr>
        <w:t xml:space="preserve">, </w:t>
      </w:r>
      <w:r w:rsidR="00502C76">
        <w:rPr>
          <w:rFonts w:ascii="Arial" w:hAnsi="Arial" w:cs="Arial"/>
          <w:color w:val="000000"/>
          <w:sz w:val="24"/>
          <w:szCs w:val="24"/>
        </w:rPr>
        <w:t>î</w:t>
      </w:r>
      <w:r w:rsidRPr="0002315F">
        <w:rPr>
          <w:rFonts w:ascii="Arial" w:hAnsi="Arial" w:cs="Arial"/>
          <w:color w:val="000000"/>
          <w:sz w:val="24"/>
          <w:szCs w:val="24"/>
        </w:rPr>
        <w:t>n situa</w:t>
      </w:r>
      <w:r w:rsidR="00502C76">
        <w:rPr>
          <w:rFonts w:ascii="Arial" w:hAnsi="Arial" w:cs="Arial"/>
          <w:color w:val="000000"/>
          <w:sz w:val="24"/>
          <w:szCs w:val="24"/>
        </w:rPr>
        <w:t>ț</w:t>
      </w:r>
      <w:r w:rsidRPr="0002315F">
        <w:rPr>
          <w:rFonts w:ascii="Arial" w:hAnsi="Arial" w:cs="Arial"/>
          <w:color w:val="000000"/>
          <w:sz w:val="24"/>
          <w:szCs w:val="24"/>
        </w:rPr>
        <w:t xml:space="preserve">ia </w:t>
      </w:r>
      <w:r w:rsidR="00502C76">
        <w:rPr>
          <w:rFonts w:ascii="Arial" w:hAnsi="Arial" w:cs="Arial"/>
          <w:color w:val="000000"/>
          <w:sz w:val="24"/>
          <w:szCs w:val="24"/>
        </w:rPr>
        <w:t>î</w:t>
      </w:r>
      <w:r w:rsidRPr="0002315F">
        <w:rPr>
          <w:rFonts w:ascii="Arial" w:hAnsi="Arial" w:cs="Arial"/>
          <w:color w:val="000000"/>
          <w:sz w:val="24"/>
          <w:szCs w:val="24"/>
        </w:rPr>
        <w:t xml:space="preserve">n care se angajeaza cu norma </w:t>
      </w:r>
      <w:r w:rsidR="00502C76">
        <w:rPr>
          <w:rFonts w:ascii="Arial" w:hAnsi="Arial" w:cs="Arial"/>
          <w:color w:val="000000"/>
          <w:sz w:val="24"/>
          <w:szCs w:val="24"/>
        </w:rPr>
        <w:t>î</w:t>
      </w:r>
      <w:r w:rsidRPr="0002315F">
        <w:rPr>
          <w:rFonts w:ascii="Arial" w:hAnsi="Arial" w:cs="Arial"/>
          <w:color w:val="000000"/>
          <w:sz w:val="24"/>
          <w:szCs w:val="24"/>
        </w:rPr>
        <w:t>ntreag</w:t>
      </w:r>
      <w:r w:rsidR="00502C76">
        <w:rPr>
          <w:rFonts w:ascii="Arial" w:hAnsi="Arial" w:cs="Arial"/>
          <w:color w:val="000000"/>
          <w:sz w:val="24"/>
          <w:szCs w:val="24"/>
        </w:rPr>
        <w:t>ă</w:t>
      </w:r>
      <w:r w:rsidRPr="0002315F">
        <w:rPr>
          <w:rFonts w:ascii="Arial" w:hAnsi="Arial" w:cs="Arial"/>
          <w:color w:val="000000"/>
          <w:sz w:val="24"/>
          <w:szCs w:val="24"/>
        </w:rPr>
        <w:t>, pentru o perioda mai mare de 12 luni, beneficiaz</w:t>
      </w:r>
      <w:r w:rsidR="00502C76">
        <w:rPr>
          <w:rFonts w:ascii="Arial" w:hAnsi="Arial" w:cs="Arial"/>
          <w:color w:val="000000"/>
          <w:sz w:val="24"/>
          <w:szCs w:val="24"/>
        </w:rPr>
        <w:t>ă</w:t>
      </w:r>
      <w:r w:rsidRPr="0002315F">
        <w:rPr>
          <w:rFonts w:ascii="Arial" w:hAnsi="Arial" w:cs="Arial"/>
          <w:color w:val="000000"/>
          <w:sz w:val="24"/>
          <w:szCs w:val="24"/>
        </w:rPr>
        <w:t>, din bugetul asigur</w:t>
      </w:r>
      <w:r w:rsidR="00502C76">
        <w:rPr>
          <w:rFonts w:ascii="Arial" w:hAnsi="Arial" w:cs="Arial"/>
          <w:color w:val="000000"/>
          <w:sz w:val="24"/>
          <w:szCs w:val="24"/>
        </w:rPr>
        <w:t>ă</w:t>
      </w:r>
      <w:r w:rsidRPr="0002315F">
        <w:rPr>
          <w:rFonts w:ascii="Arial" w:hAnsi="Arial" w:cs="Arial"/>
          <w:color w:val="000000"/>
          <w:sz w:val="24"/>
          <w:szCs w:val="24"/>
        </w:rPr>
        <w:t xml:space="preserve">rilor de </w:t>
      </w:r>
      <w:r w:rsidR="00CE57F1">
        <w:rPr>
          <w:rFonts w:ascii="Arial" w:hAnsi="Arial" w:cs="Arial"/>
          <w:color w:val="000000"/>
          <w:sz w:val="24"/>
          <w:szCs w:val="24"/>
        </w:rPr>
        <w:t>ș</w:t>
      </w:r>
      <w:r w:rsidRPr="0002315F">
        <w:rPr>
          <w:rFonts w:ascii="Arial" w:hAnsi="Arial" w:cs="Arial"/>
          <w:color w:val="000000"/>
          <w:sz w:val="24"/>
          <w:szCs w:val="24"/>
        </w:rPr>
        <w:t xml:space="preserve">omaj, de prima de </w:t>
      </w:r>
      <w:r w:rsidR="00502C76">
        <w:rPr>
          <w:rFonts w:ascii="Arial" w:hAnsi="Arial" w:cs="Arial"/>
          <w:color w:val="000000"/>
          <w:sz w:val="24"/>
          <w:szCs w:val="24"/>
        </w:rPr>
        <w:t>î</w:t>
      </w:r>
      <w:r w:rsidRPr="0002315F">
        <w:rPr>
          <w:rFonts w:ascii="Arial" w:hAnsi="Arial" w:cs="Arial"/>
          <w:color w:val="000000"/>
          <w:sz w:val="24"/>
          <w:szCs w:val="24"/>
        </w:rPr>
        <w:t>ncadrare egal</w:t>
      </w:r>
      <w:r w:rsidR="00F90833">
        <w:rPr>
          <w:rFonts w:ascii="Arial" w:hAnsi="Arial" w:cs="Arial"/>
          <w:color w:val="000000"/>
          <w:sz w:val="24"/>
          <w:szCs w:val="24"/>
        </w:rPr>
        <w:t>ă</w:t>
      </w:r>
      <w:r w:rsidRPr="0002315F">
        <w:rPr>
          <w:rFonts w:ascii="Arial" w:hAnsi="Arial" w:cs="Arial"/>
          <w:color w:val="000000"/>
          <w:sz w:val="24"/>
          <w:szCs w:val="24"/>
        </w:rPr>
        <w:t xml:space="preserve"> cu valoarea indicatorului social de referin</w:t>
      </w:r>
      <w:r w:rsidR="00502C76">
        <w:rPr>
          <w:rFonts w:ascii="Arial" w:hAnsi="Arial" w:cs="Arial"/>
          <w:color w:val="000000"/>
          <w:sz w:val="24"/>
          <w:szCs w:val="24"/>
        </w:rPr>
        <w:t>ță</w:t>
      </w:r>
      <w:r w:rsidRPr="0002315F">
        <w:rPr>
          <w:rFonts w:ascii="Arial" w:hAnsi="Arial" w:cs="Arial"/>
          <w:color w:val="000000"/>
          <w:sz w:val="24"/>
          <w:szCs w:val="24"/>
        </w:rPr>
        <w:t xml:space="preserve"> </w:t>
      </w:r>
      <w:r w:rsidR="00502C76">
        <w:rPr>
          <w:rFonts w:ascii="Arial" w:hAnsi="Arial" w:cs="Arial"/>
          <w:color w:val="000000"/>
          <w:sz w:val="24"/>
          <w:szCs w:val="24"/>
        </w:rPr>
        <w:t>î</w:t>
      </w:r>
      <w:r w:rsidRPr="0002315F">
        <w:rPr>
          <w:rFonts w:ascii="Arial" w:hAnsi="Arial" w:cs="Arial"/>
          <w:color w:val="000000"/>
          <w:sz w:val="24"/>
          <w:szCs w:val="24"/>
        </w:rPr>
        <w:t xml:space="preserve">n vigoare la data </w:t>
      </w:r>
      <w:r w:rsidR="00502C76">
        <w:rPr>
          <w:rFonts w:ascii="Arial" w:hAnsi="Arial" w:cs="Arial"/>
          <w:color w:val="000000"/>
          <w:sz w:val="24"/>
          <w:szCs w:val="24"/>
        </w:rPr>
        <w:t>î</w:t>
      </w:r>
      <w:r w:rsidRPr="0002315F">
        <w:rPr>
          <w:rFonts w:ascii="Arial" w:hAnsi="Arial" w:cs="Arial"/>
          <w:color w:val="000000"/>
          <w:sz w:val="24"/>
          <w:szCs w:val="24"/>
        </w:rPr>
        <w:t>ncadr</w:t>
      </w:r>
      <w:r w:rsidR="00502C76">
        <w:rPr>
          <w:rFonts w:ascii="Arial" w:hAnsi="Arial" w:cs="Arial"/>
          <w:color w:val="000000"/>
          <w:sz w:val="24"/>
          <w:szCs w:val="24"/>
        </w:rPr>
        <w:t>ă</w:t>
      </w:r>
      <w:r w:rsidRPr="0002315F">
        <w:rPr>
          <w:rFonts w:ascii="Arial" w:hAnsi="Arial" w:cs="Arial"/>
          <w:color w:val="000000"/>
          <w:sz w:val="24"/>
          <w:szCs w:val="24"/>
        </w:rPr>
        <w:t>rii „</w:t>
      </w:r>
    </w:p>
    <w:p w:rsidR="0002315F" w:rsidRPr="0002315F" w:rsidRDefault="0002315F" w:rsidP="00373E67">
      <w:pPr>
        <w:spacing w:after="0" w:line="240" w:lineRule="auto"/>
        <w:jc w:val="both"/>
        <w:rPr>
          <w:rFonts w:ascii="Arial" w:hAnsi="Arial" w:cs="Arial"/>
          <w:color w:val="000000"/>
          <w:sz w:val="24"/>
          <w:szCs w:val="24"/>
        </w:rPr>
      </w:pPr>
      <w:r>
        <w:rPr>
          <w:rFonts w:ascii="Arial" w:hAnsi="Arial" w:cs="Arial"/>
          <w:color w:val="000000"/>
          <w:sz w:val="24"/>
          <w:szCs w:val="24"/>
        </w:rPr>
        <w:t xml:space="preserve">Angajatorii sunt încurajați pentru încadrarea elevilor și studenților pe perioada vacanțelor, </w:t>
      </w:r>
      <w:r w:rsidRPr="0002315F">
        <w:rPr>
          <w:rFonts w:ascii="Arial" w:hAnsi="Arial" w:cs="Arial"/>
          <w:color w:val="000000"/>
          <w:sz w:val="24"/>
          <w:szCs w:val="24"/>
        </w:rPr>
        <w:t xml:space="preserve"> (conf. Legii nr. 72/2007) „Angajatorul care </w:t>
      </w:r>
      <w:r w:rsidR="00502C76">
        <w:rPr>
          <w:rFonts w:ascii="Arial" w:hAnsi="Arial" w:cs="Arial"/>
          <w:color w:val="000000"/>
          <w:sz w:val="24"/>
          <w:szCs w:val="24"/>
        </w:rPr>
        <w:t>î</w:t>
      </w:r>
      <w:r w:rsidRPr="0002315F">
        <w:rPr>
          <w:rFonts w:ascii="Arial" w:hAnsi="Arial" w:cs="Arial"/>
          <w:color w:val="000000"/>
          <w:sz w:val="24"/>
          <w:szCs w:val="24"/>
        </w:rPr>
        <w:t>ncadreaz</w:t>
      </w:r>
      <w:r w:rsidR="00502C76">
        <w:rPr>
          <w:rFonts w:ascii="Arial" w:hAnsi="Arial" w:cs="Arial"/>
          <w:color w:val="000000"/>
          <w:sz w:val="24"/>
          <w:szCs w:val="24"/>
        </w:rPr>
        <w:t>ă</w:t>
      </w:r>
      <w:r w:rsidRPr="0002315F">
        <w:rPr>
          <w:rFonts w:ascii="Arial" w:hAnsi="Arial" w:cs="Arial"/>
          <w:color w:val="000000"/>
          <w:sz w:val="24"/>
          <w:szCs w:val="24"/>
        </w:rPr>
        <w:t xml:space="preserve"> </w:t>
      </w:r>
      <w:r w:rsidR="00502C76">
        <w:rPr>
          <w:rFonts w:ascii="Arial" w:hAnsi="Arial" w:cs="Arial"/>
          <w:color w:val="000000"/>
          <w:sz w:val="24"/>
          <w:szCs w:val="24"/>
        </w:rPr>
        <w:t>î</w:t>
      </w:r>
      <w:r w:rsidRPr="0002315F">
        <w:rPr>
          <w:rFonts w:ascii="Arial" w:hAnsi="Arial" w:cs="Arial"/>
          <w:color w:val="000000"/>
          <w:sz w:val="24"/>
          <w:szCs w:val="24"/>
        </w:rPr>
        <w:t>n munc</w:t>
      </w:r>
      <w:r w:rsidR="00502C76">
        <w:rPr>
          <w:rFonts w:ascii="Arial" w:hAnsi="Arial" w:cs="Arial"/>
          <w:color w:val="000000"/>
          <w:sz w:val="24"/>
          <w:szCs w:val="24"/>
        </w:rPr>
        <w:t>ă</w:t>
      </w:r>
      <w:r w:rsidRPr="0002315F">
        <w:rPr>
          <w:rFonts w:ascii="Arial" w:hAnsi="Arial" w:cs="Arial"/>
          <w:color w:val="000000"/>
          <w:sz w:val="24"/>
          <w:szCs w:val="24"/>
        </w:rPr>
        <w:t xml:space="preserve"> elevi </w:t>
      </w:r>
      <w:r w:rsidR="00502C76">
        <w:rPr>
          <w:rFonts w:ascii="Arial" w:hAnsi="Arial" w:cs="Arial"/>
          <w:color w:val="000000"/>
          <w:sz w:val="24"/>
          <w:szCs w:val="24"/>
        </w:rPr>
        <w:t>ș</w:t>
      </w:r>
      <w:r w:rsidRPr="0002315F">
        <w:rPr>
          <w:rFonts w:ascii="Arial" w:hAnsi="Arial" w:cs="Arial"/>
          <w:color w:val="000000"/>
          <w:sz w:val="24"/>
          <w:szCs w:val="24"/>
        </w:rPr>
        <w:t>i studen</w:t>
      </w:r>
      <w:r w:rsidR="00502C76">
        <w:rPr>
          <w:rFonts w:ascii="Arial" w:hAnsi="Arial" w:cs="Arial"/>
          <w:color w:val="000000"/>
          <w:sz w:val="24"/>
          <w:szCs w:val="24"/>
        </w:rPr>
        <w:t>ți</w:t>
      </w:r>
      <w:r w:rsidRPr="0002315F">
        <w:rPr>
          <w:rFonts w:ascii="Arial" w:hAnsi="Arial" w:cs="Arial"/>
          <w:color w:val="000000"/>
          <w:sz w:val="24"/>
          <w:szCs w:val="24"/>
        </w:rPr>
        <w:t xml:space="preserve"> pe perioada vacan</w:t>
      </w:r>
      <w:r w:rsidR="00CE57F1">
        <w:rPr>
          <w:rFonts w:ascii="Arial" w:hAnsi="Arial" w:cs="Arial"/>
          <w:color w:val="000000"/>
          <w:sz w:val="24"/>
          <w:szCs w:val="24"/>
        </w:rPr>
        <w:t>ț</w:t>
      </w:r>
      <w:r w:rsidRPr="0002315F">
        <w:rPr>
          <w:rFonts w:ascii="Arial" w:hAnsi="Arial" w:cs="Arial"/>
          <w:color w:val="000000"/>
          <w:sz w:val="24"/>
          <w:szCs w:val="24"/>
        </w:rPr>
        <w:t>elor beneficiaz</w:t>
      </w:r>
      <w:r w:rsidR="00502C76">
        <w:rPr>
          <w:rFonts w:ascii="Arial" w:hAnsi="Arial" w:cs="Arial"/>
          <w:color w:val="000000"/>
          <w:sz w:val="24"/>
          <w:szCs w:val="24"/>
        </w:rPr>
        <w:t>ă</w:t>
      </w:r>
      <w:r w:rsidRPr="0002315F">
        <w:rPr>
          <w:rFonts w:ascii="Arial" w:hAnsi="Arial" w:cs="Arial"/>
          <w:color w:val="000000"/>
          <w:sz w:val="24"/>
          <w:szCs w:val="24"/>
        </w:rPr>
        <w:t xml:space="preserve"> de un stimulent financiar lunar egal cu 50% din valoarea indicatorului social de referin</w:t>
      </w:r>
      <w:r w:rsidR="00CE57F1">
        <w:rPr>
          <w:rFonts w:ascii="Arial" w:hAnsi="Arial" w:cs="Arial"/>
          <w:color w:val="000000"/>
          <w:sz w:val="24"/>
          <w:szCs w:val="24"/>
        </w:rPr>
        <w:t>ță</w:t>
      </w:r>
      <w:r w:rsidRPr="0002315F">
        <w:rPr>
          <w:rFonts w:ascii="Arial" w:hAnsi="Arial" w:cs="Arial"/>
          <w:color w:val="000000"/>
          <w:sz w:val="24"/>
          <w:szCs w:val="24"/>
        </w:rPr>
        <w:t xml:space="preserve"> al asigurarilor pentru somaj </w:t>
      </w:r>
      <w:r w:rsidR="00CE57F1">
        <w:rPr>
          <w:rFonts w:ascii="Arial" w:hAnsi="Arial" w:cs="Arial"/>
          <w:color w:val="000000"/>
          <w:sz w:val="24"/>
          <w:szCs w:val="24"/>
        </w:rPr>
        <w:t>ș</w:t>
      </w:r>
      <w:r w:rsidRPr="0002315F">
        <w:rPr>
          <w:rFonts w:ascii="Arial" w:hAnsi="Arial" w:cs="Arial"/>
          <w:color w:val="000000"/>
          <w:sz w:val="24"/>
          <w:szCs w:val="24"/>
        </w:rPr>
        <w:t>i stimul</w:t>
      </w:r>
      <w:r w:rsidR="00CE57F1">
        <w:rPr>
          <w:rFonts w:ascii="Arial" w:hAnsi="Arial" w:cs="Arial"/>
          <w:color w:val="000000"/>
          <w:sz w:val="24"/>
          <w:szCs w:val="24"/>
        </w:rPr>
        <w:t>ă</w:t>
      </w:r>
      <w:r w:rsidRPr="0002315F">
        <w:rPr>
          <w:rFonts w:ascii="Arial" w:hAnsi="Arial" w:cs="Arial"/>
          <w:color w:val="000000"/>
          <w:sz w:val="24"/>
          <w:szCs w:val="24"/>
        </w:rPr>
        <w:t>rii ocup</w:t>
      </w:r>
      <w:r w:rsidR="00502C76">
        <w:rPr>
          <w:rFonts w:ascii="Arial" w:hAnsi="Arial" w:cs="Arial"/>
          <w:color w:val="000000"/>
          <w:sz w:val="24"/>
          <w:szCs w:val="24"/>
        </w:rPr>
        <w:t>ă</w:t>
      </w:r>
      <w:r w:rsidRPr="0002315F">
        <w:rPr>
          <w:rFonts w:ascii="Arial" w:hAnsi="Arial" w:cs="Arial"/>
          <w:color w:val="000000"/>
          <w:sz w:val="24"/>
          <w:szCs w:val="24"/>
        </w:rPr>
        <w:t>rii for</w:t>
      </w:r>
      <w:r w:rsidR="00502C76">
        <w:rPr>
          <w:rFonts w:ascii="Arial" w:hAnsi="Arial" w:cs="Arial"/>
          <w:color w:val="000000"/>
          <w:sz w:val="24"/>
          <w:szCs w:val="24"/>
        </w:rPr>
        <w:t>ț</w:t>
      </w:r>
      <w:r w:rsidRPr="0002315F">
        <w:rPr>
          <w:rFonts w:ascii="Arial" w:hAnsi="Arial" w:cs="Arial"/>
          <w:color w:val="000000"/>
          <w:sz w:val="24"/>
          <w:szCs w:val="24"/>
        </w:rPr>
        <w:t>ei de munc</w:t>
      </w:r>
      <w:r w:rsidR="00502C76">
        <w:rPr>
          <w:rFonts w:ascii="Arial" w:hAnsi="Arial" w:cs="Arial"/>
          <w:color w:val="000000"/>
          <w:sz w:val="24"/>
          <w:szCs w:val="24"/>
        </w:rPr>
        <w:t>ă</w:t>
      </w:r>
      <w:r w:rsidRPr="0002315F">
        <w:rPr>
          <w:rFonts w:ascii="Arial" w:hAnsi="Arial" w:cs="Arial"/>
          <w:color w:val="000000"/>
          <w:sz w:val="24"/>
          <w:szCs w:val="24"/>
        </w:rPr>
        <w:t xml:space="preserve"> </w:t>
      </w:r>
      <w:r w:rsidR="00502C76">
        <w:rPr>
          <w:rFonts w:ascii="Arial" w:hAnsi="Arial" w:cs="Arial"/>
          <w:color w:val="000000"/>
          <w:sz w:val="24"/>
          <w:szCs w:val="24"/>
        </w:rPr>
        <w:t>î</w:t>
      </w:r>
      <w:r w:rsidRPr="0002315F">
        <w:rPr>
          <w:rFonts w:ascii="Arial" w:hAnsi="Arial" w:cs="Arial"/>
          <w:color w:val="000000"/>
          <w:sz w:val="24"/>
          <w:szCs w:val="24"/>
        </w:rPr>
        <w:t>n vigoare, prevazute de Legea nr. 76/2002 privind sistemul asigurarilor pentru somaj si stimularea ocup</w:t>
      </w:r>
      <w:r w:rsidR="00502C76">
        <w:rPr>
          <w:rFonts w:ascii="Arial" w:hAnsi="Arial" w:cs="Arial"/>
          <w:color w:val="000000"/>
          <w:sz w:val="24"/>
          <w:szCs w:val="24"/>
        </w:rPr>
        <w:t>ă</w:t>
      </w:r>
      <w:r w:rsidRPr="0002315F">
        <w:rPr>
          <w:rFonts w:ascii="Arial" w:hAnsi="Arial" w:cs="Arial"/>
          <w:color w:val="000000"/>
          <w:sz w:val="24"/>
          <w:szCs w:val="24"/>
        </w:rPr>
        <w:t>rii for</w:t>
      </w:r>
      <w:r w:rsidR="00502C76">
        <w:rPr>
          <w:rFonts w:ascii="Arial" w:hAnsi="Arial" w:cs="Arial"/>
          <w:color w:val="000000"/>
          <w:sz w:val="24"/>
          <w:szCs w:val="24"/>
        </w:rPr>
        <w:t>ț</w:t>
      </w:r>
      <w:r w:rsidRPr="0002315F">
        <w:rPr>
          <w:rFonts w:ascii="Arial" w:hAnsi="Arial" w:cs="Arial"/>
          <w:color w:val="000000"/>
          <w:sz w:val="24"/>
          <w:szCs w:val="24"/>
        </w:rPr>
        <w:t>ei de munc</w:t>
      </w:r>
      <w:r w:rsidR="00502C76">
        <w:rPr>
          <w:rFonts w:ascii="Arial" w:hAnsi="Arial" w:cs="Arial"/>
          <w:color w:val="000000"/>
          <w:sz w:val="24"/>
          <w:szCs w:val="24"/>
        </w:rPr>
        <w:t>ă</w:t>
      </w:r>
      <w:r w:rsidRPr="0002315F">
        <w:rPr>
          <w:rFonts w:ascii="Arial" w:hAnsi="Arial" w:cs="Arial"/>
          <w:color w:val="000000"/>
          <w:sz w:val="24"/>
          <w:szCs w:val="24"/>
        </w:rPr>
        <w:t xml:space="preserve">, cu modificarile </w:t>
      </w:r>
      <w:r w:rsidR="00502C76">
        <w:rPr>
          <w:rFonts w:ascii="Arial" w:hAnsi="Arial" w:cs="Arial"/>
          <w:color w:val="000000"/>
          <w:sz w:val="24"/>
          <w:szCs w:val="24"/>
        </w:rPr>
        <w:t>ș</w:t>
      </w:r>
      <w:r w:rsidRPr="0002315F">
        <w:rPr>
          <w:rFonts w:ascii="Arial" w:hAnsi="Arial" w:cs="Arial"/>
          <w:color w:val="000000"/>
          <w:sz w:val="24"/>
          <w:szCs w:val="24"/>
        </w:rPr>
        <w:t>i complet</w:t>
      </w:r>
      <w:r w:rsidR="00502C76">
        <w:rPr>
          <w:rFonts w:ascii="Arial" w:hAnsi="Arial" w:cs="Arial"/>
          <w:color w:val="000000"/>
          <w:sz w:val="24"/>
          <w:szCs w:val="24"/>
        </w:rPr>
        <w:t>ă</w:t>
      </w:r>
      <w:r w:rsidRPr="0002315F">
        <w:rPr>
          <w:rFonts w:ascii="Arial" w:hAnsi="Arial" w:cs="Arial"/>
          <w:color w:val="000000"/>
          <w:sz w:val="24"/>
          <w:szCs w:val="24"/>
        </w:rPr>
        <w:t>rile ulterioare.</w:t>
      </w:r>
      <w:r w:rsidR="00502C76">
        <w:rPr>
          <w:rFonts w:ascii="Arial" w:hAnsi="Arial" w:cs="Arial"/>
          <w:color w:val="000000"/>
          <w:sz w:val="24"/>
          <w:szCs w:val="24"/>
        </w:rPr>
        <w:t xml:space="preserve"> </w:t>
      </w:r>
      <w:r w:rsidRPr="0002315F">
        <w:rPr>
          <w:rFonts w:ascii="Arial" w:hAnsi="Arial" w:cs="Arial"/>
          <w:color w:val="000000"/>
          <w:sz w:val="24"/>
          <w:szCs w:val="24"/>
        </w:rPr>
        <w:t>Stimulentul financiar se acord</w:t>
      </w:r>
      <w:r w:rsidR="00502C76">
        <w:rPr>
          <w:rFonts w:ascii="Arial" w:hAnsi="Arial" w:cs="Arial"/>
          <w:color w:val="000000"/>
          <w:sz w:val="24"/>
          <w:szCs w:val="24"/>
        </w:rPr>
        <w:t>ă</w:t>
      </w:r>
      <w:r w:rsidRPr="0002315F">
        <w:rPr>
          <w:rFonts w:ascii="Arial" w:hAnsi="Arial" w:cs="Arial"/>
          <w:color w:val="000000"/>
          <w:sz w:val="24"/>
          <w:szCs w:val="24"/>
        </w:rPr>
        <w:t xml:space="preserve"> la cererea angajatorului din bugetul asigur</w:t>
      </w:r>
      <w:r w:rsidR="00502C76">
        <w:rPr>
          <w:rFonts w:ascii="Arial" w:hAnsi="Arial" w:cs="Arial"/>
          <w:color w:val="000000"/>
          <w:sz w:val="24"/>
          <w:szCs w:val="24"/>
        </w:rPr>
        <w:t>ă</w:t>
      </w:r>
      <w:r w:rsidRPr="0002315F">
        <w:rPr>
          <w:rFonts w:ascii="Arial" w:hAnsi="Arial" w:cs="Arial"/>
          <w:color w:val="000000"/>
          <w:sz w:val="24"/>
          <w:szCs w:val="24"/>
        </w:rPr>
        <w:t>rilor pentru somaj.</w:t>
      </w:r>
      <w:r w:rsidR="00456994">
        <w:rPr>
          <w:rFonts w:ascii="Arial" w:hAnsi="Arial" w:cs="Arial"/>
          <w:color w:val="000000"/>
          <w:sz w:val="24"/>
          <w:szCs w:val="24"/>
        </w:rPr>
        <w:t xml:space="preserve"> </w:t>
      </w:r>
      <w:r w:rsidRPr="0002315F">
        <w:rPr>
          <w:rFonts w:ascii="Arial" w:hAnsi="Arial" w:cs="Arial"/>
          <w:color w:val="000000"/>
          <w:sz w:val="24"/>
          <w:szCs w:val="24"/>
        </w:rPr>
        <w:t>Perioada maxim</w:t>
      </w:r>
      <w:r w:rsidR="00502C76">
        <w:rPr>
          <w:rFonts w:ascii="Arial" w:hAnsi="Arial" w:cs="Arial"/>
          <w:color w:val="000000"/>
          <w:sz w:val="24"/>
          <w:szCs w:val="24"/>
        </w:rPr>
        <w:t>ă</w:t>
      </w:r>
      <w:r w:rsidRPr="0002315F">
        <w:rPr>
          <w:rFonts w:ascii="Arial" w:hAnsi="Arial" w:cs="Arial"/>
          <w:color w:val="000000"/>
          <w:sz w:val="24"/>
          <w:szCs w:val="24"/>
        </w:rPr>
        <w:t xml:space="preserve"> de acordare a stimulentului financiar prevazut este de 60 de zile lucratoare </w:t>
      </w:r>
      <w:r w:rsidR="00502C76">
        <w:rPr>
          <w:rFonts w:ascii="Arial" w:hAnsi="Arial" w:cs="Arial"/>
          <w:color w:val="000000"/>
          <w:sz w:val="24"/>
          <w:szCs w:val="24"/>
        </w:rPr>
        <w:t>î</w:t>
      </w:r>
      <w:r w:rsidRPr="0002315F">
        <w:rPr>
          <w:rFonts w:ascii="Arial" w:hAnsi="Arial" w:cs="Arial"/>
          <w:color w:val="000000"/>
          <w:sz w:val="24"/>
          <w:szCs w:val="24"/>
        </w:rPr>
        <w:t>ntr-un an calendaristic„</w:t>
      </w:r>
    </w:p>
    <w:p w:rsidR="00E728E3" w:rsidRDefault="00E728E3" w:rsidP="000C6A67">
      <w:pPr>
        <w:pStyle w:val="Heading2"/>
        <w:spacing w:before="0" w:line="240" w:lineRule="auto"/>
        <w:jc w:val="both"/>
        <w:rPr>
          <w:rFonts w:ascii="Arial" w:hAnsi="Arial" w:cs="Arial"/>
          <w:i/>
          <w:color w:val="auto"/>
          <w:sz w:val="24"/>
          <w:szCs w:val="24"/>
          <w:lang w:eastAsia="ro-RO"/>
        </w:rPr>
      </w:pPr>
    </w:p>
    <w:p w:rsidR="00406DCE" w:rsidRDefault="00FE3CCA" w:rsidP="000C6A67">
      <w:pPr>
        <w:pStyle w:val="Heading2"/>
        <w:spacing w:before="0" w:line="240" w:lineRule="auto"/>
        <w:jc w:val="both"/>
        <w:rPr>
          <w:rFonts w:ascii="Arial" w:hAnsi="Arial" w:cs="Arial"/>
          <w:i/>
          <w:color w:val="auto"/>
          <w:sz w:val="24"/>
          <w:szCs w:val="24"/>
          <w:lang w:eastAsia="ro-RO"/>
        </w:rPr>
      </w:pPr>
      <w:bookmarkStart w:id="117" w:name="_Toc488066086"/>
      <w:r w:rsidRPr="001937AF">
        <w:rPr>
          <w:rFonts w:ascii="Arial" w:hAnsi="Arial" w:cs="Arial"/>
          <w:i/>
          <w:color w:val="auto"/>
          <w:sz w:val="24"/>
          <w:szCs w:val="24"/>
          <w:lang w:eastAsia="ro-RO"/>
        </w:rPr>
        <w:t>6.5</w:t>
      </w:r>
      <w:r w:rsidR="00406DCE" w:rsidRPr="001937AF">
        <w:rPr>
          <w:rFonts w:ascii="Arial" w:hAnsi="Arial" w:cs="Arial"/>
          <w:i/>
          <w:color w:val="auto"/>
          <w:sz w:val="24"/>
          <w:szCs w:val="24"/>
          <w:lang w:eastAsia="ro-RO"/>
        </w:rPr>
        <w:t>. Concluzii din analiza ÎPT</w:t>
      </w:r>
      <w:bookmarkEnd w:id="117"/>
      <w:r w:rsidR="00406DCE" w:rsidRPr="001937AF">
        <w:rPr>
          <w:rFonts w:ascii="Arial" w:hAnsi="Arial" w:cs="Arial"/>
          <w:i/>
          <w:color w:val="auto"/>
          <w:sz w:val="24"/>
          <w:szCs w:val="24"/>
          <w:lang w:eastAsia="ro-RO"/>
        </w:rPr>
        <w:t xml:space="preserve"> </w:t>
      </w:r>
    </w:p>
    <w:p w:rsidR="0048184B" w:rsidRPr="0048184B" w:rsidRDefault="0048184B" w:rsidP="00045530">
      <w:pPr>
        <w:spacing w:after="0"/>
        <w:jc w:val="both"/>
        <w:rPr>
          <w:rFonts w:ascii="Arial" w:hAnsi="Arial" w:cs="Arial"/>
          <w:sz w:val="24"/>
          <w:szCs w:val="24"/>
          <w:lang w:eastAsia="ro-RO"/>
        </w:rPr>
      </w:pPr>
      <w:r w:rsidRPr="0048184B">
        <w:rPr>
          <w:rFonts w:ascii="Arial" w:hAnsi="Arial" w:cs="Arial"/>
          <w:sz w:val="24"/>
          <w:szCs w:val="24"/>
          <w:lang w:eastAsia="ro-RO"/>
        </w:rPr>
        <w:t>Următoarele concluzii constituie subiectul unor analize pe termen scurt şi mediul pentru identi</w:t>
      </w:r>
      <w:r w:rsidR="00456994">
        <w:rPr>
          <w:rFonts w:ascii="Arial" w:hAnsi="Arial" w:cs="Arial"/>
          <w:sz w:val="24"/>
          <w:szCs w:val="24"/>
          <w:lang w:eastAsia="ro-RO"/>
        </w:rPr>
        <w:t>f</w:t>
      </w:r>
      <w:r w:rsidRPr="0048184B">
        <w:rPr>
          <w:rFonts w:ascii="Arial" w:hAnsi="Arial" w:cs="Arial"/>
          <w:sz w:val="24"/>
          <w:szCs w:val="24"/>
          <w:lang w:eastAsia="ro-RO"/>
        </w:rPr>
        <w:t xml:space="preserve">icarea de soluţii – fie la nivel de judeţ sau regiune, fie cuprinderea lor în acţiuni de surpot pentru politici educaţionale la nivel naţional: </w:t>
      </w:r>
    </w:p>
    <w:p w:rsidR="00045530" w:rsidRDefault="0048184B" w:rsidP="00445724">
      <w:pPr>
        <w:pStyle w:val="ListParagraph"/>
        <w:numPr>
          <w:ilvl w:val="0"/>
          <w:numId w:val="23"/>
        </w:numPr>
        <w:ind w:left="0" w:firstLine="360"/>
        <w:jc w:val="both"/>
        <w:rPr>
          <w:rFonts w:ascii="Arial" w:hAnsi="Arial" w:cs="Arial"/>
          <w:sz w:val="24"/>
          <w:szCs w:val="24"/>
          <w:lang w:eastAsia="ro-RO"/>
        </w:rPr>
      </w:pPr>
      <w:r w:rsidRPr="00045530">
        <w:rPr>
          <w:rFonts w:ascii="Arial" w:hAnsi="Arial" w:cs="Arial"/>
          <w:sz w:val="24"/>
          <w:szCs w:val="24"/>
          <w:lang w:eastAsia="ro-RO"/>
        </w:rPr>
        <w:t xml:space="preserve">În anul şcolar 2015-2016, cel mai mare număr de elevi cuprinşi în învăţământul profesional este înregistrat în Regiunea Nord-Est urmată de Regiunea Centru. La polul opus se situează Bucureşi-Ilfov şi Regiunea Vest. </w:t>
      </w:r>
    </w:p>
    <w:p w:rsidR="00045530" w:rsidRDefault="0048184B" w:rsidP="00445724">
      <w:pPr>
        <w:pStyle w:val="ListParagraph"/>
        <w:numPr>
          <w:ilvl w:val="0"/>
          <w:numId w:val="23"/>
        </w:numPr>
        <w:ind w:left="0" w:firstLine="360"/>
        <w:jc w:val="both"/>
        <w:rPr>
          <w:rFonts w:ascii="Arial" w:hAnsi="Arial" w:cs="Arial"/>
          <w:sz w:val="24"/>
          <w:szCs w:val="24"/>
          <w:lang w:eastAsia="ro-RO"/>
        </w:rPr>
      </w:pPr>
      <w:r w:rsidRPr="00045530">
        <w:rPr>
          <w:rFonts w:ascii="Arial" w:hAnsi="Arial" w:cs="Arial"/>
          <w:sz w:val="24"/>
          <w:szCs w:val="24"/>
          <w:lang w:eastAsia="ro-RO"/>
        </w:rPr>
        <w:t xml:space="preserve">Remarcăm tendinţa de creştere a gradului de cuprindere a populaţiei din grupa de vârstă 3-6 ani în judeţele Caraş-Severin cu 6,7%, Hunedoara cu 6,2% şi Arad cu 3,1% iar în judeţul Timiş acest indicator scade cu 5,9%. </w:t>
      </w:r>
    </w:p>
    <w:p w:rsidR="00045530" w:rsidRDefault="0048184B" w:rsidP="00445724">
      <w:pPr>
        <w:pStyle w:val="ListParagraph"/>
        <w:numPr>
          <w:ilvl w:val="0"/>
          <w:numId w:val="23"/>
        </w:numPr>
        <w:ind w:left="0" w:firstLine="360"/>
        <w:jc w:val="both"/>
        <w:rPr>
          <w:rFonts w:ascii="Arial" w:hAnsi="Arial" w:cs="Arial"/>
          <w:sz w:val="24"/>
          <w:szCs w:val="24"/>
          <w:lang w:eastAsia="ro-RO"/>
        </w:rPr>
      </w:pPr>
      <w:r w:rsidRPr="00045530">
        <w:rPr>
          <w:rFonts w:ascii="Arial" w:hAnsi="Arial" w:cs="Arial"/>
          <w:sz w:val="24"/>
          <w:szCs w:val="24"/>
          <w:lang w:eastAsia="ro-RO"/>
        </w:rPr>
        <w:lastRenderedPageBreak/>
        <w:t xml:space="preserve">Gradul de cuprindere în învăţământ a populaţiei din grupa de vârstă 7-10 ani înregistrează valori ridicate de peste 90% dar observăm că, de-a lungul perioadei analizate acesta are o evoluţie descendenţa atât la nivel naţional (-5,3 puncte procentuale) cât şi la nivelul Regiunii Vest (- 6,9 puncte procentuale). Având în vedere faptul că, această categorie de vârstă urmează învăţământul obligatoriu, valorile în jur de 90 % şi mai ales tendinţa de descreştere semnalează fenomene grave, care necesită intervenţii urgenţe. </w:t>
      </w:r>
    </w:p>
    <w:p w:rsidR="00045530" w:rsidRDefault="0048184B" w:rsidP="00445724">
      <w:pPr>
        <w:pStyle w:val="ListParagraph"/>
        <w:numPr>
          <w:ilvl w:val="0"/>
          <w:numId w:val="23"/>
        </w:numPr>
        <w:ind w:left="0" w:firstLine="360"/>
        <w:jc w:val="both"/>
        <w:rPr>
          <w:rFonts w:ascii="Arial" w:hAnsi="Arial" w:cs="Arial"/>
          <w:sz w:val="24"/>
          <w:szCs w:val="24"/>
          <w:lang w:eastAsia="ro-RO"/>
        </w:rPr>
      </w:pPr>
      <w:r w:rsidRPr="00045530">
        <w:rPr>
          <w:rFonts w:ascii="Arial" w:hAnsi="Arial" w:cs="Arial"/>
          <w:sz w:val="24"/>
          <w:szCs w:val="24"/>
          <w:lang w:eastAsia="ro-RO"/>
        </w:rPr>
        <w:t xml:space="preserve">Gradul de cuprindere în învăţământ a populaţiei din grupa de vârstă 11-14 ani: Diferenţe mai importante, care tind să se accentueze, se constată pe medii de rezidenţă, în defavoarea mediului rural. În timp ce în mediul urban valoarea indicatorului destul de ridicată (atinge valori apropiate sau chiar peste 100%), cu o evoluţie oscilantă, continuă să crească şi în ultimul an al perioadei analizate ajunge la 106,5%, în rural se înregistrează o diminuare continuă a gradului de cuprindere de la 81,3% (în anul şcolar 2007-2008) la 69,8% (în anul şcolar 2015-2016). Diferenţa de la un an la altul dintre mediul urban şi cel rural are tendinţa de creştere în favoarea mediului urban, de la 23,2% la începutul perioadei analizate, la 36,7% la sfârşitul acestei perioade. </w:t>
      </w:r>
    </w:p>
    <w:p w:rsidR="00045530" w:rsidRDefault="0048184B" w:rsidP="00445724">
      <w:pPr>
        <w:pStyle w:val="ListParagraph"/>
        <w:numPr>
          <w:ilvl w:val="0"/>
          <w:numId w:val="23"/>
        </w:numPr>
        <w:ind w:left="0" w:firstLine="360"/>
        <w:jc w:val="both"/>
        <w:rPr>
          <w:rFonts w:ascii="Arial" w:hAnsi="Arial" w:cs="Arial"/>
          <w:sz w:val="24"/>
          <w:szCs w:val="24"/>
          <w:lang w:eastAsia="ro-RO"/>
        </w:rPr>
      </w:pPr>
      <w:r w:rsidRPr="00045530">
        <w:rPr>
          <w:rFonts w:ascii="Arial" w:hAnsi="Arial" w:cs="Arial"/>
          <w:sz w:val="24"/>
          <w:szCs w:val="24"/>
          <w:lang w:eastAsia="ro-RO"/>
        </w:rPr>
        <w:t xml:space="preserve">În Regiunea Vest însă, gradul de cuprindere în învăţământ a populaţiei de vârstă 15-18 ani, are cea mai mare valoare de 79,9% la nivel naţional, în fiecare an şcolar supus analizei, însă este îngrijorător faptul că indicatorul prezintă un trend descrescător de la 80,1% (2007-2008) la 79,9% (2015-2016). Evoluţia a fost oscilantă cu o valoare maximă de 85,9% în anul şcolar 2010-2011. </w:t>
      </w:r>
      <w:r w:rsidRPr="00612317">
        <w:rPr>
          <w:rFonts w:ascii="Arial" w:hAnsi="Arial" w:cs="Arial"/>
          <w:sz w:val="24"/>
          <w:szCs w:val="24"/>
          <w:u w:val="single"/>
          <w:lang w:eastAsia="ro-RO"/>
        </w:rPr>
        <w:t>Acest indicator este important de analizat mai ales în ceea ce priveşte diferenţa de la valorile înregistrate până la 100%, această diferenţ</w:t>
      </w:r>
      <w:r w:rsidR="00612317">
        <w:rPr>
          <w:rFonts w:ascii="Arial" w:hAnsi="Arial" w:cs="Arial"/>
          <w:sz w:val="24"/>
          <w:szCs w:val="24"/>
          <w:u w:val="single"/>
          <w:lang w:eastAsia="ro-RO"/>
        </w:rPr>
        <w:t>ă</w:t>
      </w:r>
      <w:r w:rsidRPr="00612317">
        <w:rPr>
          <w:rFonts w:ascii="Arial" w:hAnsi="Arial" w:cs="Arial"/>
          <w:sz w:val="24"/>
          <w:szCs w:val="24"/>
          <w:u w:val="single"/>
          <w:lang w:eastAsia="ro-RO"/>
        </w:rPr>
        <w:t xml:space="preserve"> reprezentând elevii care au părăsit din diferite motive învăţământul, iar intervalul de vârstă 15-18 ani cuprinde şi perioada aferentă încă învăţământului obligatoriu</w:t>
      </w:r>
      <w:r w:rsidRPr="00045530">
        <w:rPr>
          <w:rFonts w:ascii="Arial" w:hAnsi="Arial" w:cs="Arial"/>
          <w:sz w:val="24"/>
          <w:szCs w:val="24"/>
          <w:lang w:eastAsia="ro-RO"/>
        </w:rPr>
        <w:t>. Gradul de cuprindere în învăţământ a populaţiei din grupa de vârstă 19-23 ani</w:t>
      </w:r>
    </w:p>
    <w:p w:rsidR="00045530" w:rsidRDefault="0048184B" w:rsidP="00445724">
      <w:pPr>
        <w:pStyle w:val="ListParagraph"/>
        <w:numPr>
          <w:ilvl w:val="0"/>
          <w:numId w:val="23"/>
        </w:numPr>
        <w:ind w:left="0" w:firstLine="360"/>
        <w:jc w:val="both"/>
        <w:rPr>
          <w:rFonts w:ascii="Arial" w:hAnsi="Arial" w:cs="Arial"/>
          <w:sz w:val="24"/>
          <w:szCs w:val="24"/>
          <w:lang w:eastAsia="ro-RO"/>
        </w:rPr>
      </w:pPr>
      <w:r w:rsidRPr="00045530">
        <w:rPr>
          <w:rFonts w:ascii="Arial" w:hAnsi="Arial" w:cs="Arial"/>
          <w:sz w:val="24"/>
          <w:szCs w:val="24"/>
          <w:lang w:eastAsia="ro-RO"/>
        </w:rPr>
        <w:t>La nivel naţional, în perioada 2007-2016, gradul de cuprindere în învăţământ a populaţiei din grupa de vârstă 19 -23 ani, înregistrează o uşoară creştere, cu 1,4%, atingând valoarea de 65,2%. Regiunea Vest cu cea mai mare valoare a acestui indicator, de 76,2% este urmată de Regiunea Nord Vest cu 74,4%, şi celelalte regiuni sub valorile naţionale. (Regiunea Sud-Munteania cu cea mai mică valoare de 27,2%)</w:t>
      </w:r>
      <w:r w:rsidR="005304D1">
        <w:rPr>
          <w:rFonts w:ascii="Arial" w:hAnsi="Arial" w:cs="Arial"/>
          <w:sz w:val="24"/>
          <w:szCs w:val="24"/>
          <w:lang w:eastAsia="ro-RO"/>
        </w:rPr>
        <w:t xml:space="preserve">. </w:t>
      </w:r>
      <w:r w:rsidRPr="00045530">
        <w:rPr>
          <w:rFonts w:ascii="Arial" w:hAnsi="Arial" w:cs="Arial"/>
          <w:sz w:val="24"/>
          <w:szCs w:val="24"/>
          <w:lang w:eastAsia="ro-RO"/>
        </w:rPr>
        <w:t xml:space="preserve">Poziţia regiunii este determinată de valorile înregistrate în </w:t>
      </w:r>
      <w:r w:rsidR="001F7712">
        <w:rPr>
          <w:rFonts w:ascii="Arial" w:hAnsi="Arial" w:cs="Arial"/>
          <w:sz w:val="24"/>
          <w:szCs w:val="24"/>
          <w:lang w:eastAsia="ro-RO"/>
        </w:rPr>
        <w:t>j</w:t>
      </w:r>
      <w:r w:rsidRPr="00045530">
        <w:rPr>
          <w:rFonts w:ascii="Arial" w:hAnsi="Arial" w:cs="Arial"/>
          <w:sz w:val="24"/>
          <w:szCs w:val="24"/>
          <w:lang w:eastAsia="ro-RO"/>
        </w:rPr>
        <w:t xml:space="preserve">udeţul Timiş, de 110%, un centru universitar puternic şi atractiv, urmat de </w:t>
      </w:r>
      <w:r w:rsidR="001F7712">
        <w:rPr>
          <w:rFonts w:ascii="Arial" w:hAnsi="Arial" w:cs="Arial"/>
          <w:sz w:val="24"/>
          <w:szCs w:val="24"/>
          <w:lang w:eastAsia="ro-RO"/>
        </w:rPr>
        <w:t>j</w:t>
      </w:r>
      <w:r w:rsidRPr="00045530">
        <w:rPr>
          <w:rFonts w:ascii="Arial" w:hAnsi="Arial" w:cs="Arial"/>
          <w:sz w:val="24"/>
          <w:szCs w:val="24"/>
          <w:lang w:eastAsia="ro-RO"/>
        </w:rPr>
        <w:t xml:space="preserve">udeţul Arad cu 61,9%. </w:t>
      </w:r>
    </w:p>
    <w:p w:rsidR="00045530" w:rsidRDefault="0048184B" w:rsidP="00445724">
      <w:pPr>
        <w:pStyle w:val="ListParagraph"/>
        <w:numPr>
          <w:ilvl w:val="0"/>
          <w:numId w:val="23"/>
        </w:numPr>
        <w:ind w:left="0" w:firstLine="360"/>
        <w:jc w:val="both"/>
        <w:rPr>
          <w:rFonts w:ascii="Arial" w:hAnsi="Arial" w:cs="Arial"/>
          <w:sz w:val="24"/>
          <w:szCs w:val="24"/>
          <w:lang w:eastAsia="ro-RO"/>
        </w:rPr>
      </w:pPr>
      <w:r w:rsidRPr="00045530">
        <w:rPr>
          <w:rFonts w:ascii="Arial" w:hAnsi="Arial" w:cs="Arial"/>
          <w:sz w:val="24"/>
          <w:szCs w:val="24"/>
          <w:lang w:eastAsia="ro-RO"/>
        </w:rPr>
        <w:t>Rată netă de cuprindere î</w:t>
      </w:r>
      <w:r w:rsidR="00612317">
        <w:rPr>
          <w:rFonts w:ascii="Arial" w:hAnsi="Arial" w:cs="Arial"/>
          <w:sz w:val="24"/>
          <w:szCs w:val="24"/>
          <w:lang w:eastAsia="ro-RO"/>
        </w:rPr>
        <w:t xml:space="preserve">n învăţământul obligatoriu </w:t>
      </w:r>
      <w:r w:rsidRPr="00045530">
        <w:rPr>
          <w:rFonts w:ascii="Arial" w:hAnsi="Arial" w:cs="Arial"/>
          <w:sz w:val="24"/>
          <w:szCs w:val="24"/>
          <w:lang w:eastAsia="ro-RO"/>
        </w:rPr>
        <w:t xml:space="preserve">elevi 7-16 ani. În Regiunea Vest, valoarea ratei brute de cuprindere în perioada analizată a manifestat o tendinţa oscilantă, 83,7% în 2007/8,  cu un maxim relatov de 86% în 2010/11 urmată de descreştere până la valoarea de 79,4% în 2015/16.  Valorile acestui indicator reflectă acelaşi fenomen îngrijorător de neparticipare în educaţia obligatorie (similar cu valorile pentru parpsirea timpurie a şcolii), cu efecte grave privind inserţia profesională viitoare a tinerilor. </w:t>
      </w:r>
    </w:p>
    <w:p w:rsidR="00045530" w:rsidRDefault="0048184B" w:rsidP="00445724">
      <w:pPr>
        <w:pStyle w:val="ListParagraph"/>
        <w:numPr>
          <w:ilvl w:val="0"/>
          <w:numId w:val="23"/>
        </w:numPr>
        <w:ind w:left="0" w:firstLine="360"/>
        <w:jc w:val="both"/>
        <w:rPr>
          <w:rFonts w:ascii="Arial" w:hAnsi="Arial" w:cs="Arial"/>
          <w:sz w:val="24"/>
          <w:szCs w:val="24"/>
          <w:lang w:eastAsia="ro-RO"/>
        </w:rPr>
      </w:pPr>
      <w:r w:rsidRPr="00045530">
        <w:rPr>
          <w:rFonts w:ascii="Arial" w:hAnsi="Arial" w:cs="Arial"/>
          <w:sz w:val="24"/>
          <w:szCs w:val="24"/>
          <w:lang w:eastAsia="ro-RO"/>
        </w:rPr>
        <w:t>Rată netă de cuprindere în învăţământul se</w:t>
      </w:r>
      <w:r w:rsidR="009E176F">
        <w:rPr>
          <w:rFonts w:ascii="Arial" w:hAnsi="Arial" w:cs="Arial"/>
          <w:sz w:val="24"/>
          <w:szCs w:val="24"/>
          <w:lang w:eastAsia="ro-RO"/>
        </w:rPr>
        <w:t xml:space="preserve">cundar superior </w:t>
      </w:r>
      <w:r w:rsidRPr="00045530">
        <w:rPr>
          <w:rFonts w:ascii="Arial" w:hAnsi="Arial" w:cs="Arial"/>
          <w:sz w:val="24"/>
          <w:szCs w:val="24"/>
          <w:lang w:eastAsia="ro-RO"/>
        </w:rPr>
        <w:t>elevi 15-18 ani</w:t>
      </w:r>
      <w:r w:rsidR="009E176F">
        <w:rPr>
          <w:rFonts w:ascii="Arial" w:hAnsi="Arial" w:cs="Arial"/>
          <w:sz w:val="24"/>
          <w:szCs w:val="24"/>
          <w:lang w:eastAsia="ro-RO"/>
        </w:rPr>
        <w:t>.</w:t>
      </w:r>
      <w:r w:rsidRPr="00045530">
        <w:rPr>
          <w:rFonts w:ascii="Arial" w:hAnsi="Arial" w:cs="Arial"/>
          <w:sz w:val="24"/>
          <w:szCs w:val="24"/>
          <w:lang w:eastAsia="ro-RO"/>
        </w:rPr>
        <w:t xml:space="preserve"> În Regiunea Vest, valoarea acestui indicator a manifestat o tendinţa de creştere de la 68,3% (în anul 2007-2008) la 70,9% (în 2015-2016).</w:t>
      </w:r>
    </w:p>
    <w:p w:rsidR="00045530" w:rsidRDefault="0048184B" w:rsidP="00445724">
      <w:pPr>
        <w:pStyle w:val="ListParagraph"/>
        <w:numPr>
          <w:ilvl w:val="0"/>
          <w:numId w:val="23"/>
        </w:numPr>
        <w:ind w:left="0" w:firstLine="360"/>
        <w:jc w:val="both"/>
        <w:rPr>
          <w:rFonts w:ascii="Arial" w:hAnsi="Arial" w:cs="Arial"/>
          <w:sz w:val="24"/>
          <w:szCs w:val="24"/>
          <w:lang w:eastAsia="ro-RO"/>
        </w:rPr>
      </w:pPr>
      <w:r w:rsidRPr="00045530">
        <w:rPr>
          <w:rFonts w:ascii="Arial" w:hAnsi="Arial" w:cs="Arial"/>
          <w:sz w:val="24"/>
          <w:szCs w:val="24"/>
          <w:lang w:eastAsia="ro-RO"/>
        </w:rPr>
        <w:t xml:space="preserve">La nivelul Regiunii Vest populaţia şcolară se diminuează în acelaşi interval de la valoarea de 94.240 elevi la 66.079 elevi. Această scădere de 28.161 elevi are o distribuţie puternic dezechilibrată între formele de învăţământ liceu tehnologic, afectat cu o scădere de 24.325 elevi, în timp ce învăţământul teoretic şi vocaţional împreună înregistrează o scădere de 3.836 de elevi. Această diminuare puternică a ofertei educaţionale prin învăţământ profesional şi tehnic (IPT) este şi mai vizibilă dacă comparăm ponderea acestor forme de învăţământ. La începutul perioadei de referinţă, anul şcolar 2004-2005 valorile acestor ponderi sunt de 63% pentru IPT  faţă de 37% </w:t>
      </w:r>
      <w:r w:rsidRPr="00045530">
        <w:rPr>
          <w:rFonts w:ascii="Arial" w:hAnsi="Arial" w:cs="Arial"/>
          <w:sz w:val="24"/>
          <w:szCs w:val="24"/>
          <w:lang w:eastAsia="ro-RO"/>
        </w:rPr>
        <w:lastRenderedPageBreak/>
        <w:t>pentru învăţământul teoretic şi vocaţional (ITV). Valorile ponderilor se modifică, astfel încât în anul şcolar 2015-2016 IPT ajunge la 53,1% iar ITV creşte la 46,9%.</w:t>
      </w:r>
    </w:p>
    <w:p w:rsidR="00045530" w:rsidRPr="009E176F" w:rsidRDefault="0048184B" w:rsidP="00445724">
      <w:pPr>
        <w:pStyle w:val="ListParagraph"/>
        <w:numPr>
          <w:ilvl w:val="0"/>
          <w:numId w:val="23"/>
        </w:numPr>
        <w:ind w:left="0" w:firstLine="360"/>
        <w:jc w:val="both"/>
        <w:rPr>
          <w:rFonts w:ascii="Arial" w:hAnsi="Arial" w:cs="Arial"/>
          <w:sz w:val="24"/>
          <w:szCs w:val="24"/>
          <w:u w:val="single"/>
          <w:lang w:eastAsia="ro-RO"/>
        </w:rPr>
      </w:pPr>
      <w:r w:rsidRPr="009E176F">
        <w:rPr>
          <w:rFonts w:ascii="Arial" w:hAnsi="Arial" w:cs="Arial"/>
          <w:sz w:val="24"/>
          <w:szCs w:val="24"/>
          <w:u w:val="single"/>
          <w:lang w:eastAsia="ro-RO"/>
        </w:rPr>
        <w:t>Se poate observă însă diferenţa dintre măsură în care scăderea populaţiei şcolare a afectat în mai mare măsură IPT: în judeţul Caraş Severin scăderea numărului de elevi în IPT reprezintă 66% din total diminuare efective şcolare, urmat de judeţul Hunedoara cu 77%, Arad cu 94% şi Timiş unde 98% din diminuare s-a realizat pe seama IPT, şi în favoarea ITV.</w:t>
      </w:r>
    </w:p>
    <w:p w:rsidR="00045530" w:rsidRDefault="0048184B" w:rsidP="00445724">
      <w:pPr>
        <w:pStyle w:val="ListParagraph"/>
        <w:numPr>
          <w:ilvl w:val="0"/>
          <w:numId w:val="23"/>
        </w:numPr>
        <w:ind w:left="0" w:firstLine="360"/>
        <w:jc w:val="both"/>
        <w:rPr>
          <w:rFonts w:ascii="Arial" w:hAnsi="Arial" w:cs="Arial"/>
          <w:sz w:val="24"/>
          <w:szCs w:val="24"/>
          <w:lang w:eastAsia="ro-RO"/>
        </w:rPr>
      </w:pPr>
      <w:r w:rsidRPr="00045530">
        <w:rPr>
          <w:rFonts w:ascii="Arial" w:hAnsi="Arial" w:cs="Arial"/>
          <w:sz w:val="24"/>
          <w:szCs w:val="24"/>
          <w:lang w:eastAsia="ro-RO"/>
        </w:rPr>
        <w:t>Pentru  învăţământul profesional cu durata de 3 ani  în anul şcolar 2016-2017 au fost înregistrate 334 de solicitări la nivelul Regiunii Vest (faţă de 5.577 la nivel naţional). Aceşti agenţi au solicitat un număr de 2.491 de locuri, din care au fost propuse 1928, însemnând un grad de răspuns la solicitări de 77,4% .</w:t>
      </w:r>
    </w:p>
    <w:p w:rsidR="0048184B" w:rsidRPr="00045530" w:rsidRDefault="0048184B" w:rsidP="00445724">
      <w:pPr>
        <w:pStyle w:val="ListParagraph"/>
        <w:numPr>
          <w:ilvl w:val="0"/>
          <w:numId w:val="23"/>
        </w:numPr>
        <w:ind w:left="0" w:firstLine="360"/>
        <w:jc w:val="both"/>
        <w:rPr>
          <w:rFonts w:ascii="Arial" w:hAnsi="Arial" w:cs="Arial"/>
          <w:sz w:val="24"/>
          <w:szCs w:val="24"/>
          <w:lang w:eastAsia="ro-RO"/>
        </w:rPr>
      </w:pPr>
      <w:r w:rsidRPr="00045530">
        <w:rPr>
          <w:rFonts w:ascii="Arial" w:hAnsi="Arial" w:cs="Arial"/>
          <w:sz w:val="24"/>
          <w:szCs w:val="24"/>
          <w:lang w:eastAsia="ro-RO"/>
        </w:rPr>
        <w:t>Analizând valorile pentru Regiune</w:t>
      </w:r>
      <w:r w:rsidR="0077749D">
        <w:rPr>
          <w:rFonts w:ascii="Arial" w:hAnsi="Arial" w:cs="Arial"/>
          <w:sz w:val="24"/>
          <w:szCs w:val="24"/>
          <w:lang w:eastAsia="ro-RO"/>
        </w:rPr>
        <w:t>a Vest, indicatorul Rată de pără</w:t>
      </w:r>
      <w:r w:rsidRPr="00045530">
        <w:rPr>
          <w:rFonts w:ascii="Arial" w:hAnsi="Arial" w:cs="Arial"/>
          <w:sz w:val="24"/>
          <w:szCs w:val="24"/>
          <w:lang w:eastAsia="ro-RO"/>
        </w:rPr>
        <w:t xml:space="preserve">sire timpurie a şcolii, se observă că acestea se situează sub valoarea mediei naţionale, iar în perioada 2008-2011 cu valori chiar sub media UE28. Însă în perioada 2011-2015 asistăm la o creştere a acestui indicator, chiar dacă ea se păstrează la o valoare mai mică decât media naţională, ar fi util de analizat care sunt fenomenele din spatele acestei situaţii. </w:t>
      </w:r>
    </w:p>
    <w:p w:rsidR="00DD5F85" w:rsidRPr="001937AF" w:rsidRDefault="00DD5F85" w:rsidP="000C6A67">
      <w:pPr>
        <w:spacing w:after="0" w:line="240" w:lineRule="auto"/>
        <w:jc w:val="both"/>
        <w:rPr>
          <w:rFonts w:ascii="Arial" w:hAnsi="Arial" w:cs="Arial"/>
          <w:sz w:val="24"/>
          <w:szCs w:val="24"/>
          <w:lang w:eastAsia="ro-RO"/>
        </w:rPr>
      </w:pPr>
    </w:p>
    <w:p w:rsidR="001937AF" w:rsidRDefault="00FE3CCA" w:rsidP="0077749D">
      <w:pPr>
        <w:pStyle w:val="Heading3"/>
        <w:spacing w:before="0" w:line="240" w:lineRule="auto"/>
        <w:jc w:val="both"/>
        <w:rPr>
          <w:rFonts w:ascii="Arial" w:hAnsi="Arial" w:cs="Arial"/>
          <w:b w:val="0"/>
          <w:i/>
          <w:color w:val="auto"/>
          <w:sz w:val="24"/>
          <w:szCs w:val="24"/>
          <w:lang w:eastAsia="ro-RO"/>
        </w:rPr>
      </w:pPr>
      <w:bookmarkStart w:id="118" w:name="_Toc488066087"/>
      <w:r w:rsidRPr="009D6F02">
        <w:rPr>
          <w:rFonts w:ascii="Arial" w:hAnsi="Arial" w:cs="Arial"/>
          <w:b w:val="0"/>
          <w:i/>
          <w:color w:val="auto"/>
          <w:sz w:val="24"/>
          <w:szCs w:val="24"/>
          <w:lang w:eastAsia="ro-RO"/>
        </w:rPr>
        <w:t>6.5.1</w:t>
      </w:r>
      <w:r w:rsidR="00406DCE" w:rsidRPr="009D6F02">
        <w:rPr>
          <w:rFonts w:ascii="Arial" w:hAnsi="Arial" w:cs="Arial"/>
          <w:b w:val="0"/>
          <w:i/>
          <w:color w:val="auto"/>
          <w:sz w:val="24"/>
          <w:szCs w:val="24"/>
          <w:lang w:eastAsia="ro-RO"/>
        </w:rPr>
        <w:t>.Ţinte pe termen mediu pentru oferta IPT pe niveluri de formare profesională şi domenii de pregătire</w:t>
      </w:r>
      <w:r w:rsidR="0077749D">
        <w:rPr>
          <w:rFonts w:ascii="Arial" w:hAnsi="Arial" w:cs="Arial"/>
          <w:b w:val="0"/>
          <w:i/>
          <w:color w:val="auto"/>
          <w:sz w:val="24"/>
          <w:szCs w:val="24"/>
          <w:lang w:eastAsia="ro-RO"/>
        </w:rPr>
        <w:t>.</w:t>
      </w:r>
      <w:bookmarkEnd w:id="118"/>
      <w:r w:rsidR="0077749D">
        <w:rPr>
          <w:rFonts w:ascii="Arial" w:hAnsi="Arial" w:cs="Arial"/>
          <w:b w:val="0"/>
          <w:i/>
          <w:color w:val="auto"/>
          <w:sz w:val="24"/>
          <w:szCs w:val="24"/>
          <w:lang w:eastAsia="ro-RO"/>
        </w:rPr>
        <w:t xml:space="preserve"> </w:t>
      </w:r>
    </w:p>
    <w:p w:rsidR="00866A1A" w:rsidRPr="009D6F02" w:rsidRDefault="00866A1A" w:rsidP="00866A1A">
      <w:pPr>
        <w:pStyle w:val="Heading3"/>
        <w:spacing w:before="0" w:line="240" w:lineRule="auto"/>
        <w:jc w:val="both"/>
        <w:rPr>
          <w:rFonts w:ascii="Arial" w:hAnsi="Arial" w:cs="Arial"/>
          <w:b w:val="0"/>
          <w:i/>
          <w:color w:val="auto"/>
          <w:sz w:val="24"/>
          <w:szCs w:val="24"/>
          <w:lang w:eastAsia="ro-RO"/>
        </w:rPr>
      </w:pPr>
      <w:bookmarkStart w:id="119" w:name="_Toc488066088"/>
      <w:r w:rsidRPr="009D6F02">
        <w:rPr>
          <w:rFonts w:ascii="Arial" w:hAnsi="Arial" w:cs="Arial"/>
          <w:b w:val="0"/>
          <w:i/>
          <w:color w:val="auto"/>
          <w:sz w:val="24"/>
          <w:szCs w:val="24"/>
          <w:lang w:eastAsia="ro-RO"/>
        </w:rPr>
        <w:t xml:space="preserve">6.5.2. </w:t>
      </w:r>
      <w:r w:rsidRPr="0077749D">
        <w:rPr>
          <w:rFonts w:ascii="Arial" w:hAnsi="Arial" w:cs="Arial"/>
          <w:b w:val="0"/>
          <w:i/>
          <w:color w:val="auto"/>
          <w:sz w:val="24"/>
          <w:szCs w:val="24"/>
          <w:lang w:eastAsia="ro-RO"/>
        </w:rPr>
        <w:t>Adaptarea ofertei IPT la ţintele pe termen mediu (eşalonare anuală) – conform recomandărilor CR.</w:t>
      </w:r>
      <w:bookmarkEnd w:id="119"/>
      <w:r w:rsidRPr="009D6F02">
        <w:rPr>
          <w:rFonts w:ascii="Arial" w:hAnsi="Arial" w:cs="Arial"/>
          <w:b w:val="0"/>
          <w:i/>
          <w:color w:val="auto"/>
          <w:sz w:val="24"/>
          <w:szCs w:val="24"/>
          <w:lang w:eastAsia="ro-RO"/>
        </w:rPr>
        <w:t xml:space="preserve">  </w:t>
      </w:r>
    </w:p>
    <w:p w:rsidR="00FB4004" w:rsidRPr="001937AF" w:rsidRDefault="00FB4004" w:rsidP="0077749D">
      <w:pPr>
        <w:pStyle w:val="ListParagraph"/>
        <w:ind w:left="0"/>
        <w:rPr>
          <w:rFonts w:ascii="Arial" w:hAnsi="Arial" w:cs="Arial"/>
          <w:sz w:val="24"/>
          <w:szCs w:val="24"/>
        </w:rPr>
      </w:pPr>
      <w:r w:rsidRPr="004862A6">
        <w:rPr>
          <w:rFonts w:ascii="Arial" w:hAnsi="Arial" w:cs="Arial"/>
          <w:b/>
          <w:sz w:val="24"/>
          <w:szCs w:val="24"/>
        </w:rPr>
        <w:t>Aceste recomand</w:t>
      </w:r>
      <w:r w:rsidR="00CE2EA6">
        <w:rPr>
          <w:rFonts w:ascii="Arial" w:hAnsi="Arial" w:cs="Arial"/>
          <w:b/>
          <w:sz w:val="24"/>
          <w:szCs w:val="24"/>
        </w:rPr>
        <w:t>ă</w:t>
      </w:r>
      <w:r w:rsidRPr="004862A6">
        <w:rPr>
          <w:rFonts w:ascii="Arial" w:hAnsi="Arial" w:cs="Arial"/>
          <w:b/>
          <w:sz w:val="24"/>
          <w:szCs w:val="24"/>
        </w:rPr>
        <w:t>ri se pot prezenta sintetic</w:t>
      </w:r>
      <w:r w:rsidRPr="004862A6">
        <w:rPr>
          <w:rFonts w:ascii="Arial" w:hAnsi="Arial" w:cs="Arial"/>
          <w:sz w:val="24"/>
          <w:szCs w:val="24"/>
        </w:rPr>
        <w:t xml:space="preserve"> in tabelul cu ponderile acestor domenii de calificare, propuse pentru analiz</w:t>
      </w:r>
      <w:r w:rsidR="009D6F02">
        <w:rPr>
          <w:rFonts w:ascii="Arial" w:hAnsi="Arial" w:cs="Arial"/>
          <w:sz w:val="24"/>
          <w:szCs w:val="24"/>
        </w:rPr>
        <w:t>ă</w:t>
      </w:r>
      <w:r w:rsidRPr="004862A6">
        <w:rPr>
          <w:rFonts w:ascii="Arial" w:hAnsi="Arial" w:cs="Arial"/>
          <w:sz w:val="24"/>
          <w:szCs w:val="24"/>
        </w:rPr>
        <w:t xml:space="preserve"> </w:t>
      </w:r>
      <w:r w:rsidR="009D6F02">
        <w:rPr>
          <w:rFonts w:ascii="Arial" w:hAnsi="Arial" w:cs="Arial"/>
          <w:sz w:val="24"/>
          <w:szCs w:val="24"/>
        </w:rPr>
        <w:t>ș</w:t>
      </w:r>
      <w:r w:rsidR="0077749D">
        <w:rPr>
          <w:rFonts w:ascii="Arial" w:hAnsi="Arial" w:cs="Arial"/>
          <w:sz w:val="24"/>
          <w:szCs w:val="24"/>
        </w:rPr>
        <w:t xml:space="preserve">i avizate (Tabel 17) </w:t>
      </w:r>
    </w:p>
    <w:p w:rsidR="00597FB2" w:rsidRDefault="00ED5EA4" w:rsidP="000C6A67">
      <w:pPr>
        <w:spacing w:after="0" w:line="240" w:lineRule="auto"/>
        <w:jc w:val="both"/>
        <w:rPr>
          <w:rFonts w:ascii="Arial" w:hAnsi="Arial" w:cs="Arial"/>
          <w:sz w:val="24"/>
          <w:szCs w:val="24"/>
          <w:lang w:eastAsia="ro-RO"/>
        </w:rPr>
      </w:pPr>
      <w:r>
        <w:rPr>
          <w:rFonts w:ascii="Arial" w:hAnsi="Arial" w:cs="Arial"/>
          <w:sz w:val="24"/>
          <w:szCs w:val="24"/>
          <w:lang w:eastAsia="ro-RO"/>
        </w:rPr>
        <w:t>Din a</w:t>
      </w:r>
      <w:r w:rsidR="00CE2EA6">
        <w:rPr>
          <w:rFonts w:ascii="Arial" w:hAnsi="Arial" w:cs="Arial"/>
          <w:sz w:val="24"/>
          <w:szCs w:val="24"/>
          <w:lang w:eastAsia="ro-RO"/>
        </w:rPr>
        <w:t>n</w:t>
      </w:r>
      <w:r w:rsidR="001D579D">
        <w:rPr>
          <w:rFonts w:ascii="Arial" w:hAnsi="Arial" w:cs="Arial"/>
          <w:sz w:val="24"/>
          <w:szCs w:val="24"/>
          <w:lang w:eastAsia="ro-RO"/>
        </w:rPr>
        <w:t>a</w:t>
      </w:r>
      <w:r w:rsidR="00CE2EA6">
        <w:rPr>
          <w:rFonts w:ascii="Arial" w:hAnsi="Arial" w:cs="Arial"/>
          <w:sz w:val="24"/>
          <w:szCs w:val="24"/>
          <w:lang w:eastAsia="ro-RO"/>
        </w:rPr>
        <w:t xml:space="preserve">lizele realizate se conturează necesitatea planificării </w:t>
      </w:r>
      <w:r>
        <w:rPr>
          <w:rFonts w:ascii="Arial" w:hAnsi="Arial" w:cs="Arial"/>
          <w:sz w:val="24"/>
          <w:szCs w:val="24"/>
          <w:lang w:eastAsia="ro-RO"/>
        </w:rPr>
        <w:t>o</w:t>
      </w:r>
      <w:r w:rsidR="00CE2EA6">
        <w:rPr>
          <w:rFonts w:ascii="Arial" w:hAnsi="Arial" w:cs="Arial"/>
          <w:sz w:val="24"/>
          <w:szCs w:val="24"/>
          <w:lang w:eastAsia="ro-RO"/>
        </w:rPr>
        <w:t>f</w:t>
      </w:r>
      <w:r>
        <w:rPr>
          <w:rFonts w:ascii="Arial" w:hAnsi="Arial" w:cs="Arial"/>
          <w:sz w:val="24"/>
          <w:szCs w:val="24"/>
          <w:lang w:eastAsia="ro-RO"/>
        </w:rPr>
        <w:t>ertei la nivel regional, pentru a asigura o mai bună diversificarea a ofe</w:t>
      </w:r>
      <w:r w:rsidR="00CE2EA6">
        <w:rPr>
          <w:rFonts w:ascii="Arial" w:hAnsi="Arial" w:cs="Arial"/>
          <w:sz w:val="24"/>
          <w:szCs w:val="24"/>
          <w:lang w:eastAsia="ro-RO"/>
        </w:rPr>
        <w:t>rtei, care are limitare serioasă î</w:t>
      </w:r>
      <w:r>
        <w:rPr>
          <w:rFonts w:ascii="Arial" w:hAnsi="Arial" w:cs="Arial"/>
          <w:sz w:val="24"/>
          <w:szCs w:val="24"/>
          <w:lang w:eastAsia="ro-RO"/>
        </w:rPr>
        <w:t>n desc</w:t>
      </w:r>
      <w:r w:rsidR="00CE2EA6">
        <w:rPr>
          <w:rFonts w:ascii="Arial" w:hAnsi="Arial" w:cs="Arial"/>
          <w:sz w:val="24"/>
          <w:szCs w:val="24"/>
          <w:lang w:eastAsia="ro-RO"/>
        </w:rPr>
        <w:t>reșterea demografică, dar o bună</w:t>
      </w:r>
      <w:r>
        <w:rPr>
          <w:rFonts w:ascii="Arial" w:hAnsi="Arial" w:cs="Arial"/>
          <w:sz w:val="24"/>
          <w:szCs w:val="24"/>
          <w:lang w:eastAsia="ro-RO"/>
        </w:rPr>
        <w:t xml:space="preserve"> oportunitate în designul unei oferte complementare la nivel regional.</w:t>
      </w:r>
      <w:r w:rsidR="00884A0F">
        <w:rPr>
          <w:rFonts w:ascii="Arial" w:hAnsi="Arial" w:cs="Arial"/>
          <w:sz w:val="24"/>
          <w:szCs w:val="24"/>
          <w:lang w:eastAsia="ro-RO"/>
        </w:rPr>
        <w:t xml:space="preserve"> </w:t>
      </w:r>
      <w:r>
        <w:rPr>
          <w:rFonts w:ascii="Arial" w:hAnsi="Arial" w:cs="Arial"/>
          <w:sz w:val="24"/>
          <w:szCs w:val="24"/>
          <w:lang w:eastAsia="ro-RO"/>
        </w:rPr>
        <w:t>În același timp ar fi posibil</w:t>
      </w:r>
      <w:r w:rsidR="00CE2EA6">
        <w:rPr>
          <w:rFonts w:ascii="Arial" w:hAnsi="Arial" w:cs="Arial"/>
          <w:sz w:val="24"/>
          <w:szCs w:val="24"/>
          <w:lang w:eastAsia="ro-RO"/>
        </w:rPr>
        <w:t>ă</w:t>
      </w:r>
      <w:r>
        <w:rPr>
          <w:rFonts w:ascii="Arial" w:hAnsi="Arial" w:cs="Arial"/>
          <w:sz w:val="24"/>
          <w:szCs w:val="24"/>
          <w:lang w:eastAsia="ro-RO"/>
        </w:rPr>
        <w:t xml:space="preserve"> eliminarea ofertelor redundante, care produc un surplus de calificări pe piața regională </w:t>
      </w:r>
    </w:p>
    <w:p w:rsidR="0077749D" w:rsidRPr="009E176F" w:rsidRDefault="0077749D" w:rsidP="0077749D">
      <w:pPr>
        <w:spacing w:after="0" w:line="240" w:lineRule="auto"/>
        <w:jc w:val="both"/>
        <w:rPr>
          <w:rFonts w:ascii="Arial" w:hAnsi="Arial" w:cs="Arial"/>
          <w:b/>
          <w:sz w:val="24"/>
          <w:szCs w:val="24"/>
          <w:lang w:eastAsia="ro-RO"/>
        </w:rPr>
      </w:pPr>
      <w:r w:rsidRPr="009E176F">
        <w:rPr>
          <w:rFonts w:ascii="Arial" w:hAnsi="Arial" w:cs="Arial"/>
          <w:b/>
          <w:sz w:val="24"/>
          <w:szCs w:val="24"/>
          <w:lang w:eastAsia="ro-RO"/>
        </w:rPr>
        <w:t xml:space="preserve">Pentru domeniile de calificare din oferta regională se pot formulă următoarele concluzii şi recomandări: </w:t>
      </w:r>
    </w:p>
    <w:p w:rsidR="0077749D" w:rsidRPr="0048184B" w:rsidRDefault="0077749D" w:rsidP="0077749D">
      <w:pPr>
        <w:spacing w:after="0" w:line="240" w:lineRule="auto"/>
        <w:jc w:val="both"/>
        <w:rPr>
          <w:rFonts w:ascii="Arial" w:hAnsi="Arial" w:cs="Arial"/>
          <w:sz w:val="24"/>
          <w:szCs w:val="24"/>
          <w:lang w:eastAsia="ro-RO"/>
        </w:rPr>
      </w:pPr>
      <w:r w:rsidRPr="009E176F">
        <w:rPr>
          <w:rFonts w:ascii="Arial" w:hAnsi="Arial" w:cs="Arial"/>
          <w:b/>
          <w:sz w:val="24"/>
          <w:szCs w:val="24"/>
          <w:lang w:eastAsia="ro-RO"/>
        </w:rPr>
        <w:t>Domeniul Mecanică</w:t>
      </w:r>
      <w:r w:rsidRPr="0048184B">
        <w:rPr>
          <w:rFonts w:ascii="Arial" w:hAnsi="Arial" w:cs="Arial"/>
          <w:sz w:val="24"/>
          <w:szCs w:val="24"/>
          <w:lang w:eastAsia="ro-RO"/>
        </w:rPr>
        <w:t xml:space="preserve"> figurează în oferta regională cu o pondere de 20%, cu tendinţa crescă</w:t>
      </w:r>
      <w:r>
        <w:rPr>
          <w:rFonts w:ascii="Arial" w:hAnsi="Arial" w:cs="Arial"/>
          <w:sz w:val="24"/>
          <w:szCs w:val="24"/>
          <w:lang w:eastAsia="ro-RO"/>
        </w:rPr>
        <w:t>toare. Recomandăm valoarea de 21</w:t>
      </w:r>
      <w:r w:rsidRPr="0048184B">
        <w:rPr>
          <w:rFonts w:ascii="Arial" w:hAnsi="Arial" w:cs="Arial"/>
          <w:sz w:val="24"/>
          <w:szCs w:val="24"/>
          <w:lang w:eastAsia="ro-RO"/>
        </w:rPr>
        <w:t xml:space="preserve">% pentru nouă pondere în PRAI pentru acest domeniu, având în vedere cererea economiei locale şi marea diversitate de calificări relevante pentru angajatori. </w:t>
      </w:r>
    </w:p>
    <w:p w:rsidR="0077749D" w:rsidRPr="0048184B" w:rsidRDefault="0077749D" w:rsidP="0077749D">
      <w:pPr>
        <w:spacing w:after="0" w:line="240" w:lineRule="auto"/>
        <w:jc w:val="both"/>
        <w:rPr>
          <w:rFonts w:ascii="Arial" w:hAnsi="Arial" w:cs="Arial"/>
          <w:sz w:val="24"/>
          <w:szCs w:val="24"/>
          <w:lang w:eastAsia="ro-RO"/>
        </w:rPr>
      </w:pPr>
      <w:r w:rsidRPr="009E176F">
        <w:rPr>
          <w:rFonts w:ascii="Arial" w:hAnsi="Arial" w:cs="Arial"/>
          <w:b/>
          <w:sz w:val="24"/>
          <w:szCs w:val="24"/>
          <w:lang w:eastAsia="ro-RO"/>
        </w:rPr>
        <w:t>Domeniul Electric</w:t>
      </w:r>
      <w:r>
        <w:rPr>
          <w:rFonts w:ascii="Arial" w:hAnsi="Arial" w:cs="Arial"/>
          <w:b/>
          <w:sz w:val="24"/>
          <w:szCs w:val="24"/>
          <w:lang w:eastAsia="ro-RO"/>
        </w:rPr>
        <w:t xml:space="preserve"> </w:t>
      </w:r>
      <w:r w:rsidRPr="0048184B">
        <w:rPr>
          <w:rFonts w:ascii="Arial" w:hAnsi="Arial" w:cs="Arial"/>
          <w:sz w:val="24"/>
          <w:szCs w:val="24"/>
          <w:lang w:eastAsia="ro-RO"/>
        </w:rPr>
        <w:t xml:space="preserve">cu ţintă regională de 10%, este deosebit de solicitat de angajatori. Oferta regiunii s-a adaptat treptat la aceste ţinte, valoarea de </w:t>
      </w:r>
      <w:r>
        <w:rPr>
          <w:rFonts w:ascii="Arial" w:hAnsi="Arial" w:cs="Arial"/>
          <w:sz w:val="24"/>
          <w:szCs w:val="24"/>
          <w:lang w:eastAsia="ro-RO"/>
        </w:rPr>
        <w:t>8</w:t>
      </w:r>
      <w:r w:rsidRPr="0048184B">
        <w:rPr>
          <w:rFonts w:ascii="Arial" w:hAnsi="Arial" w:cs="Arial"/>
          <w:sz w:val="24"/>
          <w:szCs w:val="24"/>
          <w:lang w:eastAsia="ro-RO"/>
        </w:rPr>
        <w:t xml:space="preserve">% </w:t>
      </w:r>
      <w:r>
        <w:rPr>
          <w:rFonts w:ascii="Arial" w:hAnsi="Arial" w:cs="Arial"/>
          <w:sz w:val="24"/>
          <w:szCs w:val="24"/>
          <w:lang w:eastAsia="ro-RO"/>
        </w:rPr>
        <w:t xml:space="preserve">este validată pentru viitor. </w:t>
      </w:r>
      <w:r w:rsidRPr="0048184B">
        <w:rPr>
          <w:rFonts w:ascii="Arial" w:hAnsi="Arial" w:cs="Arial"/>
          <w:sz w:val="24"/>
          <w:szCs w:val="24"/>
          <w:lang w:eastAsia="ro-RO"/>
        </w:rPr>
        <w:t xml:space="preserve"> </w:t>
      </w:r>
    </w:p>
    <w:p w:rsidR="0077749D" w:rsidRPr="0048184B" w:rsidRDefault="0077749D" w:rsidP="0077749D">
      <w:pPr>
        <w:spacing w:after="0" w:line="240" w:lineRule="auto"/>
        <w:jc w:val="both"/>
        <w:rPr>
          <w:rFonts w:ascii="Arial" w:hAnsi="Arial" w:cs="Arial"/>
          <w:sz w:val="24"/>
          <w:szCs w:val="24"/>
          <w:lang w:eastAsia="ro-RO"/>
        </w:rPr>
      </w:pPr>
      <w:r w:rsidRPr="009E176F">
        <w:rPr>
          <w:rFonts w:ascii="Arial" w:hAnsi="Arial" w:cs="Arial"/>
          <w:b/>
          <w:sz w:val="24"/>
          <w:szCs w:val="24"/>
          <w:lang w:eastAsia="ro-RO"/>
        </w:rPr>
        <w:t>Domeniul Economic</w:t>
      </w:r>
      <w:r w:rsidRPr="0048184B">
        <w:rPr>
          <w:rFonts w:ascii="Arial" w:hAnsi="Arial" w:cs="Arial"/>
          <w:sz w:val="24"/>
          <w:szCs w:val="24"/>
          <w:lang w:eastAsia="ro-RO"/>
        </w:rPr>
        <w:t xml:space="preserve"> are o atractivitate semnificativă atât în rândul angajatorilor dar şi în rândul elevilor şi părinţilor acestora. Având în ve</w:t>
      </w:r>
      <w:r w:rsidR="00B17747">
        <w:rPr>
          <w:rFonts w:ascii="Arial" w:hAnsi="Arial" w:cs="Arial"/>
          <w:sz w:val="24"/>
          <w:szCs w:val="24"/>
          <w:lang w:eastAsia="ro-RO"/>
        </w:rPr>
        <w:t>d</w:t>
      </w:r>
      <w:r w:rsidRPr="0048184B">
        <w:rPr>
          <w:rFonts w:ascii="Arial" w:hAnsi="Arial" w:cs="Arial"/>
          <w:sz w:val="24"/>
          <w:szCs w:val="24"/>
          <w:lang w:eastAsia="ro-RO"/>
        </w:rPr>
        <w:t>ere op</w:t>
      </w:r>
      <w:r w:rsidR="00B17747">
        <w:rPr>
          <w:rFonts w:ascii="Arial" w:hAnsi="Arial" w:cs="Arial"/>
          <w:sz w:val="24"/>
          <w:szCs w:val="24"/>
          <w:lang w:eastAsia="ro-RO"/>
        </w:rPr>
        <w:t>ț</w:t>
      </w:r>
      <w:r w:rsidRPr="0048184B">
        <w:rPr>
          <w:rFonts w:ascii="Arial" w:hAnsi="Arial" w:cs="Arial"/>
          <w:sz w:val="24"/>
          <w:szCs w:val="24"/>
          <w:lang w:eastAsia="ro-RO"/>
        </w:rPr>
        <w:t>iunie elevilor şi a</w:t>
      </w:r>
      <w:r w:rsidR="00B17747">
        <w:rPr>
          <w:rFonts w:ascii="Arial" w:hAnsi="Arial" w:cs="Arial"/>
          <w:sz w:val="24"/>
          <w:szCs w:val="24"/>
          <w:lang w:eastAsia="ro-RO"/>
        </w:rPr>
        <w:t>le</w:t>
      </w:r>
      <w:r w:rsidRPr="0048184B">
        <w:rPr>
          <w:rFonts w:ascii="Arial" w:hAnsi="Arial" w:cs="Arial"/>
          <w:sz w:val="24"/>
          <w:szCs w:val="24"/>
          <w:lang w:eastAsia="ro-RO"/>
        </w:rPr>
        <w:t xml:space="preserve"> părinţilor precum  şi rată ridicată de continuare a studiilor în învăţământ superior, ponderea re</w:t>
      </w:r>
      <w:r>
        <w:rPr>
          <w:rFonts w:ascii="Arial" w:hAnsi="Arial" w:cs="Arial"/>
          <w:sz w:val="24"/>
          <w:szCs w:val="24"/>
          <w:lang w:eastAsia="ro-RO"/>
        </w:rPr>
        <w:t>gională creşte la valoarea de 14</w:t>
      </w:r>
      <w:r w:rsidRPr="0048184B">
        <w:rPr>
          <w:rFonts w:ascii="Arial" w:hAnsi="Arial" w:cs="Arial"/>
          <w:sz w:val="24"/>
          <w:szCs w:val="24"/>
          <w:lang w:eastAsia="ro-RO"/>
        </w:rPr>
        <w:t xml:space="preserve">%. </w:t>
      </w:r>
    </w:p>
    <w:p w:rsidR="0077749D" w:rsidRPr="0048184B" w:rsidRDefault="0077749D" w:rsidP="0077749D">
      <w:pPr>
        <w:spacing w:after="0" w:line="240" w:lineRule="auto"/>
        <w:jc w:val="both"/>
        <w:rPr>
          <w:rFonts w:ascii="Arial" w:hAnsi="Arial" w:cs="Arial"/>
          <w:sz w:val="24"/>
          <w:szCs w:val="24"/>
          <w:lang w:eastAsia="ro-RO"/>
        </w:rPr>
      </w:pPr>
      <w:r w:rsidRPr="009E176F">
        <w:rPr>
          <w:rFonts w:ascii="Arial" w:hAnsi="Arial" w:cs="Arial"/>
          <w:b/>
          <w:sz w:val="24"/>
          <w:szCs w:val="24"/>
          <w:lang w:eastAsia="ro-RO"/>
        </w:rPr>
        <w:t>Domeniul Turism şi alimentaţie</w:t>
      </w:r>
      <w:r w:rsidRPr="0048184B">
        <w:rPr>
          <w:rFonts w:ascii="Arial" w:hAnsi="Arial" w:cs="Arial"/>
          <w:sz w:val="24"/>
          <w:szCs w:val="24"/>
          <w:lang w:eastAsia="ro-RO"/>
        </w:rPr>
        <w:t xml:space="preserve">, este un domeniu în care se înregistrează o supraofertă faţă de ţintă regională de 7%. Având în vedere potenţialul turistic al regiunii şi fluctuaţiile deosebit de mari a forţei de muncă în aceste sectoare ocupaţionale, propunem o creştere a ponderii pentru acest domeniu la 10%. </w:t>
      </w:r>
    </w:p>
    <w:p w:rsidR="0077749D" w:rsidRPr="001937AF" w:rsidRDefault="0077749D" w:rsidP="000C6A67">
      <w:pPr>
        <w:spacing w:after="0" w:line="240" w:lineRule="auto"/>
        <w:jc w:val="both"/>
        <w:rPr>
          <w:rFonts w:ascii="Arial" w:hAnsi="Arial" w:cs="Arial"/>
          <w:sz w:val="24"/>
          <w:szCs w:val="24"/>
          <w:lang w:eastAsia="ro-RO"/>
        </w:rPr>
      </w:pPr>
    </w:p>
    <w:p w:rsidR="007D5CB1" w:rsidRPr="00B24B3D" w:rsidRDefault="00CE2EA6" w:rsidP="000C6A67">
      <w:pPr>
        <w:pStyle w:val="ListParagraph"/>
        <w:ind w:left="0"/>
        <w:jc w:val="center"/>
        <w:rPr>
          <w:rFonts w:ascii="Arial" w:hAnsi="Arial" w:cs="Arial"/>
          <w:sz w:val="22"/>
          <w:szCs w:val="22"/>
        </w:rPr>
      </w:pPr>
      <w:r>
        <w:rPr>
          <w:rFonts w:ascii="Arial" w:hAnsi="Arial" w:cs="Arial"/>
          <w:sz w:val="22"/>
          <w:szCs w:val="22"/>
        </w:rPr>
        <w:t>Tabel nr.</w:t>
      </w:r>
      <w:r w:rsidR="0077749D">
        <w:rPr>
          <w:rFonts w:ascii="Arial" w:hAnsi="Arial" w:cs="Arial"/>
          <w:sz w:val="22"/>
          <w:szCs w:val="22"/>
        </w:rPr>
        <w:t>17</w:t>
      </w:r>
    </w:p>
    <w:tbl>
      <w:tblPr>
        <w:tblW w:w="9482" w:type="dxa"/>
        <w:tblInd w:w="92" w:type="dxa"/>
        <w:tblLook w:val="04A0" w:firstRow="1" w:lastRow="0" w:firstColumn="1" w:lastColumn="0" w:noHBand="0" w:noVBand="1"/>
      </w:tblPr>
      <w:tblGrid>
        <w:gridCol w:w="2153"/>
        <w:gridCol w:w="1006"/>
        <w:gridCol w:w="1006"/>
        <w:gridCol w:w="1006"/>
        <w:gridCol w:w="1127"/>
        <w:gridCol w:w="737"/>
        <w:gridCol w:w="706"/>
        <w:gridCol w:w="706"/>
        <w:gridCol w:w="1035"/>
      </w:tblGrid>
      <w:tr w:rsidR="007D5CB1" w:rsidRPr="00056E7C" w:rsidTr="00056E7C">
        <w:trPr>
          <w:trHeight w:val="399"/>
        </w:trPr>
        <w:tc>
          <w:tcPr>
            <w:tcW w:w="2153" w:type="dxa"/>
            <w:vMerge w:val="restart"/>
            <w:tcBorders>
              <w:top w:val="single" w:sz="8" w:space="0" w:color="auto"/>
              <w:left w:val="single" w:sz="8" w:space="0" w:color="auto"/>
              <w:bottom w:val="single" w:sz="8" w:space="0" w:color="000000"/>
              <w:right w:val="single" w:sz="8" w:space="0" w:color="auto"/>
            </w:tcBorders>
            <w:shd w:val="clear" w:color="auto" w:fill="B6DDE8" w:themeFill="accent5" w:themeFillTint="66"/>
            <w:noWrap/>
            <w:vAlign w:val="bottom"/>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DOMENIU DE FORMARE</w:t>
            </w:r>
          </w:p>
        </w:tc>
        <w:tc>
          <w:tcPr>
            <w:tcW w:w="2973" w:type="dxa"/>
            <w:gridSpan w:val="3"/>
            <w:tcBorders>
              <w:top w:val="single" w:sz="8" w:space="0" w:color="auto"/>
              <w:left w:val="nil"/>
              <w:bottom w:val="single" w:sz="8" w:space="0" w:color="auto"/>
              <w:right w:val="single" w:sz="8" w:space="0" w:color="000000"/>
            </w:tcBorders>
            <w:shd w:val="clear" w:color="auto" w:fill="B6DDE8" w:themeFill="accent5" w:themeFillTint="66"/>
            <w:noWrap/>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Ponderi</w:t>
            </w:r>
          </w:p>
        </w:tc>
        <w:tc>
          <w:tcPr>
            <w:tcW w:w="1127" w:type="dxa"/>
            <w:vMerge w:val="restart"/>
            <w:tcBorders>
              <w:top w:val="single" w:sz="8" w:space="0" w:color="auto"/>
              <w:left w:val="nil"/>
              <w:bottom w:val="single" w:sz="8" w:space="0" w:color="000000"/>
              <w:right w:val="single" w:sz="8" w:space="0" w:color="auto"/>
            </w:tcBorders>
            <w:shd w:val="clear" w:color="auto" w:fill="B6DDE8" w:themeFill="accent5" w:themeFillTint="66"/>
            <w:vAlign w:val="bottom"/>
            <w:hideMark/>
          </w:tcPr>
          <w:p w:rsidR="007D5CB1" w:rsidRPr="00056E7C" w:rsidRDefault="007D5CB1" w:rsidP="000C6A67">
            <w:pPr>
              <w:spacing w:after="0" w:line="240" w:lineRule="auto"/>
              <w:jc w:val="center"/>
              <w:rPr>
                <w:rFonts w:ascii="Arial" w:eastAsia="Times New Roman" w:hAnsi="Arial" w:cs="Arial"/>
                <w:b/>
                <w:bCs/>
                <w:sz w:val="20"/>
                <w:szCs w:val="20"/>
                <w:lang w:eastAsia="ro-RO"/>
              </w:rPr>
            </w:pPr>
            <w:r w:rsidRPr="00056E7C">
              <w:rPr>
                <w:rFonts w:ascii="Arial" w:eastAsia="Times New Roman" w:hAnsi="Arial" w:cs="Arial"/>
                <w:b/>
                <w:bCs/>
                <w:sz w:val="20"/>
                <w:szCs w:val="20"/>
                <w:lang w:val="en-US" w:eastAsia="ro-RO"/>
              </w:rPr>
              <w:t>Pondere PRAI</w:t>
            </w:r>
            <w:r w:rsidR="00056E7C" w:rsidRPr="00056E7C">
              <w:rPr>
                <w:rFonts w:ascii="Arial" w:eastAsia="Times New Roman" w:hAnsi="Arial" w:cs="Arial"/>
                <w:b/>
                <w:bCs/>
                <w:sz w:val="20"/>
                <w:szCs w:val="20"/>
                <w:lang w:val="en-US" w:eastAsia="ro-RO"/>
              </w:rPr>
              <w:t xml:space="preserve"> anterior</w:t>
            </w:r>
          </w:p>
        </w:tc>
        <w:tc>
          <w:tcPr>
            <w:tcW w:w="2221" w:type="dxa"/>
            <w:gridSpan w:val="3"/>
            <w:tcBorders>
              <w:top w:val="single" w:sz="8" w:space="0" w:color="auto"/>
              <w:left w:val="nil"/>
              <w:bottom w:val="single" w:sz="8" w:space="0" w:color="auto"/>
              <w:right w:val="single" w:sz="8" w:space="0" w:color="000000"/>
            </w:tcBorders>
            <w:shd w:val="clear" w:color="auto" w:fill="B6DDE8" w:themeFill="accent5" w:themeFillTint="66"/>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Esalonare anuală</w:t>
            </w:r>
          </w:p>
        </w:tc>
        <w:tc>
          <w:tcPr>
            <w:tcW w:w="1008" w:type="dxa"/>
            <w:vMerge w:val="restart"/>
            <w:tcBorders>
              <w:top w:val="single" w:sz="8" w:space="0" w:color="auto"/>
              <w:left w:val="single" w:sz="8" w:space="0" w:color="auto"/>
              <w:bottom w:val="single" w:sz="8" w:space="0" w:color="000000"/>
              <w:right w:val="single" w:sz="8" w:space="0" w:color="auto"/>
            </w:tcBorders>
            <w:shd w:val="clear" w:color="auto" w:fill="B6DDE8" w:themeFill="accent5" w:themeFillTint="66"/>
            <w:vAlign w:val="bottom"/>
            <w:hideMark/>
          </w:tcPr>
          <w:p w:rsidR="007D5CB1" w:rsidRPr="00056E7C" w:rsidRDefault="0040782D" w:rsidP="000C6A67">
            <w:pPr>
              <w:spacing w:after="0" w:line="240" w:lineRule="auto"/>
              <w:rPr>
                <w:rFonts w:ascii="Arial" w:eastAsia="Times New Roman" w:hAnsi="Arial" w:cs="Arial"/>
                <w:b/>
                <w:bCs/>
                <w:lang w:eastAsia="ro-RO"/>
              </w:rPr>
            </w:pPr>
            <w:r>
              <w:rPr>
                <w:rFonts w:ascii="Arial" w:eastAsia="Times New Roman" w:hAnsi="Arial" w:cs="Arial"/>
                <w:b/>
                <w:bCs/>
                <w:lang w:val="en-US" w:eastAsia="ro-RO"/>
              </w:rPr>
              <w:t>P</w:t>
            </w:r>
            <w:r w:rsidR="007D5CB1" w:rsidRPr="00056E7C">
              <w:rPr>
                <w:rFonts w:ascii="Arial" w:eastAsia="Times New Roman" w:hAnsi="Arial" w:cs="Arial"/>
                <w:b/>
                <w:bCs/>
                <w:lang w:val="en-US" w:eastAsia="ro-RO"/>
              </w:rPr>
              <w:t>onderi PRAI avizate</w:t>
            </w:r>
          </w:p>
        </w:tc>
      </w:tr>
      <w:tr w:rsidR="00056E7C" w:rsidRPr="00056E7C" w:rsidTr="00056E7C">
        <w:trPr>
          <w:trHeight w:val="315"/>
        </w:trPr>
        <w:tc>
          <w:tcPr>
            <w:tcW w:w="2153" w:type="dxa"/>
            <w:vMerge/>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7D5CB1" w:rsidRPr="00056E7C" w:rsidRDefault="007D5CB1" w:rsidP="000C6A67">
            <w:pPr>
              <w:spacing w:after="0" w:line="240" w:lineRule="auto"/>
              <w:rPr>
                <w:rFonts w:ascii="Arial" w:eastAsia="Times New Roman" w:hAnsi="Arial" w:cs="Arial"/>
                <w:b/>
                <w:bCs/>
                <w:lang w:eastAsia="ro-RO"/>
              </w:rPr>
            </w:pPr>
          </w:p>
        </w:tc>
        <w:tc>
          <w:tcPr>
            <w:tcW w:w="991" w:type="dxa"/>
            <w:tcBorders>
              <w:top w:val="nil"/>
              <w:left w:val="nil"/>
              <w:bottom w:val="single" w:sz="8" w:space="0" w:color="auto"/>
              <w:right w:val="nil"/>
            </w:tcBorders>
            <w:shd w:val="clear" w:color="auto" w:fill="B6DDE8" w:themeFill="accent5" w:themeFillTint="66"/>
            <w:vAlign w:val="bottom"/>
            <w:hideMark/>
          </w:tcPr>
          <w:p w:rsidR="007D5CB1" w:rsidRPr="00056E7C" w:rsidRDefault="007D5CB1" w:rsidP="000C6A67">
            <w:pPr>
              <w:spacing w:after="0" w:line="240" w:lineRule="auto"/>
              <w:jc w:val="center"/>
              <w:rPr>
                <w:rFonts w:ascii="Arial" w:eastAsia="Times New Roman" w:hAnsi="Arial" w:cs="Arial"/>
                <w:lang w:eastAsia="ro-RO"/>
              </w:rPr>
            </w:pPr>
            <w:r w:rsidRPr="00056E7C">
              <w:rPr>
                <w:rFonts w:ascii="Arial" w:eastAsia="Times New Roman" w:hAnsi="Arial" w:cs="Arial"/>
                <w:lang w:val="en-US" w:eastAsia="ro-RO"/>
              </w:rPr>
              <w:t>IX-a</w:t>
            </w:r>
          </w:p>
        </w:tc>
        <w:tc>
          <w:tcPr>
            <w:tcW w:w="991" w:type="dxa"/>
            <w:tcBorders>
              <w:top w:val="nil"/>
              <w:left w:val="single" w:sz="8" w:space="0" w:color="auto"/>
              <w:bottom w:val="single" w:sz="8" w:space="0" w:color="auto"/>
              <w:right w:val="nil"/>
            </w:tcBorders>
            <w:shd w:val="clear" w:color="auto" w:fill="B6DDE8" w:themeFill="accent5" w:themeFillTint="66"/>
            <w:vAlign w:val="bottom"/>
            <w:hideMark/>
          </w:tcPr>
          <w:p w:rsidR="007D5CB1" w:rsidRPr="00056E7C" w:rsidRDefault="007D5CB1" w:rsidP="000C6A67">
            <w:pPr>
              <w:spacing w:after="0" w:line="240" w:lineRule="auto"/>
              <w:jc w:val="center"/>
              <w:rPr>
                <w:rFonts w:ascii="Arial" w:eastAsia="Times New Roman" w:hAnsi="Arial" w:cs="Arial"/>
                <w:lang w:eastAsia="ro-RO"/>
              </w:rPr>
            </w:pPr>
            <w:r w:rsidRPr="00056E7C">
              <w:rPr>
                <w:rFonts w:ascii="Arial" w:eastAsia="Times New Roman" w:hAnsi="Arial" w:cs="Arial"/>
                <w:lang w:val="en-US" w:eastAsia="ro-RO"/>
              </w:rPr>
              <w:t>a X-a</w:t>
            </w:r>
          </w:p>
        </w:tc>
        <w:tc>
          <w:tcPr>
            <w:tcW w:w="991" w:type="dxa"/>
            <w:tcBorders>
              <w:top w:val="nil"/>
              <w:left w:val="single" w:sz="8" w:space="0" w:color="auto"/>
              <w:bottom w:val="single" w:sz="8" w:space="0" w:color="auto"/>
              <w:right w:val="single" w:sz="8" w:space="0" w:color="auto"/>
            </w:tcBorders>
            <w:shd w:val="clear" w:color="auto" w:fill="B6DDE8" w:themeFill="accent5" w:themeFillTint="66"/>
            <w:vAlign w:val="bottom"/>
            <w:hideMark/>
          </w:tcPr>
          <w:p w:rsidR="007D5CB1" w:rsidRPr="00056E7C" w:rsidRDefault="007D5CB1" w:rsidP="000C6A67">
            <w:pPr>
              <w:spacing w:after="0" w:line="240" w:lineRule="auto"/>
              <w:jc w:val="center"/>
              <w:rPr>
                <w:rFonts w:ascii="Arial" w:eastAsia="Times New Roman" w:hAnsi="Arial" w:cs="Arial"/>
                <w:lang w:eastAsia="ro-RO"/>
              </w:rPr>
            </w:pPr>
            <w:r w:rsidRPr="00056E7C">
              <w:rPr>
                <w:rFonts w:ascii="Arial" w:eastAsia="Times New Roman" w:hAnsi="Arial" w:cs="Arial"/>
                <w:lang w:val="en-US" w:eastAsia="ro-RO"/>
              </w:rPr>
              <w:t>a XI-a</w:t>
            </w:r>
          </w:p>
        </w:tc>
        <w:tc>
          <w:tcPr>
            <w:tcW w:w="1127" w:type="dxa"/>
            <w:vMerge/>
            <w:tcBorders>
              <w:top w:val="single" w:sz="8" w:space="0" w:color="auto"/>
              <w:left w:val="nil"/>
              <w:bottom w:val="single" w:sz="8" w:space="0" w:color="000000"/>
              <w:right w:val="single" w:sz="8" w:space="0" w:color="auto"/>
            </w:tcBorders>
            <w:shd w:val="clear" w:color="auto" w:fill="B6DDE8" w:themeFill="accent5" w:themeFillTint="66"/>
            <w:vAlign w:val="center"/>
            <w:hideMark/>
          </w:tcPr>
          <w:p w:rsidR="007D5CB1" w:rsidRPr="00056E7C" w:rsidRDefault="007D5CB1" w:rsidP="000C6A67">
            <w:pPr>
              <w:spacing w:after="0" w:line="240" w:lineRule="auto"/>
              <w:rPr>
                <w:rFonts w:ascii="Arial" w:eastAsia="Times New Roman" w:hAnsi="Arial" w:cs="Arial"/>
                <w:b/>
                <w:bCs/>
                <w:sz w:val="20"/>
                <w:szCs w:val="20"/>
                <w:lang w:eastAsia="ro-RO"/>
              </w:rPr>
            </w:pPr>
          </w:p>
        </w:tc>
        <w:tc>
          <w:tcPr>
            <w:tcW w:w="827" w:type="dxa"/>
            <w:tcBorders>
              <w:top w:val="nil"/>
              <w:left w:val="nil"/>
              <w:bottom w:val="single" w:sz="8" w:space="0" w:color="auto"/>
              <w:right w:val="single" w:sz="8" w:space="0" w:color="auto"/>
            </w:tcBorders>
            <w:shd w:val="clear" w:color="auto" w:fill="B6DDE8" w:themeFill="accent5" w:themeFillTint="66"/>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2017</w:t>
            </w:r>
          </w:p>
        </w:tc>
        <w:tc>
          <w:tcPr>
            <w:tcW w:w="697" w:type="dxa"/>
            <w:tcBorders>
              <w:top w:val="nil"/>
              <w:left w:val="nil"/>
              <w:bottom w:val="single" w:sz="8" w:space="0" w:color="auto"/>
              <w:right w:val="single" w:sz="8" w:space="0" w:color="auto"/>
            </w:tcBorders>
            <w:shd w:val="clear" w:color="auto" w:fill="B6DDE8" w:themeFill="accent5" w:themeFillTint="66"/>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2018</w:t>
            </w:r>
          </w:p>
        </w:tc>
        <w:tc>
          <w:tcPr>
            <w:tcW w:w="697" w:type="dxa"/>
            <w:tcBorders>
              <w:top w:val="nil"/>
              <w:left w:val="nil"/>
              <w:bottom w:val="single" w:sz="8" w:space="0" w:color="auto"/>
              <w:right w:val="single" w:sz="8" w:space="0" w:color="auto"/>
            </w:tcBorders>
            <w:shd w:val="clear" w:color="auto" w:fill="B6DDE8" w:themeFill="accent5" w:themeFillTint="66"/>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2018</w:t>
            </w:r>
          </w:p>
        </w:tc>
        <w:tc>
          <w:tcPr>
            <w:tcW w:w="1008" w:type="dxa"/>
            <w:vMerge/>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7D5CB1" w:rsidRPr="00056E7C" w:rsidRDefault="007D5CB1" w:rsidP="000C6A67">
            <w:pPr>
              <w:spacing w:after="0" w:line="240" w:lineRule="auto"/>
              <w:rPr>
                <w:rFonts w:ascii="Arial" w:eastAsia="Times New Roman" w:hAnsi="Arial" w:cs="Arial"/>
                <w:b/>
                <w:bCs/>
                <w:lang w:eastAsia="ro-RO"/>
              </w:rPr>
            </w:pPr>
          </w:p>
        </w:tc>
      </w:tr>
      <w:tr w:rsidR="00056E7C" w:rsidRPr="00056E7C" w:rsidTr="00056E7C">
        <w:trPr>
          <w:trHeight w:val="315"/>
        </w:trPr>
        <w:tc>
          <w:tcPr>
            <w:tcW w:w="2153" w:type="dxa"/>
            <w:tcBorders>
              <w:top w:val="nil"/>
              <w:left w:val="single" w:sz="8" w:space="0" w:color="auto"/>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rPr>
                <w:rFonts w:ascii="Arial" w:eastAsia="Times New Roman" w:hAnsi="Arial" w:cs="Arial"/>
                <w:sz w:val="20"/>
                <w:szCs w:val="20"/>
                <w:lang w:eastAsia="ro-RO"/>
              </w:rPr>
            </w:pPr>
            <w:r w:rsidRPr="00056E7C">
              <w:rPr>
                <w:rFonts w:ascii="Arial" w:eastAsia="Times New Roman" w:hAnsi="Arial" w:cs="Arial"/>
                <w:sz w:val="20"/>
                <w:szCs w:val="20"/>
                <w:lang w:val="en-US" w:eastAsia="ro-RO"/>
              </w:rPr>
              <w:t>Agricultură</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2,70%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2,20%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2,60%</w:t>
            </w:r>
          </w:p>
        </w:tc>
        <w:tc>
          <w:tcPr>
            <w:tcW w:w="1127" w:type="dxa"/>
            <w:tcBorders>
              <w:top w:val="nil"/>
              <w:left w:val="nil"/>
              <w:bottom w:val="single" w:sz="8" w:space="0" w:color="auto"/>
              <w:right w:val="nil"/>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lang w:eastAsia="ro-RO"/>
              </w:rPr>
            </w:pPr>
            <w:r w:rsidRPr="00056E7C">
              <w:rPr>
                <w:rFonts w:ascii="Arial" w:eastAsia="Times New Roman" w:hAnsi="Arial" w:cs="Arial"/>
                <w:lang w:val="en-US" w:eastAsia="ro-RO"/>
              </w:rPr>
              <w:t>2,00%</w:t>
            </w:r>
          </w:p>
        </w:tc>
        <w:tc>
          <w:tcPr>
            <w:tcW w:w="827" w:type="dxa"/>
            <w:tcBorders>
              <w:top w:val="nil"/>
              <w:left w:val="single" w:sz="8" w:space="0" w:color="auto"/>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w:t>
            </w:r>
          </w:p>
        </w:tc>
        <w:tc>
          <w:tcPr>
            <w:tcW w:w="1008"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w:t>
            </w:r>
          </w:p>
        </w:tc>
      </w:tr>
      <w:tr w:rsidR="00056E7C" w:rsidRPr="00056E7C" w:rsidTr="00056E7C">
        <w:trPr>
          <w:trHeight w:val="315"/>
        </w:trPr>
        <w:tc>
          <w:tcPr>
            <w:tcW w:w="2153" w:type="dxa"/>
            <w:tcBorders>
              <w:top w:val="nil"/>
              <w:left w:val="single" w:sz="8" w:space="0" w:color="auto"/>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rPr>
                <w:rFonts w:ascii="Arial" w:eastAsia="Times New Roman" w:hAnsi="Arial" w:cs="Arial"/>
                <w:sz w:val="20"/>
                <w:szCs w:val="20"/>
                <w:lang w:eastAsia="ro-RO"/>
              </w:rPr>
            </w:pPr>
            <w:r w:rsidRPr="00056E7C">
              <w:rPr>
                <w:rFonts w:ascii="Arial" w:eastAsia="Times New Roman" w:hAnsi="Arial" w:cs="Arial"/>
                <w:sz w:val="20"/>
                <w:szCs w:val="20"/>
                <w:lang w:val="en-US" w:eastAsia="ro-RO"/>
              </w:rPr>
              <w:t>Chimie industrială</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0,70%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0,60%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0,20%</w:t>
            </w:r>
          </w:p>
        </w:tc>
        <w:tc>
          <w:tcPr>
            <w:tcW w:w="1127" w:type="dxa"/>
            <w:tcBorders>
              <w:top w:val="nil"/>
              <w:left w:val="nil"/>
              <w:bottom w:val="single" w:sz="8" w:space="0" w:color="auto"/>
              <w:right w:val="nil"/>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lang w:eastAsia="ro-RO"/>
              </w:rPr>
            </w:pPr>
            <w:r w:rsidRPr="00056E7C">
              <w:rPr>
                <w:rFonts w:ascii="Arial" w:eastAsia="Times New Roman" w:hAnsi="Arial" w:cs="Arial"/>
                <w:lang w:val="en-US" w:eastAsia="ro-RO"/>
              </w:rPr>
              <w:t>2,00%</w:t>
            </w:r>
          </w:p>
        </w:tc>
        <w:tc>
          <w:tcPr>
            <w:tcW w:w="827" w:type="dxa"/>
            <w:tcBorders>
              <w:top w:val="nil"/>
              <w:left w:val="single" w:sz="8" w:space="0" w:color="auto"/>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1</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1</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1</w:t>
            </w:r>
          </w:p>
        </w:tc>
        <w:tc>
          <w:tcPr>
            <w:tcW w:w="1008"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1</w:t>
            </w:r>
          </w:p>
        </w:tc>
      </w:tr>
      <w:tr w:rsidR="007D5CB1" w:rsidRPr="00056E7C" w:rsidTr="00056E7C">
        <w:trPr>
          <w:trHeight w:val="315"/>
        </w:trPr>
        <w:tc>
          <w:tcPr>
            <w:tcW w:w="2153" w:type="dxa"/>
            <w:tcBorders>
              <w:top w:val="nil"/>
              <w:left w:val="single" w:sz="8" w:space="0" w:color="auto"/>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rPr>
                <w:rFonts w:ascii="Arial" w:eastAsia="Times New Roman" w:hAnsi="Arial" w:cs="Arial"/>
                <w:sz w:val="20"/>
                <w:szCs w:val="20"/>
                <w:lang w:eastAsia="ro-RO"/>
              </w:rPr>
            </w:pPr>
            <w:r w:rsidRPr="00056E7C">
              <w:rPr>
                <w:rFonts w:ascii="Arial" w:eastAsia="Times New Roman" w:hAnsi="Arial" w:cs="Arial"/>
                <w:sz w:val="20"/>
                <w:szCs w:val="20"/>
                <w:lang w:val="en-US" w:eastAsia="ro-RO"/>
              </w:rPr>
              <w:lastRenderedPageBreak/>
              <w:t>Comerț</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3,90%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4,70%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4,30%</w:t>
            </w:r>
          </w:p>
        </w:tc>
        <w:tc>
          <w:tcPr>
            <w:tcW w:w="1127" w:type="dxa"/>
            <w:tcBorders>
              <w:top w:val="nil"/>
              <w:left w:val="nil"/>
              <w:bottom w:val="single" w:sz="8" w:space="0" w:color="auto"/>
              <w:right w:val="nil"/>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lang w:eastAsia="ro-RO"/>
              </w:rPr>
            </w:pPr>
            <w:r w:rsidRPr="00056E7C">
              <w:rPr>
                <w:rFonts w:ascii="Arial" w:eastAsia="Times New Roman" w:hAnsi="Arial" w:cs="Arial"/>
                <w:lang w:val="en-US" w:eastAsia="ro-RO"/>
              </w:rPr>
              <w:t>3,00%</w:t>
            </w:r>
          </w:p>
        </w:tc>
        <w:tc>
          <w:tcPr>
            <w:tcW w:w="827" w:type="dxa"/>
            <w:tcBorders>
              <w:top w:val="nil"/>
              <w:left w:val="single" w:sz="8" w:space="0" w:color="auto"/>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4</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4</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5</w:t>
            </w:r>
          </w:p>
        </w:tc>
        <w:tc>
          <w:tcPr>
            <w:tcW w:w="1008"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5</w:t>
            </w:r>
          </w:p>
        </w:tc>
      </w:tr>
      <w:tr w:rsidR="00056E7C" w:rsidRPr="00056E7C" w:rsidTr="00056E7C">
        <w:trPr>
          <w:trHeight w:val="315"/>
        </w:trPr>
        <w:tc>
          <w:tcPr>
            <w:tcW w:w="2153" w:type="dxa"/>
            <w:tcBorders>
              <w:top w:val="nil"/>
              <w:left w:val="single" w:sz="8" w:space="0" w:color="auto"/>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rPr>
                <w:rFonts w:ascii="Arial" w:eastAsia="Times New Roman" w:hAnsi="Arial" w:cs="Arial"/>
                <w:sz w:val="20"/>
                <w:szCs w:val="20"/>
                <w:lang w:eastAsia="ro-RO"/>
              </w:rPr>
            </w:pPr>
            <w:r w:rsidRPr="00056E7C">
              <w:rPr>
                <w:rFonts w:ascii="Arial" w:eastAsia="Times New Roman" w:hAnsi="Arial" w:cs="Arial"/>
                <w:sz w:val="20"/>
                <w:szCs w:val="20"/>
                <w:lang w:val="en-US" w:eastAsia="ro-RO"/>
              </w:rPr>
              <w:t>Construcţii, instalaţii şi lucrări publice</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3,50%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3,40%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4,30%</w:t>
            </w:r>
          </w:p>
        </w:tc>
        <w:tc>
          <w:tcPr>
            <w:tcW w:w="1127" w:type="dxa"/>
            <w:tcBorders>
              <w:top w:val="nil"/>
              <w:left w:val="nil"/>
              <w:bottom w:val="single" w:sz="8" w:space="0" w:color="auto"/>
              <w:right w:val="nil"/>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lang w:eastAsia="ro-RO"/>
              </w:rPr>
            </w:pPr>
            <w:r w:rsidRPr="00056E7C">
              <w:rPr>
                <w:rFonts w:ascii="Arial" w:eastAsia="Times New Roman" w:hAnsi="Arial" w:cs="Arial"/>
                <w:lang w:val="en-US" w:eastAsia="ro-RO"/>
              </w:rPr>
              <w:t>14,00%</w:t>
            </w:r>
          </w:p>
        </w:tc>
        <w:tc>
          <w:tcPr>
            <w:tcW w:w="827" w:type="dxa"/>
            <w:tcBorders>
              <w:top w:val="nil"/>
              <w:left w:val="single" w:sz="8" w:space="0" w:color="auto"/>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9</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9</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8</w:t>
            </w:r>
          </w:p>
        </w:tc>
        <w:tc>
          <w:tcPr>
            <w:tcW w:w="1008"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8</w:t>
            </w:r>
          </w:p>
        </w:tc>
      </w:tr>
      <w:tr w:rsidR="00056E7C" w:rsidRPr="00056E7C" w:rsidTr="00056E7C">
        <w:trPr>
          <w:trHeight w:val="315"/>
        </w:trPr>
        <w:tc>
          <w:tcPr>
            <w:tcW w:w="2153" w:type="dxa"/>
            <w:tcBorders>
              <w:top w:val="nil"/>
              <w:left w:val="single" w:sz="8" w:space="0" w:color="auto"/>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rPr>
                <w:rFonts w:ascii="Arial" w:eastAsia="Times New Roman" w:hAnsi="Arial" w:cs="Arial"/>
                <w:sz w:val="20"/>
                <w:szCs w:val="20"/>
                <w:lang w:eastAsia="ro-RO"/>
              </w:rPr>
            </w:pPr>
            <w:r w:rsidRPr="00056E7C">
              <w:rPr>
                <w:rFonts w:ascii="Arial" w:eastAsia="Times New Roman" w:hAnsi="Arial" w:cs="Arial"/>
                <w:sz w:val="20"/>
                <w:szCs w:val="20"/>
                <w:lang w:val="en-US" w:eastAsia="ro-RO"/>
              </w:rPr>
              <w:t>Economic</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15,10%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15,60%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16,90%</w:t>
            </w:r>
          </w:p>
        </w:tc>
        <w:tc>
          <w:tcPr>
            <w:tcW w:w="1127" w:type="dxa"/>
            <w:tcBorders>
              <w:top w:val="nil"/>
              <w:left w:val="nil"/>
              <w:bottom w:val="single" w:sz="8" w:space="0" w:color="auto"/>
              <w:right w:val="nil"/>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lang w:eastAsia="ro-RO"/>
              </w:rPr>
            </w:pPr>
            <w:r w:rsidRPr="00056E7C">
              <w:rPr>
                <w:rFonts w:ascii="Arial" w:eastAsia="Times New Roman" w:hAnsi="Arial" w:cs="Arial"/>
                <w:lang w:val="en-US" w:eastAsia="ro-RO"/>
              </w:rPr>
              <w:t>9,00%</w:t>
            </w:r>
          </w:p>
        </w:tc>
        <w:tc>
          <w:tcPr>
            <w:tcW w:w="827" w:type="dxa"/>
            <w:tcBorders>
              <w:top w:val="nil"/>
              <w:left w:val="single" w:sz="8" w:space="0" w:color="auto"/>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14</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14</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14</w:t>
            </w:r>
          </w:p>
        </w:tc>
        <w:tc>
          <w:tcPr>
            <w:tcW w:w="1008"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14</w:t>
            </w:r>
          </w:p>
        </w:tc>
      </w:tr>
      <w:tr w:rsidR="00056E7C" w:rsidRPr="00056E7C" w:rsidTr="00056E7C">
        <w:trPr>
          <w:trHeight w:val="315"/>
        </w:trPr>
        <w:tc>
          <w:tcPr>
            <w:tcW w:w="2153" w:type="dxa"/>
            <w:tcBorders>
              <w:top w:val="nil"/>
              <w:left w:val="single" w:sz="8" w:space="0" w:color="auto"/>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rPr>
                <w:rFonts w:ascii="Arial" w:eastAsia="Times New Roman" w:hAnsi="Arial" w:cs="Arial"/>
                <w:sz w:val="20"/>
                <w:szCs w:val="20"/>
                <w:lang w:eastAsia="ro-RO"/>
              </w:rPr>
            </w:pPr>
            <w:r w:rsidRPr="00056E7C">
              <w:rPr>
                <w:rFonts w:ascii="Arial" w:eastAsia="Times New Roman" w:hAnsi="Arial" w:cs="Arial"/>
                <w:sz w:val="20"/>
                <w:szCs w:val="20"/>
                <w:lang w:val="en-US" w:eastAsia="ro-RO"/>
              </w:rPr>
              <w:t>Electric</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6,50%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6,80%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5,60%</w:t>
            </w:r>
          </w:p>
        </w:tc>
        <w:tc>
          <w:tcPr>
            <w:tcW w:w="1127" w:type="dxa"/>
            <w:tcBorders>
              <w:top w:val="nil"/>
              <w:left w:val="nil"/>
              <w:bottom w:val="single" w:sz="8" w:space="0" w:color="auto"/>
              <w:right w:val="nil"/>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lang w:eastAsia="ro-RO"/>
              </w:rPr>
            </w:pPr>
            <w:r w:rsidRPr="00056E7C">
              <w:rPr>
                <w:rFonts w:ascii="Arial" w:eastAsia="Times New Roman" w:hAnsi="Arial" w:cs="Arial"/>
                <w:lang w:val="en-US" w:eastAsia="ro-RO"/>
              </w:rPr>
              <w:t>10,00%</w:t>
            </w:r>
          </w:p>
        </w:tc>
        <w:tc>
          <w:tcPr>
            <w:tcW w:w="827" w:type="dxa"/>
            <w:tcBorders>
              <w:top w:val="nil"/>
              <w:left w:val="single" w:sz="8" w:space="0" w:color="auto"/>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8</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8</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8</w:t>
            </w:r>
          </w:p>
        </w:tc>
        <w:tc>
          <w:tcPr>
            <w:tcW w:w="1008"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8</w:t>
            </w:r>
          </w:p>
        </w:tc>
      </w:tr>
      <w:tr w:rsidR="00056E7C" w:rsidRPr="00056E7C" w:rsidTr="00056E7C">
        <w:trPr>
          <w:trHeight w:val="315"/>
        </w:trPr>
        <w:tc>
          <w:tcPr>
            <w:tcW w:w="2153" w:type="dxa"/>
            <w:tcBorders>
              <w:top w:val="nil"/>
              <w:left w:val="single" w:sz="8" w:space="0" w:color="auto"/>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rPr>
                <w:rFonts w:ascii="Arial" w:eastAsia="Times New Roman" w:hAnsi="Arial" w:cs="Arial"/>
                <w:sz w:val="20"/>
                <w:szCs w:val="20"/>
                <w:lang w:eastAsia="ro-RO"/>
              </w:rPr>
            </w:pPr>
            <w:r w:rsidRPr="00056E7C">
              <w:rPr>
                <w:rFonts w:ascii="Arial" w:eastAsia="Times New Roman" w:hAnsi="Arial" w:cs="Arial"/>
                <w:sz w:val="20"/>
                <w:szCs w:val="20"/>
                <w:lang w:val="en-US" w:eastAsia="ro-RO"/>
              </w:rPr>
              <w:t>Electromecanică</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4,70%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5,60%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4,10%</w:t>
            </w:r>
          </w:p>
        </w:tc>
        <w:tc>
          <w:tcPr>
            <w:tcW w:w="1127" w:type="dxa"/>
            <w:tcBorders>
              <w:top w:val="nil"/>
              <w:left w:val="nil"/>
              <w:bottom w:val="single" w:sz="8" w:space="0" w:color="auto"/>
              <w:right w:val="nil"/>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lang w:eastAsia="ro-RO"/>
              </w:rPr>
            </w:pPr>
            <w:r w:rsidRPr="00056E7C">
              <w:rPr>
                <w:rFonts w:ascii="Arial" w:eastAsia="Times New Roman" w:hAnsi="Arial" w:cs="Arial"/>
                <w:lang w:val="en-US" w:eastAsia="ro-RO"/>
              </w:rPr>
              <w:t>6,00%</w:t>
            </w:r>
          </w:p>
        </w:tc>
        <w:tc>
          <w:tcPr>
            <w:tcW w:w="827" w:type="dxa"/>
            <w:tcBorders>
              <w:top w:val="nil"/>
              <w:left w:val="single" w:sz="8" w:space="0" w:color="auto"/>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6</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6</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6</w:t>
            </w:r>
          </w:p>
        </w:tc>
        <w:tc>
          <w:tcPr>
            <w:tcW w:w="1008"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6</w:t>
            </w:r>
          </w:p>
        </w:tc>
      </w:tr>
      <w:tr w:rsidR="00056E7C" w:rsidRPr="00056E7C" w:rsidTr="00056E7C">
        <w:trPr>
          <w:trHeight w:val="315"/>
        </w:trPr>
        <w:tc>
          <w:tcPr>
            <w:tcW w:w="2153" w:type="dxa"/>
            <w:tcBorders>
              <w:top w:val="nil"/>
              <w:left w:val="single" w:sz="8" w:space="0" w:color="auto"/>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rPr>
                <w:rFonts w:ascii="Arial" w:eastAsia="Times New Roman" w:hAnsi="Arial" w:cs="Arial"/>
                <w:sz w:val="20"/>
                <w:szCs w:val="20"/>
                <w:lang w:eastAsia="ro-RO"/>
              </w:rPr>
            </w:pPr>
            <w:r w:rsidRPr="00056E7C">
              <w:rPr>
                <w:rFonts w:ascii="Arial" w:eastAsia="Times New Roman" w:hAnsi="Arial" w:cs="Arial"/>
                <w:sz w:val="20"/>
                <w:szCs w:val="20"/>
                <w:lang w:val="en-US" w:eastAsia="ro-RO"/>
              </w:rPr>
              <w:t>Electronică automatizări</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7,60%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7,30%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7,80%</w:t>
            </w:r>
          </w:p>
        </w:tc>
        <w:tc>
          <w:tcPr>
            <w:tcW w:w="1127" w:type="dxa"/>
            <w:tcBorders>
              <w:top w:val="nil"/>
              <w:left w:val="nil"/>
              <w:bottom w:val="single" w:sz="8" w:space="0" w:color="auto"/>
              <w:right w:val="nil"/>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lang w:eastAsia="ro-RO"/>
              </w:rPr>
            </w:pPr>
            <w:r w:rsidRPr="00056E7C">
              <w:rPr>
                <w:rFonts w:ascii="Arial" w:eastAsia="Times New Roman" w:hAnsi="Arial" w:cs="Arial"/>
                <w:lang w:val="en-US" w:eastAsia="ro-RO"/>
              </w:rPr>
              <w:t>6,00%</w:t>
            </w:r>
          </w:p>
        </w:tc>
        <w:tc>
          <w:tcPr>
            <w:tcW w:w="827" w:type="dxa"/>
            <w:tcBorders>
              <w:top w:val="nil"/>
              <w:left w:val="single" w:sz="8" w:space="0" w:color="auto"/>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8</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8</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8</w:t>
            </w:r>
          </w:p>
        </w:tc>
        <w:tc>
          <w:tcPr>
            <w:tcW w:w="1008"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8</w:t>
            </w:r>
          </w:p>
        </w:tc>
      </w:tr>
      <w:tr w:rsidR="00056E7C" w:rsidRPr="00056E7C" w:rsidTr="00056E7C">
        <w:trPr>
          <w:trHeight w:val="315"/>
        </w:trPr>
        <w:tc>
          <w:tcPr>
            <w:tcW w:w="2153" w:type="dxa"/>
            <w:tcBorders>
              <w:top w:val="nil"/>
              <w:left w:val="single" w:sz="8" w:space="0" w:color="auto"/>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rPr>
                <w:rFonts w:ascii="Arial" w:eastAsia="Times New Roman" w:hAnsi="Arial" w:cs="Arial"/>
                <w:sz w:val="20"/>
                <w:szCs w:val="20"/>
                <w:lang w:eastAsia="ro-RO"/>
              </w:rPr>
            </w:pPr>
            <w:r w:rsidRPr="00056E7C">
              <w:rPr>
                <w:rFonts w:ascii="Arial" w:eastAsia="Times New Roman" w:hAnsi="Arial" w:cs="Arial"/>
                <w:sz w:val="20"/>
                <w:szCs w:val="20"/>
                <w:lang w:val="en-US" w:eastAsia="ro-RO"/>
              </w:rPr>
              <w:t>Estetica şi igiena corpului omenesc</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3,90%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3,40%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3,30%</w:t>
            </w:r>
          </w:p>
        </w:tc>
        <w:tc>
          <w:tcPr>
            <w:tcW w:w="1127" w:type="dxa"/>
            <w:tcBorders>
              <w:top w:val="nil"/>
              <w:left w:val="nil"/>
              <w:bottom w:val="single" w:sz="8" w:space="0" w:color="auto"/>
              <w:right w:val="nil"/>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lang w:eastAsia="ro-RO"/>
              </w:rPr>
            </w:pPr>
            <w:r w:rsidRPr="00056E7C">
              <w:rPr>
                <w:rFonts w:ascii="Arial" w:eastAsia="Times New Roman" w:hAnsi="Arial" w:cs="Arial"/>
                <w:lang w:val="en-US" w:eastAsia="ro-RO"/>
              </w:rPr>
              <w:t>2,00%</w:t>
            </w:r>
          </w:p>
        </w:tc>
        <w:tc>
          <w:tcPr>
            <w:tcW w:w="827" w:type="dxa"/>
            <w:tcBorders>
              <w:top w:val="nil"/>
              <w:left w:val="single" w:sz="8" w:space="0" w:color="auto"/>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w:t>
            </w:r>
          </w:p>
        </w:tc>
        <w:tc>
          <w:tcPr>
            <w:tcW w:w="1008"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w:t>
            </w:r>
          </w:p>
        </w:tc>
      </w:tr>
      <w:tr w:rsidR="00056E7C" w:rsidRPr="00056E7C" w:rsidTr="00056E7C">
        <w:trPr>
          <w:trHeight w:val="315"/>
        </w:trPr>
        <w:tc>
          <w:tcPr>
            <w:tcW w:w="2153" w:type="dxa"/>
            <w:tcBorders>
              <w:top w:val="nil"/>
              <w:left w:val="single" w:sz="8" w:space="0" w:color="auto"/>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rPr>
                <w:rFonts w:ascii="Arial" w:eastAsia="Times New Roman" w:hAnsi="Arial" w:cs="Arial"/>
                <w:sz w:val="20"/>
                <w:szCs w:val="20"/>
                <w:lang w:eastAsia="ro-RO"/>
              </w:rPr>
            </w:pPr>
            <w:r w:rsidRPr="00056E7C">
              <w:rPr>
                <w:rFonts w:ascii="Arial" w:eastAsia="Times New Roman" w:hAnsi="Arial" w:cs="Arial"/>
                <w:sz w:val="20"/>
                <w:szCs w:val="20"/>
                <w:lang w:val="en-US" w:eastAsia="ro-RO"/>
              </w:rPr>
              <w:t>Fabricarea produselor din lemn</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2,50%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2,60%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3,60%</w:t>
            </w:r>
          </w:p>
        </w:tc>
        <w:tc>
          <w:tcPr>
            <w:tcW w:w="1127" w:type="dxa"/>
            <w:tcBorders>
              <w:top w:val="nil"/>
              <w:left w:val="nil"/>
              <w:bottom w:val="single" w:sz="8" w:space="0" w:color="auto"/>
              <w:right w:val="nil"/>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lang w:eastAsia="ro-RO"/>
              </w:rPr>
            </w:pPr>
            <w:r w:rsidRPr="00056E7C">
              <w:rPr>
                <w:rFonts w:ascii="Arial" w:eastAsia="Times New Roman" w:hAnsi="Arial" w:cs="Arial"/>
                <w:lang w:val="en-US" w:eastAsia="ro-RO"/>
              </w:rPr>
              <w:t>5,00%</w:t>
            </w:r>
          </w:p>
        </w:tc>
        <w:tc>
          <w:tcPr>
            <w:tcW w:w="827" w:type="dxa"/>
            <w:tcBorders>
              <w:top w:val="nil"/>
              <w:left w:val="single" w:sz="8" w:space="0" w:color="auto"/>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w:t>
            </w:r>
          </w:p>
        </w:tc>
        <w:tc>
          <w:tcPr>
            <w:tcW w:w="1008"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w:t>
            </w:r>
          </w:p>
        </w:tc>
      </w:tr>
      <w:tr w:rsidR="00056E7C" w:rsidRPr="00056E7C" w:rsidTr="00056E7C">
        <w:trPr>
          <w:trHeight w:val="315"/>
        </w:trPr>
        <w:tc>
          <w:tcPr>
            <w:tcW w:w="2153" w:type="dxa"/>
            <w:tcBorders>
              <w:top w:val="nil"/>
              <w:left w:val="single" w:sz="8" w:space="0" w:color="auto"/>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rPr>
                <w:rFonts w:ascii="Arial" w:eastAsia="Times New Roman" w:hAnsi="Arial" w:cs="Arial"/>
                <w:sz w:val="20"/>
                <w:szCs w:val="20"/>
                <w:lang w:eastAsia="ro-RO"/>
              </w:rPr>
            </w:pPr>
            <w:r w:rsidRPr="00056E7C">
              <w:rPr>
                <w:rFonts w:ascii="Arial" w:eastAsia="Times New Roman" w:hAnsi="Arial" w:cs="Arial"/>
                <w:sz w:val="20"/>
                <w:szCs w:val="20"/>
                <w:lang w:val="en-US" w:eastAsia="ro-RO"/>
              </w:rPr>
              <w:t>Industrie alimentară</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4,40%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3,60%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3,70%</w:t>
            </w:r>
          </w:p>
        </w:tc>
        <w:tc>
          <w:tcPr>
            <w:tcW w:w="1127" w:type="dxa"/>
            <w:tcBorders>
              <w:top w:val="nil"/>
              <w:left w:val="nil"/>
              <w:bottom w:val="single" w:sz="8" w:space="0" w:color="auto"/>
              <w:right w:val="nil"/>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lang w:eastAsia="ro-RO"/>
              </w:rPr>
            </w:pPr>
            <w:r w:rsidRPr="00056E7C">
              <w:rPr>
                <w:rFonts w:ascii="Arial" w:eastAsia="Times New Roman" w:hAnsi="Arial" w:cs="Arial"/>
                <w:lang w:val="en-US" w:eastAsia="ro-RO"/>
              </w:rPr>
              <w:t>2,00%</w:t>
            </w:r>
          </w:p>
        </w:tc>
        <w:tc>
          <w:tcPr>
            <w:tcW w:w="827" w:type="dxa"/>
            <w:tcBorders>
              <w:top w:val="nil"/>
              <w:left w:val="single" w:sz="8" w:space="0" w:color="auto"/>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4</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4</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4</w:t>
            </w:r>
          </w:p>
        </w:tc>
        <w:tc>
          <w:tcPr>
            <w:tcW w:w="1008"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4</w:t>
            </w:r>
          </w:p>
        </w:tc>
      </w:tr>
      <w:tr w:rsidR="00056E7C" w:rsidRPr="00056E7C" w:rsidTr="00056E7C">
        <w:trPr>
          <w:trHeight w:val="315"/>
        </w:trPr>
        <w:tc>
          <w:tcPr>
            <w:tcW w:w="2153" w:type="dxa"/>
            <w:tcBorders>
              <w:top w:val="nil"/>
              <w:left w:val="single" w:sz="8" w:space="0" w:color="auto"/>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rPr>
                <w:rFonts w:ascii="Arial" w:eastAsia="Times New Roman" w:hAnsi="Arial" w:cs="Arial"/>
                <w:sz w:val="20"/>
                <w:szCs w:val="20"/>
                <w:lang w:eastAsia="ro-RO"/>
              </w:rPr>
            </w:pPr>
            <w:r w:rsidRPr="00056E7C">
              <w:rPr>
                <w:rFonts w:ascii="Arial" w:eastAsia="Times New Roman" w:hAnsi="Arial" w:cs="Arial"/>
                <w:sz w:val="20"/>
                <w:szCs w:val="20"/>
                <w:lang w:val="en-US" w:eastAsia="ro-RO"/>
              </w:rPr>
              <w:t>Industrie textilă şi pielărie</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2,10%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2,50%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3,00%</w:t>
            </w:r>
          </w:p>
        </w:tc>
        <w:tc>
          <w:tcPr>
            <w:tcW w:w="1127" w:type="dxa"/>
            <w:tcBorders>
              <w:top w:val="nil"/>
              <w:left w:val="nil"/>
              <w:bottom w:val="single" w:sz="8" w:space="0" w:color="auto"/>
              <w:right w:val="nil"/>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lang w:eastAsia="ro-RO"/>
              </w:rPr>
            </w:pPr>
            <w:r w:rsidRPr="00056E7C">
              <w:rPr>
                <w:rFonts w:ascii="Arial" w:eastAsia="Times New Roman" w:hAnsi="Arial" w:cs="Arial"/>
                <w:lang w:val="en-US" w:eastAsia="ro-RO"/>
              </w:rPr>
              <w:t>5,00%</w:t>
            </w:r>
          </w:p>
        </w:tc>
        <w:tc>
          <w:tcPr>
            <w:tcW w:w="827" w:type="dxa"/>
            <w:tcBorders>
              <w:top w:val="nil"/>
              <w:left w:val="single" w:sz="8" w:space="0" w:color="auto"/>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3</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3</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3</w:t>
            </w:r>
          </w:p>
        </w:tc>
        <w:tc>
          <w:tcPr>
            <w:tcW w:w="1008"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3</w:t>
            </w:r>
          </w:p>
        </w:tc>
      </w:tr>
      <w:tr w:rsidR="00056E7C" w:rsidRPr="00056E7C" w:rsidTr="00056E7C">
        <w:trPr>
          <w:trHeight w:val="315"/>
        </w:trPr>
        <w:tc>
          <w:tcPr>
            <w:tcW w:w="2153" w:type="dxa"/>
            <w:tcBorders>
              <w:top w:val="nil"/>
              <w:left w:val="single" w:sz="8" w:space="0" w:color="auto"/>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rPr>
                <w:rFonts w:ascii="Arial" w:eastAsia="Times New Roman" w:hAnsi="Arial" w:cs="Arial"/>
                <w:sz w:val="20"/>
                <w:szCs w:val="20"/>
                <w:lang w:eastAsia="ro-RO"/>
              </w:rPr>
            </w:pPr>
            <w:r w:rsidRPr="00056E7C">
              <w:rPr>
                <w:rFonts w:ascii="Arial" w:eastAsia="Times New Roman" w:hAnsi="Arial" w:cs="Arial"/>
                <w:sz w:val="20"/>
                <w:szCs w:val="20"/>
                <w:lang w:val="en-US" w:eastAsia="ro-RO"/>
              </w:rPr>
              <w:t>Mecanică</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22,30%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20,50%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18,90%</w:t>
            </w:r>
          </w:p>
        </w:tc>
        <w:tc>
          <w:tcPr>
            <w:tcW w:w="1127" w:type="dxa"/>
            <w:tcBorders>
              <w:top w:val="nil"/>
              <w:left w:val="nil"/>
              <w:bottom w:val="single" w:sz="8" w:space="0" w:color="auto"/>
              <w:right w:val="nil"/>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lang w:eastAsia="ro-RO"/>
              </w:rPr>
            </w:pPr>
            <w:r w:rsidRPr="00056E7C">
              <w:rPr>
                <w:rFonts w:ascii="Arial" w:eastAsia="Times New Roman" w:hAnsi="Arial" w:cs="Arial"/>
                <w:lang w:val="en-US" w:eastAsia="ro-RO"/>
              </w:rPr>
              <w:t>20,00%</w:t>
            </w:r>
          </w:p>
        </w:tc>
        <w:tc>
          <w:tcPr>
            <w:tcW w:w="827" w:type="dxa"/>
            <w:tcBorders>
              <w:top w:val="nil"/>
              <w:left w:val="single" w:sz="8" w:space="0" w:color="auto"/>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21</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21</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21</w:t>
            </w:r>
          </w:p>
        </w:tc>
        <w:tc>
          <w:tcPr>
            <w:tcW w:w="1008"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21</w:t>
            </w:r>
          </w:p>
        </w:tc>
      </w:tr>
      <w:tr w:rsidR="00056E7C" w:rsidRPr="00056E7C" w:rsidTr="00056E7C">
        <w:trPr>
          <w:trHeight w:val="315"/>
        </w:trPr>
        <w:tc>
          <w:tcPr>
            <w:tcW w:w="2153" w:type="dxa"/>
            <w:tcBorders>
              <w:top w:val="nil"/>
              <w:left w:val="single" w:sz="8" w:space="0" w:color="auto"/>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rPr>
                <w:rFonts w:ascii="Arial" w:eastAsia="Times New Roman" w:hAnsi="Arial" w:cs="Arial"/>
                <w:sz w:val="20"/>
                <w:szCs w:val="20"/>
                <w:lang w:eastAsia="ro-RO"/>
              </w:rPr>
            </w:pPr>
            <w:r w:rsidRPr="00056E7C">
              <w:rPr>
                <w:rFonts w:ascii="Arial" w:eastAsia="Times New Roman" w:hAnsi="Arial" w:cs="Arial"/>
                <w:sz w:val="20"/>
                <w:szCs w:val="20"/>
                <w:lang w:val="en-US" w:eastAsia="ro-RO"/>
              </w:rPr>
              <w:t>Producţie media</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0,70%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0,40%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0,40%</w:t>
            </w:r>
          </w:p>
        </w:tc>
        <w:tc>
          <w:tcPr>
            <w:tcW w:w="1127" w:type="dxa"/>
            <w:tcBorders>
              <w:top w:val="nil"/>
              <w:left w:val="nil"/>
              <w:bottom w:val="single" w:sz="8" w:space="0" w:color="auto"/>
              <w:right w:val="nil"/>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lang w:eastAsia="ro-RO"/>
              </w:rPr>
            </w:pPr>
            <w:r w:rsidRPr="00056E7C">
              <w:rPr>
                <w:rFonts w:ascii="Arial" w:eastAsia="Times New Roman" w:hAnsi="Arial" w:cs="Arial"/>
                <w:lang w:val="en-US" w:eastAsia="ro-RO"/>
              </w:rPr>
              <w:t>1,00%</w:t>
            </w:r>
          </w:p>
        </w:tc>
        <w:tc>
          <w:tcPr>
            <w:tcW w:w="827" w:type="dxa"/>
            <w:tcBorders>
              <w:top w:val="nil"/>
              <w:left w:val="single" w:sz="8" w:space="0" w:color="auto"/>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1</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1</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1</w:t>
            </w:r>
          </w:p>
        </w:tc>
        <w:tc>
          <w:tcPr>
            <w:tcW w:w="1008"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1</w:t>
            </w:r>
          </w:p>
        </w:tc>
      </w:tr>
      <w:tr w:rsidR="00056E7C" w:rsidRPr="00056E7C" w:rsidTr="00056E7C">
        <w:trPr>
          <w:trHeight w:val="315"/>
        </w:trPr>
        <w:tc>
          <w:tcPr>
            <w:tcW w:w="2153" w:type="dxa"/>
            <w:tcBorders>
              <w:top w:val="nil"/>
              <w:left w:val="single" w:sz="8" w:space="0" w:color="auto"/>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rPr>
                <w:rFonts w:ascii="Arial" w:eastAsia="Times New Roman" w:hAnsi="Arial" w:cs="Arial"/>
                <w:sz w:val="20"/>
                <w:szCs w:val="20"/>
                <w:lang w:eastAsia="ro-RO"/>
              </w:rPr>
            </w:pPr>
            <w:r w:rsidRPr="00056E7C">
              <w:rPr>
                <w:rFonts w:ascii="Arial" w:eastAsia="Times New Roman" w:hAnsi="Arial" w:cs="Arial"/>
                <w:sz w:val="20"/>
                <w:szCs w:val="20"/>
                <w:lang w:val="en-US" w:eastAsia="ro-RO"/>
              </w:rPr>
              <w:t>Protecţia mediului</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3,20%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4,00%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3,50%</w:t>
            </w:r>
          </w:p>
        </w:tc>
        <w:tc>
          <w:tcPr>
            <w:tcW w:w="1127" w:type="dxa"/>
            <w:tcBorders>
              <w:top w:val="nil"/>
              <w:left w:val="nil"/>
              <w:bottom w:val="single" w:sz="8" w:space="0" w:color="auto"/>
              <w:right w:val="nil"/>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lang w:eastAsia="ro-RO"/>
              </w:rPr>
            </w:pPr>
            <w:r w:rsidRPr="00056E7C">
              <w:rPr>
                <w:rFonts w:ascii="Arial" w:eastAsia="Times New Roman" w:hAnsi="Arial" w:cs="Arial"/>
                <w:lang w:val="en-US" w:eastAsia="ro-RO"/>
              </w:rPr>
              <w:t>3,00%</w:t>
            </w:r>
          </w:p>
        </w:tc>
        <w:tc>
          <w:tcPr>
            <w:tcW w:w="827" w:type="dxa"/>
            <w:tcBorders>
              <w:top w:val="nil"/>
              <w:left w:val="single" w:sz="8" w:space="0" w:color="auto"/>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3</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3</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3</w:t>
            </w:r>
          </w:p>
        </w:tc>
        <w:tc>
          <w:tcPr>
            <w:tcW w:w="1008"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3</w:t>
            </w:r>
          </w:p>
        </w:tc>
      </w:tr>
      <w:tr w:rsidR="00056E7C" w:rsidRPr="00056E7C" w:rsidTr="00056E7C">
        <w:trPr>
          <w:trHeight w:val="315"/>
        </w:trPr>
        <w:tc>
          <w:tcPr>
            <w:tcW w:w="2153" w:type="dxa"/>
            <w:tcBorders>
              <w:top w:val="nil"/>
              <w:left w:val="single" w:sz="8" w:space="0" w:color="auto"/>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rPr>
                <w:rFonts w:ascii="Arial" w:eastAsia="Times New Roman" w:hAnsi="Arial" w:cs="Arial"/>
                <w:sz w:val="20"/>
                <w:szCs w:val="20"/>
                <w:lang w:eastAsia="ro-RO"/>
              </w:rPr>
            </w:pPr>
            <w:r w:rsidRPr="00056E7C">
              <w:rPr>
                <w:rFonts w:ascii="Arial" w:eastAsia="Times New Roman" w:hAnsi="Arial" w:cs="Arial"/>
                <w:sz w:val="20"/>
                <w:szCs w:val="20"/>
                <w:lang w:val="en-US" w:eastAsia="ro-RO"/>
              </w:rPr>
              <w:t>Silvicultură</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1,70%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1,00%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2,00%</w:t>
            </w:r>
          </w:p>
        </w:tc>
        <w:tc>
          <w:tcPr>
            <w:tcW w:w="1127" w:type="dxa"/>
            <w:tcBorders>
              <w:top w:val="nil"/>
              <w:left w:val="nil"/>
              <w:bottom w:val="single" w:sz="8" w:space="0" w:color="auto"/>
              <w:right w:val="nil"/>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lang w:eastAsia="ro-RO"/>
              </w:rPr>
            </w:pPr>
            <w:r w:rsidRPr="00056E7C">
              <w:rPr>
                <w:rFonts w:ascii="Arial" w:eastAsia="Times New Roman" w:hAnsi="Arial" w:cs="Arial"/>
                <w:lang w:val="en-US" w:eastAsia="ro-RO"/>
              </w:rPr>
              <w:t>3,00%</w:t>
            </w:r>
          </w:p>
        </w:tc>
        <w:tc>
          <w:tcPr>
            <w:tcW w:w="827" w:type="dxa"/>
            <w:tcBorders>
              <w:top w:val="nil"/>
              <w:left w:val="single" w:sz="8" w:space="0" w:color="auto"/>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w:t>
            </w:r>
          </w:p>
        </w:tc>
        <w:tc>
          <w:tcPr>
            <w:tcW w:w="1008"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2</w:t>
            </w:r>
          </w:p>
        </w:tc>
      </w:tr>
      <w:tr w:rsidR="00056E7C" w:rsidRPr="00056E7C" w:rsidTr="00056E7C">
        <w:trPr>
          <w:trHeight w:val="315"/>
        </w:trPr>
        <w:tc>
          <w:tcPr>
            <w:tcW w:w="2153" w:type="dxa"/>
            <w:tcBorders>
              <w:top w:val="nil"/>
              <w:left w:val="single" w:sz="8" w:space="0" w:color="auto"/>
              <w:bottom w:val="nil"/>
              <w:right w:val="single" w:sz="8" w:space="0" w:color="auto"/>
            </w:tcBorders>
            <w:shd w:val="clear" w:color="auto" w:fill="auto"/>
            <w:noWrap/>
            <w:vAlign w:val="bottom"/>
            <w:hideMark/>
          </w:tcPr>
          <w:p w:rsidR="007D5CB1" w:rsidRPr="00056E7C" w:rsidRDefault="007D5CB1" w:rsidP="000C6A67">
            <w:pPr>
              <w:spacing w:after="0" w:line="240" w:lineRule="auto"/>
              <w:rPr>
                <w:rFonts w:ascii="Arial" w:eastAsia="Times New Roman" w:hAnsi="Arial" w:cs="Arial"/>
                <w:sz w:val="20"/>
                <w:szCs w:val="20"/>
                <w:lang w:eastAsia="ro-RO"/>
              </w:rPr>
            </w:pPr>
            <w:r w:rsidRPr="00056E7C">
              <w:rPr>
                <w:rFonts w:ascii="Arial" w:eastAsia="Times New Roman" w:hAnsi="Arial" w:cs="Arial"/>
                <w:sz w:val="20"/>
                <w:szCs w:val="20"/>
                <w:lang w:val="en-US" w:eastAsia="ro-RO"/>
              </w:rPr>
              <w:t>Turism şi alimentaţie</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14,80%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15,90%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sz w:val="20"/>
                <w:szCs w:val="20"/>
                <w:lang w:eastAsia="ro-RO"/>
              </w:rPr>
            </w:pPr>
            <w:r w:rsidRPr="00056E7C">
              <w:rPr>
                <w:rFonts w:ascii="Arial" w:eastAsia="Times New Roman" w:hAnsi="Arial" w:cs="Arial"/>
                <w:sz w:val="20"/>
                <w:szCs w:val="20"/>
                <w:lang w:val="en-US" w:eastAsia="ro-RO"/>
              </w:rPr>
              <w:t>15,80%</w:t>
            </w:r>
          </w:p>
        </w:tc>
        <w:tc>
          <w:tcPr>
            <w:tcW w:w="1127" w:type="dxa"/>
            <w:tcBorders>
              <w:top w:val="nil"/>
              <w:left w:val="nil"/>
              <w:bottom w:val="nil"/>
              <w:right w:val="nil"/>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lang w:eastAsia="ro-RO"/>
              </w:rPr>
            </w:pPr>
            <w:r w:rsidRPr="00056E7C">
              <w:rPr>
                <w:rFonts w:ascii="Arial" w:eastAsia="Times New Roman" w:hAnsi="Arial" w:cs="Arial"/>
                <w:lang w:val="en-US" w:eastAsia="ro-RO"/>
              </w:rPr>
              <w:t>7,00%</w:t>
            </w:r>
          </w:p>
        </w:tc>
        <w:tc>
          <w:tcPr>
            <w:tcW w:w="827" w:type="dxa"/>
            <w:tcBorders>
              <w:top w:val="nil"/>
              <w:left w:val="single" w:sz="8" w:space="0" w:color="auto"/>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10</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10</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10</w:t>
            </w:r>
          </w:p>
        </w:tc>
        <w:tc>
          <w:tcPr>
            <w:tcW w:w="1008"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10</w:t>
            </w:r>
          </w:p>
        </w:tc>
      </w:tr>
      <w:tr w:rsidR="007D5CB1" w:rsidRPr="00056E7C" w:rsidTr="00056E7C">
        <w:trPr>
          <w:trHeight w:val="315"/>
        </w:trPr>
        <w:tc>
          <w:tcPr>
            <w:tcW w:w="2153"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rPr>
                <w:rFonts w:ascii="Arial" w:eastAsia="Times New Roman" w:hAnsi="Arial" w:cs="Arial"/>
                <w:b/>
                <w:bCs/>
                <w:lang w:eastAsia="ro-RO"/>
              </w:rPr>
            </w:pPr>
            <w:r w:rsidRPr="00056E7C">
              <w:rPr>
                <w:rFonts w:ascii="Arial" w:eastAsia="Times New Roman" w:hAnsi="Arial" w:cs="Arial"/>
                <w:b/>
                <w:bCs/>
                <w:lang w:val="en-US" w:eastAsia="ro-RO"/>
              </w:rPr>
              <w:t>Total Regiunea Vest</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b/>
                <w:bCs/>
                <w:sz w:val="20"/>
                <w:szCs w:val="20"/>
                <w:lang w:eastAsia="ro-RO"/>
              </w:rPr>
            </w:pPr>
            <w:r w:rsidRPr="00056E7C">
              <w:rPr>
                <w:rFonts w:ascii="Arial" w:eastAsia="Times New Roman" w:hAnsi="Arial" w:cs="Arial"/>
                <w:b/>
                <w:bCs/>
                <w:sz w:val="20"/>
                <w:szCs w:val="20"/>
                <w:lang w:val="en-US" w:eastAsia="ro-RO"/>
              </w:rPr>
              <w:t>100,00%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b/>
                <w:bCs/>
                <w:sz w:val="20"/>
                <w:szCs w:val="20"/>
                <w:lang w:eastAsia="ro-RO"/>
              </w:rPr>
            </w:pPr>
            <w:r w:rsidRPr="00056E7C">
              <w:rPr>
                <w:rFonts w:ascii="Arial" w:eastAsia="Times New Roman" w:hAnsi="Arial" w:cs="Arial"/>
                <w:b/>
                <w:bCs/>
                <w:sz w:val="20"/>
                <w:szCs w:val="20"/>
                <w:lang w:val="en-US" w:eastAsia="ro-RO"/>
              </w:rPr>
              <w:t>100,00%</w:t>
            </w:r>
          </w:p>
        </w:tc>
        <w:tc>
          <w:tcPr>
            <w:tcW w:w="991" w:type="dxa"/>
            <w:tcBorders>
              <w:top w:val="nil"/>
              <w:left w:val="nil"/>
              <w:bottom w:val="single" w:sz="8" w:space="0" w:color="auto"/>
              <w:right w:val="single" w:sz="8" w:space="0" w:color="auto"/>
            </w:tcBorders>
            <w:shd w:val="clear" w:color="auto" w:fill="auto"/>
            <w:noWrap/>
            <w:vAlign w:val="bottom"/>
            <w:hideMark/>
          </w:tcPr>
          <w:p w:rsidR="007D5CB1" w:rsidRPr="00056E7C" w:rsidRDefault="007D5CB1" w:rsidP="000C6A67">
            <w:pPr>
              <w:spacing w:after="0" w:line="240" w:lineRule="auto"/>
              <w:jc w:val="right"/>
              <w:rPr>
                <w:rFonts w:ascii="Arial" w:eastAsia="Times New Roman" w:hAnsi="Arial" w:cs="Arial"/>
                <w:b/>
                <w:bCs/>
                <w:sz w:val="20"/>
                <w:szCs w:val="20"/>
                <w:lang w:eastAsia="ro-RO"/>
              </w:rPr>
            </w:pPr>
            <w:r w:rsidRPr="00056E7C">
              <w:rPr>
                <w:rFonts w:ascii="Arial" w:eastAsia="Times New Roman" w:hAnsi="Arial" w:cs="Arial"/>
                <w:b/>
                <w:bCs/>
                <w:sz w:val="20"/>
                <w:szCs w:val="20"/>
                <w:lang w:val="en-US" w:eastAsia="ro-RO"/>
              </w:rPr>
              <w:t>100,00%</w:t>
            </w:r>
          </w:p>
        </w:tc>
        <w:tc>
          <w:tcPr>
            <w:tcW w:w="1127" w:type="dxa"/>
            <w:tcBorders>
              <w:top w:val="single" w:sz="8" w:space="0" w:color="auto"/>
              <w:left w:val="nil"/>
              <w:bottom w:val="single" w:sz="8" w:space="0" w:color="auto"/>
              <w:right w:val="nil"/>
            </w:tcBorders>
            <w:shd w:val="clear" w:color="auto" w:fill="auto"/>
            <w:noWrap/>
            <w:vAlign w:val="bottom"/>
            <w:hideMark/>
          </w:tcPr>
          <w:p w:rsidR="007D5CB1" w:rsidRPr="00056E7C" w:rsidRDefault="007D5CB1" w:rsidP="000C6A67">
            <w:pPr>
              <w:spacing w:after="0" w:line="240" w:lineRule="auto"/>
              <w:jc w:val="center"/>
              <w:rPr>
                <w:rFonts w:ascii="Arial" w:eastAsia="Times New Roman" w:hAnsi="Arial" w:cs="Arial"/>
                <w:b/>
                <w:bCs/>
                <w:sz w:val="20"/>
                <w:szCs w:val="20"/>
                <w:lang w:eastAsia="ro-RO"/>
              </w:rPr>
            </w:pPr>
            <w:r w:rsidRPr="00056E7C">
              <w:rPr>
                <w:rFonts w:ascii="Arial" w:eastAsia="Times New Roman" w:hAnsi="Arial" w:cs="Arial"/>
                <w:b/>
                <w:bCs/>
                <w:sz w:val="20"/>
                <w:szCs w:val="20"/>
                <w:lang w:val="en-US" w:eastAsia="ro-RO"/>
              </w:rPr>
              <w:t>100,00%</w:t>
            </w:r>
          </w:p>
        </w:tc>
        <w:tc>
          <w:tcPr>
            <w:tcW w:w="827" w:type="dxa"/>
            <w:tcBorders>
              <w:top w:val="nil"/>
              <w:left w:val="single" w:sz="8" w:space="0" w:color="auto"/>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eastAsia="ro-RO"/>
              </w:rPr>
              <w:t>100</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eastAsia="ro-RO"/>
              </w:rPr>
              <w:t>100</w:t>
            </w:r>
          </w:p>
        </w:tc>
        <w:tc>
          <w:tcPr>
            <w:tcW w:w="697"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eastAsia="ro-RO"/>
              </w:rPr>
              <w:t>100</w:t>
            </w:r>
          </w:p>
        </w:tc>
        <w:tc>
          <w:tcPr>
            <w:tcW w:w="1008" w:type="dxa"/>
            <w:tcBorders>
              <w:top w:val="nil"/>
              <w:left w:val="nil"/>
              <w:bottom w:val="single" w:sz="8" w:space="0" w:color="auto"/>
              <w:right w:val="single" w:sz="8" w:space="0" w:color="auto"/>
            </w:tcBorders>
            <w:shd w:val="clear" w:color="auto" w:fill="auto"/>
            <w:hideMark/>
          </w:tcPr>
          <w:p w:rsidR="007D5CB1" w:rsidRPr="00056E7C" w:rsidRDefault="007D5CB1" w:rsidP="000C6A67">
            <w:pPr>
              <w:spacing w:after="0" w:line="240" w:lineRule="auto"/>
              <w:jc w:val="center"/>
              <w:rPr>
                <w:rFonts w:ascii="Arial" w:eastAsia="Times New Roman" w:hAnsi="Arial" w:cs="Arial"/>
                <w:b/>
                <w:bCs/>
                <w:lang w:eastAsia="ro-RO"/>
              </w:rPr>
            </w:pPr>
            <w:r w:rsidRPr="00056E7C">
              <w:rPr>
                <w:rFonts w:ascii="Arial" w:eastAsia="Times New Roman" w:hAnsi="Arial" w:cs="Arial"/>
                <w:b/>
                <w:bCs/>
                <w:lang w:val="en-US" w:eastAsia="ro-RO"/>
              </w:rPr>
              <w:t>100</w:t>
            </w:r>
          </w:p>
        </w:tc>
      </w:tr>
    </w:tbl>
    <w:p w:rsidR="00866A1A" w:rsidRDefault="00866A1A" w:rsidP="00EE0640">
      <w:pPr>
        <w:spacing w:after="0" w:line="240" w:lineRule="auto"/>
        <w:jc w:val="center"/>
        <w:rPr>
          <w:rFonts w:ascii="Arial" w:hAnsi="Arial" w:cs="Arial"/>
          <w:lang w:eastAsia="ro-RO"/>
        </w:rPr>
      </w:pPr>
      <w:r>
        <w:rPr>
          <w:rFonts w:ascii="Arial" w:hAnsi="Arial" w:cs="Arial"/>
          <w:lang w:eastAsia="ro-RO"/>
        </w:rPr>
        <w:t>Sursa: pe baza recomandărilor CR Vest</w:t>
      </w:r>
    </w:p>
    <w:p w:rsidR="00866A1A" w:rsidRDefault="00866A1A" w:rsidP="000C6A67">
      <w:pPr>
        <w:spacing w:after="0" w:line="240" w:lineRule="auto"/>
        <w:rPr>
          <w:rFonts w:ascii="Arial" w:hAnsi="Arial" w:cs="Arial"/>
          <w:lang w:eastAsia="ro-RO"/>
        </w:rPr>
      </w:pPr>
    </w:p>
    <w:p w:rsidR="00866A1A" w:rsidRPr="0048184B" w:rsidRDefault="00866A1A" w:rsidP="00866A1A">
      <w:pPr>
        <w:spacing w:after="0" w:line="240" w:lineRule="auto"/>
        <w:jc w:val="both"/>
        <w:rPr>
          <w:rFonts w:ascii="Arial" w:hAnsi="Arial" w:cs="Arial"/>
          <w:sz w:val="24"/>
          <w:szCs w:val="24"/>
          <w:lang w:eastAsia="ro-RO"/>
        </w:rPr>
      </w:pPr>
      <w:r w:rsidRPr="009E176F">
        <w:rPr>
          <w:rFonts w:ascii="Arial" w:hAnsi="Arial" w:cs="Arial"/>
          <w:b/>
          <w:sz w:val="24"/>
          <w:szCs w:val="24"/>
          <w:lang w:eastAsia="ro-RO"/>
        </w:rPr>
        <w:t>Domeniile Electromecanică şi Electronică şi automatizări</w:t>
      </w:r>
      <w:r w:rsidRPr="0048184B">
        <w:rPr>
          <w:rFonts w:ascii="Arial" w:hAnsi="Arial" w:cs="Arial"/>
          <w:sz w:val="24"/>
          <w:szCs w:val="24"/>
          <w:lang w:eastAsia="ro-RO"/>
        </w:rPr>
        <w:t xml:space="preserve"> figurează cu ţinte regionale de 6%, şi sunt domenii relativ relevante pentru economia regiunii, dominată de indutsria prelucrătoare şi atomotiv, şi propunem valorile de 6% pentru Electromecanică respectiv 8% pentru Electronică şi automatizări. </w:t>
      </w:r>
    </w:p>
    <w:p w:rsidR="00866A1A" w:rsidRPr="0048184B" w:rsidRDefault="00866A1A" w:rsidP="00866A1A">
      <w:pPr>
        <w:spacing w:after="0" w:line="240" w:lineRule="auto"/>
        <w:jc w:val="both"/>
        <w:rPr>
          <w:rFonts w:ascii="Arial" w:hAnsi="Arial" w:cs="Arial"/>
          <w:sz w:val="24"/>
          <w:szCs w:val="24"/>
          <w:lang w:eastAsia="ro-RO"/>
        </w:rPr>
      </w:pPr>
      <w:r w:rsidRPr="009E176F">
        <w:rPr>
          <w:rFonts w:ascii="Arial" w:hAnsi="Arial" w:cs="Arial"/>
          <w:b/>
          <w:sz w:val="24"/>
          <w:szCs w:val="24"/>
          <w:lang w:eastAsia="ro-RO"/>
        </w:rPr>
        <w:t>Domeniul Construcţii, instalaţii şi lucrări publice</w:t>
      </w:r>
      <w:r w:rsidRPr="0048184B">
        <w:rPr>
          <w:rFonts w:ascii="Arial" w:hAnsi="Arial" w:cs="Arial"/>
          <w:sz w:val="24"/>
          <w:szCs w:val="24"/>
          <w:lang w:eastAsia="ro-RO"/>
        </w:rPr>
        <w:t>, a înregistrat o scădere a investiţiilor în utlimii ani, şi nu are ni</w:t>
      </w:r>
      <w:r>
        <w:rPr>
          <w:rFonts w:ascii="Arial" w:hAnsi="Arial" w:cs="Arial"/>
          <w:sz w:val="24"/>
          <w:szCs w:val="24"/>
          <w:lang w:eastAsia="ro-RO"/>
        </w:rPr>
        <w:t>ci atractivitate pentru elevi; având în vedere investițiile prognozate pentru acest sector se recomandă o pondere de 8%, cu intervenții de tip informare și consiliere privind șansele de angajare.</w:t>
      </w:r>
      <w:r w:rsidRPr="0048184B">
        <w:rPr>
          <w:rFonts w:ascii="Arial" w:hAnsi="Arial" w:cs="Arial"/>
          <w:sz w:val="24"/>
          <w:szCs w:val="24"/>
          <w:lang w:eastAsia="ro-RO"/>
        </w:rPr>
        <w:t xml:space="preserve"> </w:t>
      </w:r>
    </w:p>
    <w:p w:rsidR="00866A1A" w:rsidRPr="0048184B" w:rsidRDefault="00866A1A" w:rsidP="00866A1A">
      <w:pPr>
        <w:spacing w:after="0" w:line="240" w:lineRule="auto"/>
        <w:jc w:val="both"/>
        <w:rPr>
          <w:rFonts w:ascii="Arial" w:hAnsi="Arial" w:cs="Arial"/>
          <w:sz w:val="24"/>
          <w:szCs w:val="24"/>
          <w:lang w:eastAsia="ro-RO"/>
        </w:rPr>
      </w:pPr>
      <w:r w:rsidRPr="009E176F">
        <w:rPr>
          <w:rFonts w:ascii="Arial" w:hAnsi="Arial" w:cs="Arial"/>
          <w:b/>
          <w:sz w:val="24"/>
          <w:szCs w:val="24"/>
          <w:lang w:eastAsia="ro-RO"/>
        </w:rPr>
        <w:t>Domeniile Fabricarea produselor din lemn şi Industrie textilă şi pielărie</w:t>
      </w:r>
      <w:r w:rsidRPr="0048184B">
        <w:rPr>
          <w:rFonts w:ascii="Arial" w:hAnsi="Arial" w:cs="Arial"/>
          <w:sz w:val="24"/>
          <w:szCs w:val="24"/>
          <w:lang w:eastAsia="ro-RO"/>
        </w:rPr>
        <w:t xml:space="preserve"> figurează în cu o ţintă de 5% fiecare, deoarece ponderea acestor ramuri economice este în scădere în favoarea celorlalte, propunem reflectarea acestor schimbări în valoarea de 3% a ponderii pentru aceste calificări. </w:t>
      </w:r>
    </w:p>
    <w:p w:rsidR="00866A1A" w:rsidRDefault="00866A1A" w:rsidP="00866A1A">
      <w:pPr>
        <w:spacing w:after="0" w:line="240" w:lineRule="auto"/>
        <w:jc w:val="both"/>
        <w:rPr>
          <w:rFonts w:ascii="Arial" w:hAnsi="Arial" w:cs="Arial"/>
          <w:b/>
          <w:sz w:val="24"/>
          <w:szCs w:val="24"/>
          <w:lang w:eastAsia="ro-RO"/>
        </w:rPr>
      </w:pPr>
      <w:r w:rsidRPr="009E176F">
        <w:rPr>
          <w:rFonts w:ascii="Arial" w:hAnsi="Arial" w:cs="Arial"/>
          <w:b/>
          <w:sz w:val="24"/>
          <w:szCs w:val="24"/>
          <w:lang w:eastAsia="ro-RO"/>
        </w:rPr>
        <w:t xml:space="preserve">Agricultură, Chimie industrială, Comerţ, Estetică şi igienă corpului omenesc, Industrie alimentară, Protecţia mediului, Producţie media, Silvicultură. </w:t>
      </w:r>
    </w:p>
    <w:p w:rsidR="00866A1A" w:rsidRPr="009E176F" w:rsidRDefault="00866A1A" w:rsidP="00866A1A">
      <w:pPr>
        <w:spacing w:after="0" w:line="240" w:lineRule="auto"/>
        <w:jc w:val="both"/>
        <w:rPr>
          <w:rFonts w:ascii="Arial" w:hAnsi="Arial" w:cs="Arial"/>
          <w:b/>
          <w:sz w:val="24"/>
          <w:szCs w:val="24"/>
          <w:lang w:eastAsia="ro-RO"/>
        </w:rPr>
      </w:pPr>
      <w:r w:rsidRPr="0048184B">
        <w:rPr>
          <w:rFonts w:ascii="Arial" w:hAnsi="Arial" w:cs="Arial"/>
          <w:sz w:val="24"/>
          <w:szCs w:val="24"/>
          <w:lang w:eastAsia="ro-RO"/>
        </w:rPr>
        <w:t xml:space="preserve">calificări sunt curpinse în oferta regională cu valori de 1-2-3%, valori la nivelul de minim al ofertei (o oferta de 2% la nivel regional este echivalent cu 5 clase, însemnând câte 1 clasa pentru fiecare judeţ). Cu scopul de a păstra aceste calificări pentru asigurarea diversităţii şi şansei la opţiuni a elevilor, considerăm că fiecare judeţ trebuie să aibă posibilitatea de a propune câte 1 clasa / domeniu; asta înseamnă o pondere regională de minim 2%. </w:t>
      </w:r>
    </w:p>
    <w:p w:rsidR="00866A1A" w:rsidRPr="0048184B" w:rsidRDefault="00866A1A" w:rsidP="00866A1A">
      <w:pPr>
        <w:spacing w:after="0" w:line="240" w:lineRule="auto"/>
        <w:jc w:val="both"/>
        <w:rPr>
          <w:rFonts w:ascii="Arial" w:hAnsi="Arial" w:cs="Arial"/>
          <w:sz w:val="24"/>
          <w:szCs w:val="24"/>
          <w:lang w:eastAsia="ro-RO"/>
        </w:rPr>
      </w:pPr>
      <w:r w:rsidRPr="0048184B">
        <w:rPr>
          <w:rFonts w:ascii="Arial" w:hAnsi="Arial" w:cs="Arial"/>
          <w:sz w:val="24"/>
          <w:szCs w:val="24"/>
          <w:lang w:eastAsia="ro-RO"/>
        </w:rPr>
        <w:t xml:space="preserve">Astfel noile ponderi recomandate sunt: </w:t>
      </w:r>
      <w:r w:rsidRPr="009E176F">
        <w:rPr>
          <w:rFonts w:ascii="Arial" w:hAnsi="Arial" w:cs="Arial"/>
          <w:b/>
          <w:sz w:val="24"/>
          <w:szCs w:val="24"/>
          <w:lang w:eastAsia="ro-RO"/>
        </w:rPr>
        <w:t>Agricultură 2%,  Chi</w:t>
      </w:r>
      <w:r>
        <w:rPr>
          <w:rFonts w:ascii="Arial" w:hAnsi="Arial" w:cs="Arial"/>
          <w:b/>
          <w:sz w:val="24"/>
          <w:szCs w:val="24"/>
          <w:lang w:eastAsia="ro-RO"/>
        </w:rPr>
        <w:t>mie industrială 1%, Comerţ 5</w:t>
      </w:r>
      <w:r w:rsidRPr="009E176F">
        <w:rPr>
          <w:rFonts w:ascii="Arial" w:hAnsi="Arial" w:cs="Arial"/>
          <w:b/>
          <w:sz w:val="24"/>
          <w:szCs w:val="24"/>
          <w:lang w:eastAsia="ro-RO"/>
        </w:rPr>
        <w:t>%, Estetică şi igienă corpului omenesc 2%, Ind</w:t>
      </w:r>
      <w:r>
        <w:rPr>
          <w:rFonts w:ascii="Arial" w:hAnsi="Arial" w:cs="Arial"/>
          <w:b/>
          <w:sz w:val="24"/>
          <w:szCs w:val="24"/>
          <w:lang w:eastAsia="ro-RO"/>
        </w:rPr>
        <w:t>ustrie alimentară 4</w:t>
      </w:r>
      <w:r w:rsidRPr="009E176F">
        <w:rPr>
          <w:rFonts w:ascii="Arial" w:hAnsi="Arial" w:cs="Arial"/>
          <w:b/>
          <w:sz w:val="24"/>
          <w:szCs w:val="24"/>
          <w:lang w:eastAsia="ro-RO"/>
        </w:rPr>
        <w:t>%, Protecţia mediului 3%, Produc</w:t>
      </w:r>
      <w:r>
        <w:rPr>
          <w:rFonts w:ascii="Arial" w:hAnsi="Arial" w:cs="Arial"/>
          <w:b/>
          <w:sz w:val="24"/>
          <w:szCs w:val="24"/>
          <w:lang w:eastAsia="ro-RO"/>
        </w:rPr>
        <w:t>ţie media 1%, Silvicultură 2</w:t>
      </w:r>
      <w:r w:rsidRPr="009E176F">
        <w:rPr>
          <w:rFonts w:ascii="Arial" w:hAnsi="Arial" w:cs="Arial"/>
          <w:b/>
          <w:sz w:val="24"/>
          <w:szCs w:val="24"/>
          <w:lang w:eastAsia="ro-RO"/>
        </w:rPr>
        <w:t>%. Domeniul Producţie media apare cu pondere sub cea de minim 2%, şi anume este de 1%, având în vedere faptul că doar în judeţul Timiş există în acest moment condiţiile pentru formare în acest domeniu.</w:t>
      </w:r>
    </w:p>
    <w:p w:rsidR="00597FB2" w:rsidRDefault="00597FB2" w:rsidP="000C6A67">
      <w:pPr>
        <w:spacing w:after="0" w:line="240" w:lineRule="auto"/>
        <w:rPr>
          <w:rFonts w:ascii="Arial" w:hAnsi="Arial" w:cs="Arial"/>
          <w:lang w:eastAsia="ro-RO"/>
        </w:rPr>
      </w:pPr>
      <w:r>
        <w:rPr>
          <w:rFonts w:ascii="Arial" w:hAnsi="Arial" w:cs="Arial"/>
          <w:lang w:eastAsia="ro-RO"/>
        </w:rPr>
        <w:br w:type="page"/>
      </w:r>
    </w:p>
    <w:p w:rsidR="00406DCE" w:rsidRPr="00DD5F85" w:rsidRDefault="00597FB2" w:rsidP="000C6A67">
      <w:pPr>
        <w:pStyle w:val="Heading1"/>
        <w:spacing w:before="0" w:line="240" w:lineRule="auto"/>
        <w:jc w:val="center"/>
        <w:rPr>
          <w:rFonts w:ascii="Arial" w:hAnsi="Arial" w:cs="Arial"/>
          <w:color w:val="auto"/>
          <w:lang w:eastAsia="ro-RO"/>
        </w:rPr>
      </w:pPr>
      <w:bookmarkStart w:id="120" w:name="_Toc488066089"/>
      <w:r>
        <w:rPr>
          <w:rFonts w:ascii="Arial" w:hAnsi="Arial" w:cs="Arial"/>
          <w:color w:val="auto"/>
          <w:lang w:eastAsia="ro-RO"/>
        </w:rPr>
        <w:lastRenderedPageBreak/>
        <w:t>7</w:t>
      </w:r>
      <w:r w:rsidR="00406DCE" w:rsidRPr="00DD5F85">
        <w:rPr>
          <w:rFonts w:ascii="Arial" w:hAnsi="Arial" w:cs="Arial"/>
          <w:color w:val="auto"/>
          <w:lang w:eastAsia="ro-RO"/>
        </w:rPr>
        <w:t>. Monitorizarea implementării PRAI</w:t>
      </w:r>
      <w:bookmarkEnd w:id="120"/>
    </w:p>
    <w:p w:rsidR="00DD5F85" w:rsidRPr="001937AF" w:rsidRDefault="00DD5F85" w:rsidP="000C6A67">
      <w:pPr>
        <w:spacing w:after="0" w:line="240" w:lineRule="auto"/>
        <w:jc w:val="both"/>
        <w:rPr>
          <w:rFonts w:ascii="Arial" w:hAnsi="Arial" w:cs="Arial"/>
          <w:sz w:val="28"/>
          <w:szCs w:val="28"/>
          <w:lang w:eastAsia="ro-RO"/>
        </w:rPr>
      </w:pPr>
    </w:p>
    <w:p w:rsidR="00DD5F85" w:rsidRPr="00896493" w:rsidRDefault="00FE3CCA" w:rsidP="000C6A67">
      <w:pPr>
        <w:pStyle w:val="Heading2"/>
        <w:spacing w:before="0" w:line="240" w:lineRule="auto"/>
        <w:rPr>
          <w:rFonts w:ascii="Arial" w:hAnsi="Arial" w:cs="Arial"/>
          <w:b w:val="0"/>
          <w:i/>
          <w:color w:val="auto"/>
          <w:sz w:val="24"/>
          <w:szCs w:val="24"/>
          <w:lang w:eastAsia="ro-RO"/>
        </w:rPr>
      </w:pPr>
      <w:bookmarkStart w:id="121" w:name="_Toc488066090"/>
      <w:r w:rsidRPr="00896493">
        <w:rPr>
          <w:rFonts w:ascii="Arial" w:hAnsi="Arial" w:cs="Arial"/>
          <w:b w:val="0"/>
          <w:i/>
          <w:color w:val="auto"/>
          <w:sz w:val="24"/>
          <w:szCs w:val="24"/>
          <w:lang w:eastAsia="ro-RO"/>
        </w:rPr>
        <w:t>7</w:t>
      </w:r>
      <w:r w:rsidR="00406DCE" w:rsidRPr="00896493">
        <w:rPr>
          <w:rFonts w:ascii="Arial" w:hAnsi="Arial" w:cs="Arial"/>
          <w:b w:val="0"/>
          <w:i/>
          <w:color w:val="auto"/>
          <w:sz w:val="24"/>
          <w:szCs w:val="24"/>
          <w:lang w:eastAsia="ro-RO"/>
        </w:rPr>
        <w:t>.1</w:t>
      </w:r>
      <w:r w:rsidR="00406DCE" w:rsidRPr="00896493">
        <w:rPr>
          <w:rFonts w:ascii="Arial" w:hAnsi="Arial" w:cs="Arial"/>
          <w:b w:val="0"/>
          <w:i/>
          <w:color w:val="C00000"/>
          <w:sz w:val="24"/>
          <w:szCs w:val="24"/>
          <w:lang w:eastAsia="ro-RO"/>
        </w:rPr>
        <w:t xml:space="preserve">. </w:t>
      </w:r>
      <w:r w:rsidR="00406DCE" w:rsidRPr="00896493">
        <w:rPr>
          <w:rFonts w:ascii="Arial" w:hAnsi="Arial" w:cs="Arial"/>
          <w:b w:val="0"/>
          <w:i/>
          <w:color w:val="auto"/>
          <w:sz w:val="24"/>
          <w:szCs w:val="24"/>
          <w:lang w:eastAsia="ro-RO"/>
        </w:rPr>
        <w:t>Procesul de monitorizare</w:t>
      </w:r>
      <w:bookmarkEnd w:id="121"/>
    </w:p>
    <w:p w:rsidR="001937AF" w:rsidRPr="00CE2EA6" w:rsidRDefault="00CE2EA6" w:rsidP="000C6A67">
      <w:pPr>
        <w:spacing w:after="0" w:line="240" w:lineRule="auto"/>
        <w:jc w:val="both"/>
        <w:rPr>
          <w:rFonts w:ascii="Arial" w:hAnsi="Arial" w:cs="Arial"/>
          <w:sz w:val="24"/>
          <w:szCs w:val="24"/>
          <w:lang w:eastAsia="ro-RO"/>
        </w:rPr>
      </w:pPr>
      <w:r w:rsidRPr="00CE2EA6">
        <w:rPr>
          <w:rFonts w:ascii="Arial" w:hAnsi="Arial" w:cs="Arial"/>
          <w:sz w:val="24"/>
          <w:szCs w:val="24"/>
          <w:lang w:eastAsia="ro-RO"/>
        </w:rPr>
        <w:t>Pocesul de monitorizare este realizat de către membrii Consorțiului Regional, pe baza planului de acțiuni aprobat.</w:t>
      </w:r>
    </w:p>
    <w:p w:rsidR="00CE2EA6" w:rsidRPr="00CE2EA6" w:rsidRDefault="00CE2EA6" w:rsidP="000C6A67">
      <w:pPr>
        <w:spacing w:after="0" w:line="240" w:lineRule="auto"/>
        <w:jc w:val="both"/>
        <w:rPr>
          <w:rFonts w:ascii="Arial" w:hAnsi="Arial" w:cs="Arial"/>
          <w:sz w:val="24"/>
          <w:szCs w:val="24"/>
          <w:lang w:eastAsia="ro-RO"/>
        </w:rPr>
      </w:pPr>
      <w:r w:rsidRPr="00CE2EA6">
        <w:rPr>
          <w:rFonts w:ascii="Arial" w:hAnsi="Arial" w:cs="Arial"/>
          <w:sz w:val="24"/>
          <w:szCs w:val="24"/>
          <w:lang w:eastAsia="ro-RO"/>
        </w:rPr>
        <w:t>O parte din activitățile planificate se realizeaz</w:t>
      </w:r>
      <w:r w:rsidR="00293590">
        <w:rPr>
          <w:rFonts w:ascii="Arial" w:hAnsi="Arial" w:cs="Arial"/>
          <w:sz w:val="24"/>
          <w:szCs w:val="24"/>
          <w:lang w:eastAsia="ro-RO"/>
        </w:rPr>
        <w:t>ă</w:t>
      </w:r>
      <w:r w:rsidRPr="00CE2EA6">
        <w:rPr>
          <w:rFonts w:ascii="Arial" w:hAnsi="Arial" w:cs="Arial"/>
          <w:sz w:val="24"/>
          <w:szCs w:val="24"/>
          <w:lang w:eastAsia="ro-RO"/>
        </w:rPr>
        <w:t xml:space="preserve"> la nivel de județ, situație în care inclusiv monitorizarea se asigură la acest nivel. </w:t>
      </w:r>
    </w:p>
    <w:p w:rsidR="001937AF" w:rsidRDefault="00CE2EA6" w:rsidP="000C6A67">
      <w:pPr>
        <w:spacing w:after="0" w:line="240" w:lineRule="auto"/>
        <w:jc w:val="both"/>
        <w:rPr>
          <w:rFonts w:ascii="Arial" w:hAnsi="Arial" w:cs="Arial"/>
          <w:sz w:val="24"/>
          <w:szCs w:val="24"/>
          <w:lang w:eastAsia="ro-RO"/>
        </w:rPr>
      </w:pPr>
      <w:r w:rsidRPr="00CE2EA6">
        <w:rPr>
          <w:rFonts w:ascii="Arial" w:hAnsi="Arial" w:cs="Arial"/>
          <w:sz w:val="24"/>
          <w:szCs w:val="24"/>
          <w:lang w:eastAsia="ro-RO"/>
        </w:rPr>
        <w:t>Pentru o monitorizare corectă este necesară o clară dife</w:t>
      </w:r>
      <w:r w:rsidR="005A5EF8">
        <w:rPr>
          <w:rFonts w:ascii="Arial" w:hAnsi="Arial" w:cs="Arial"/>
          <w:sz w:val="24"/>
          <w:szCs w:val="24"/>
          <w:lang w:eastAsia="ro-RO"/>
        </w:rPr>
        <w:t>rențiere a activităților</w:t>
      </w:r>
      <w:r w:rsidRPr="00CE2EA6">
        <w:rPr>
          <w:rFonts w:ascii="Arial" w:hAnsi="Arial" w:cs="Arial"/>
          <w:sz w:val="24"/>
          <w:szCs w:val="24"/>
          <w:lang w:eastAsia="ro-RO"/>
        </w:rPr>
        <w:t xml:space="preserve"> care sunt în r</w:t>
      </w:r>
      <w:r w:rsidR="005A5EF8">
        <w:rPr>
          <w:rFonts w:ascii="Arial" w:hAnsi="Arial" w:cs="Arial"/>
          <w:sz w:val="24"/>
          <w:szCs w:val="24"/>
          <w:lang w:eastAsia="ro-RO"/>
        </w:rPr>
        <w:t>e</w:t>
      </w:r>
      <w:r w:rsidRPr="00CE2EA6">
        <w:rPr>
          <w:rFonts w:ascii="Arial" w:hAnsi="Arial" w:cs="Arial"/>
          <w:sz w:val="24"/>
          <w:szCs w:val="24"/>
          <w:lang w:eastAsia="ro-RO"/>
        </w:rPr>
        <w:t>sponsabilitatea exclusivă a Consorțiului Regional, pentru care se asigură o monitorizare completă, și cel</w:t>
      </w:r>
      <w:r w:rsidR="00293590">
        <w:rPr>
          <w:rFonts w:ascii="Arial" w:hAnsi="Arial" w:cs="Arial"/>
          <w:sz w:val="24"/>
          <w:szCs w:val="24"/>
          <w:lang w:eastAsia="ro-RO"/>
        </w:rPr>
        <w:t>e</w:t>
      </w:r>
      <w:r w:rsidRPr="00CE2EA6">
        <w:rPr>
          <w:rFonts w:ascii="Arial" w:hAnsi="Arial" w:cs="Arial"/>
          <w:sz w:val="24"/>
          <w:szCs w:val="24"/>
          <w:lang w:eastAsia="ro-RO"/>
        </w:rPr>
        <w:t>l</w:t>
      </w:r>
      <w:r w:rsidR="00293590">
        <w:rPr>
          <w:rFonts w:ascii="Arial" w:hAnsi="Arial" w:cs="Arial"/>
          <w:sz w:val="24"/>
          <w:szCs w:val="24"/>
          <w:lang w:eastAsia="ro-RO"/>
        </w:rPr>
        <w:t>a</w:t>
      </w:r>
      <w:r w:rsidRPr="00CE2EA6">
        <w:rPr>
          <w:rFonts w:ascii="Arial" w:hAnsi="Arial" w:cs="Arial"/>
          <w:sz w:val="24"/>
          <w:szCs w:val="24"/>
          <w:lang w:eastAsia="ro-RO"/>
        </w:rPr>
        <w:t>lt</w:t>
      </w:r>
      <w:r w:rsidR="00293590">
        <w:rPr>
          <w:rFonts w:ascii="Arial" w:hAnsi="Arial" w:cs="Arial"/>
          <w:sz w:val="24"/>
          <w:szCs w:val="24"/>
          <w:lang w:eastAsia="ro-RO"/>
        </w:rPr>
        <w:t>e</w:t>
      </w:r>
      <w:r w:rsidRPr="00CE2EA6">
        <w:rPr>
          <w:rFonts w:ascii="Arial" w:hAnsi="Arial" w:cs="Arial"/>
          <w:sz w:val="24"/>
          <w:szCs w:val="24"/>
          <w:lang w:eastAsia="ro-RO"/>
        </w:rPr>
        <w:t xml:space="preserve"> activități care sunt inventariate pentru a include informațiile respective în documentele de planificare. </w:t>
      </w:r>
    </w:p>
    <w:p w:rsidR="00B47B30" w:rsidRPr="001937AF" w:rsidRDefault="00B47B30" w:rsidP="000C6A67">
      <w:pPr>
        <w:spacing w:after="0" w:line="240" w:lineRule="auto"/>
        <w:jc w:val="both"/>
        <w:rPr>
          <w:rFonts w:ascii="Arial" w:hAnsi="Arial" w:cs="Arial"/>
          <w:sz w:val="24"/>
          <w:szCs w:val="24"/>
          <w:lang w:eastAsia="ro-RO"/>
        </w:rPr>
      </w:pPr>
    </w:p>
    <w:p w:rsidR="00406DCE" w:rsidRPr="00896493" w:rsidRDefault="00FE3CCA" w:rsidP="000C6A67">
      <w:pPr>
        <w:pStyle w:val="Heading2"/>
        <w:spacing w:before="0" w:line="240" w:lineRule="auto"/>
        <w:rPr>
          <w:rFonts w:ascii="Arial" w:hAnsi="Arial" w:cs="Arial"/>
          <w:b w:val="0"/>
          <w:i/>
          <w:color w:val="auto"/>
          <w:sz w:val="24"/>
          <w:szCs w:val="24"/>
          <w:lang w:eastAsia="ro-RO"/>
        </w:rPr>
      </w:pPr>
      <w:bookmarkStart w:id="122" w:name="_Toc488066091"/>
      <w:r w:rsidRPr="00896493">
        <w:rPr>
          <w:rFonts w:ascii="Arial" w:hAnsi="Arial" w:cs="Arial"/>
          <w:b w:val="0"/>
          <w:i/>
          <w:color w:val="auto"/>
          <w:sz w:val="24"/>
          <w:szCs w:val="24"/>
          <w:lang w:eastAsia="ro-RO"/>
        </w:rPr>
        <w:t>7</w:t>
      </w:r>
      <w:r w:rsidR="00406DCE" w:rsidRPr="00896493">
        <w:rPr>
          <w:rFonts w:ascii="Arial" w:hAnsi="Arial" w:cs="Arial"/>
          <w:b w:val="0"/>
          <w:i/>
          <w:color w:val="auto"/>
          <w:sz w:val="24"/>
          <w:szCs w:val="24"/>
          <w:lang w:eastAsia="ro-RO"/>
        </w:rPr>
        <w:t>.2. Evaluarea progresului în implementarea PRAI</w:t>
      </w:r>
      <w:bookmarkEnd w:id="122"/>
    </w:p>
    <w:p w:rsidR="00FE7DCF" w:rsidRDefault="00537088" w:rsidP="000C6A67">
      <w:pPr>
        <w:spacing w:after="0" w:line="240" w:lineRule="auto"/>
        <w:jc w:val="both"/>
        <w:rPr>
          <w:rFonts w:ascii="Arial" w:hAnsi="Arial" w:cs="Arial"/>
          <w:sz w:val="24"/>
          <w:szCs w:val="24"/>
          <w:lang w:eastAsia="ro-RO"/>
        </w:rPr>
      </w:pPr>
      <w:r w:rsidRPr="00537088">
        <w:rPr>
          <w:rFonts w:ascii="Arial" w:hAnsi="Arial" w:cs="Arial"/>
          <w:sz w:val="24"/>
          <w:szCs w:val="24"/>
          <w:lang w:eastAsia="ro-RO"/>
        </w:rPr>
        <w:t xml:space="preserve">Obiectivul principal al </w:t>
      </w:r>
      <w:r w:rsidR="00063F8B">
        <w:rPr>
          <w:rFonts w:ascii="Arial" w:hAnsi="Arial" w:cs="Arial"/>
          <w:sz w:val="24"/>
          <w:szCs w:val="24"/>
          <w:lang w:eastAsia="ro-RO"/>
        </w:rPr>
        <w:t>P</w:t>
      </w:r>
      <w:r w:rsidRPr="00537088">
        <w:rPr>
          <w:rFonts w:ascii="Arial" w:hAnsi="Arial" w:cs="Arial"/>
          <w:sz w:val="24"/>
          <w:szCs w:val="24"/>
          <w:lang w:eastAsia="ro-RO"/>
        </w:rPr>
        <w:t xml:space="preserve">RAI este asigurarea corelării ofertei de IPT cu cererea pieței, și din această perspectivă </w:t>
      </w:r>
      <w:r w:rsidR="00A95AD9">
        <w:rPr>
          <w:rFonts w:ascii="Arial" w:hAnsi="Arial" w:cs="Arial"/>
          <w:sz w:val="24"/>
          <w:szCs w:val="24"/>
          <w:lang w:eastAsia="ro-RO"/>
        </w:rPr>
        <w:t>se realizează anual gradul de respectare a solicitărilor angajatorilor în procesul de definire a cifrelor de școlarizare. În acest proces se implică membrii CLDPS la nivel de județ, si la întâlnirile de analiză se orgnizeaza reuniuni CLDPS extinse, cu invitarea celor mai relevanți angajatori și reprezentan</w:t>
      </w:r>
      <w:r w:rsidR="00CB2927">
        <w:rPr>
          <w:rFonts w:ascii="Arial" w:hAnsi="Arial" w:cs="Arial"/>
          <w:sz w:val="24"/>
          <w:szCs w:val="24"/>
          <w:lang w:eastAsia="ro-RO"/>
        </w:rPr>
        <w:t>ț</w:t>
      </w:r>
      <w:r w:rsidR="00A95AD9">
        <w:rPr>
          <w:rFonts w:ascii="Arial" w:hAnsi="Arial" w:cs="Arial"/>
          <w:sz w:val="24"/>
          <w:szCs w:val="24"/>
          <w:lang w:eastAsia="ro-RO"/>
        </w:rPr>
        <w:t xml:space="preserve">i ai autorităților locale. </w:t>
      </w:r>
      <w:r w:rsidRPr="00537088">
        <w:rPr>
          <w:rFonts w:ascii="Arial" w:hAnsi="Arial" w:cs="Arial"/>
          <w:sz w:val="24"/>
          <w:szCs w:val="24"/>
          <w:lang w:eastAsia="ro-RO"/>
        </w:rPr>
        <w:t xml:space="preserve"> </w:t>
      </w:r>
    </w:p>
    <w:p w:rsidR="005A5EF8" w:rsidRPr="004862A6" w:rsidRDefault="005A5EF8" w:rsidP="000C6A67">
      <w:pPr>
        <w:pStyle w:val="ListParagraph"/>
        <w:ind w:left="0"/>
        <w:rPr>
          <w:rFonts w:ascii="Arial" w:hAnsi="Arial" w:cs="Arial"/>
          <w:sz w:val="24"/>
          <w:szCs w:val="24"/>
        </w:rPr>
      </w:pPr>
    </w:p>
    <w:p w:rsidR="00FE7DCF" w:rsidRPr="00896493" w:rsidRDefault="00FE7DCF" w:rsidP="000C6A67">
      <w:pPr>
        <w:spacing w:after="0" w:line="240" w:lineRule="auto"/>
        <w:contextualSpacing/>
        <w:rPr>
          <w:rFonts w:ascii="Arial" w:hAnsi="Arial" w:cs="Arial"/>
          <w:i/>
          <w:sz w:val="24"/>
          <w:szCs w:val="24"/>
        </w:rPr>
      </w:pPr>
      <w:r w:rsidRPr="00896493">
        <w:rPr>
          <w:rFonts w:ascii="Arial" w:hAnsi="Arial" w:cs="Arial"/>
          <w:i/>
          <w:sz w:val="24"/>
          <w:szCs w:val="24"/>
        </w:rPr>
        <w:t>Concluzii şi recomandări</w:t>
      </w:r>
    </w:p>
    <w:p w:rsidR="00FE7DCF" w:rsidRPr="004862A6" w:rsidRDefault="00CE2EA6" w:rsidP="000C6A67">
      <w:pPr>
        <w:pStyle w:val="ListParagraph"/>
        <w:ind w:left="0"/>
        <w:jc w:val="both"/>
        <w:rPr>
          <w:rFonts w:ascii="Arial" w:hAnsi="Arial" w:cs="Arial"/>
          <w:sz w:val="24"/>
          <w:szCs w:val="24"/>
        </w:rPr>
      </w:pPr>
      <w:r>
        <w:rPr>
          <w:rFonts w:ascii="Arial" w:hAnsi="Arial" w:cs="Arial"/>
          <w:sz w:val="24"/>
          <w:szCs w:val="24"/>
        </w:rPr>
        <w:t>Recomandă</w:t>
      </w:r>
      <w:r w:rsidR="005A5EF8">
        <w:rPr>
          <w:rFonts w:ascii="Arial" w:hAnsi="Arial" w:cs="Arial"/>
          <w:sz w:val="24"/>
          <w:szCs w:val="24"/>
        </w:rPr>
        <w:t>m judetelor sa faca o analiza</w:t>
      </w:r>
      <w:r w:rsidR="00FE7DCF" w:rsidRPr="004862A6">
        <w:rPr>
          <w:rFonts w:ascii="Arial" w:hAnsi="Arial" w:cs="Arial"/>
          <w:sz w:val="24"/>
          <w:szCs w:val="24"/>
        </w:rPr>
        <w:t xml:space="preserve"> </w:t>
      </w:r>
      <w:r w:rsidR="00063F8B">
        <w:rPr>
          <w:rFonts w:ascii="Arial" w:hAnsi="Arial" w:cs="Arial"/>
          <w:sz w:val="24"/>
          <w:szCs w:val="24"/>
        </w:rPr>
        <w:t>î</w:t>
      </w:r>
      <w:r w:rsidR="00FE7DCF" w:rsidRPr="004862A6">
        <w:rPr>
          <w:rFonts w:ascii="Arial" w:hAnsi="Arial" w:cs="Arial"/>
          <w:sz w:val="24"/>
          <w:szCs w:val="24"/>
        </w:rPr>
        <w:t>n PLAI a capacit</w:t>
      </w:r>
      <w:r w:rsidR="004B4BEC">
        <w:rPr>
          <w:rFonts w:ascii="Arial" w:hAnsi="Arial" w:cs="Arial"/>
          <w:sz w:val="24"/>
          <w:szCs w:val="24"/>
        </w:rPr>
        <w:t>ății</w:t>
      </w:r>
      <w:r w:rsidR="00FE7DCF" w:rsidRPr="004862A6">
        <w:rPr>
          <w:rFonts w:ascii="Arial" w:hAnsi="Arial" w:cs="Arial"/>
          <w:sz w:val="24"/>
          <w:szCs w:val="24"/>
        </w:rPr>
        <w:t xml:space="preserve"> la nivelul re</w:t>
      </w:r>
      <w:r w:rsidR="00896493">
        <w:rPr>
          <w:rFonts w:ascii="Arial" w:hAnsi="Arial" w:cs="Arial"/>
          <w:sz w:val="24"/>
          <w:szCs w:val="24"/>
        </w:rPr>
        <w:t>ț</w:t>
      </w:r>
      <w:r w:rsidR="00FE7DCF" w:rsidRPr="004862A6">
        <w:rPr>
          <w:rFonts w:ascii="Arial" w:hAnsi="Arial" w:cs="Arial"/>
          <w:sz w:val="24"/>
          <w:szCs w:val="24"/>
        </w:rPr>
        <w:t xml:space="preserve">elei </w:t>
      </w:r>
      <w:r w:rsidR="00896493">
        <w:rPr>
          <w:rFonts w:ascii="Arial" w:hAnsi="Arial" w:cs="Arial"/>
          <w:sz w:val="24"/>
          <w:szCs w:val="24"/>
        </w:rPr>
        <w:t>ș</w:t>
      </w:r>
      <w:r w:rsidR="00FE7DCF" w:rsidRPr="004862A6">
        <w:rPr>
          <w:rFonts w:ascii="Arial" w:hAnsi="Arial" w:cs="Arial"/>
          <w:sz w:val="24"/>
          <w:szCs w:val="24"/>
        </w:rPr>
        <w:t>colare pentru a cre</w:t>
      </w:r>
      <w:r w:rsidR="00896493">
        <w:rPr>
          <w:rFonts w:ascii="Arial" w:hAnsi="Arial" w:cs="Arial"/>
          <w:sz w:val="24"/>
          <w:szCs w:val="24"/>
        </w:rPr>
        <w:t>ș</w:t>
      </w:r>
      <w:r w:rsidR="00FE7DCF" w:rsidRPr="004862A6">
        <w:rPr>
          <w:rFonts w:ascii="Arial" w:hAnsi="Arial" w:cs="Arial"/>
          <w:sz w:val="24"/>
          <w:szCs w:val="24"/>
        </w:rPr>
        <w:t>te gradul de satisfacere a cerin</w:t>
      </w:r>
      <w:r w:rsidR="00896493">
        <w:rPr>
          <w:rFonts w:ascii="Arial" w:hAnsi="Arial" w:cs="Arial"/>
          <w:sz w:val="24"/>
          <w:szCs w:val="24"/>
        </w:rPr>
        <w:t>ț</w:t>
      </w:r>
      <w:r w:rsidR="00FE7DCF" w:rsidRPr="004862A6">
        <w:rPr>
          <w:rFonts w:ascii="Arial" w:hAnsi="Arial" w:cs="Arial"/>
          <w:sz w:val="24"/>
          <w:szCs w:val="24"/>
        </w:rPr>
        <w:t xml:space="preserve">elor angajatorilor mai ales </w:t>
      </w:r>
      <w:r w:rsidR="00896493">
        <w:rPr>
          <w:rFonts w:ascii="Arial" w:hAnsi="Arial" w:cs="Arial"/>
          <w:sz w:val="24"/>
          <w:szCs w:val="24"/>
        </w:rPr>
        <w:t>î</w:t>
      </w:r>
      <w:r w:rsidR="00FE7DCF" w:rsidRPr="004862A6">
        <w:rPr>
          <w:rFonts w:ascii="Arial" w:hAnsi="Arial" w:cs="Arial"/>
          <w:sz w:val="24"/>
          <w:szCs w:val="24"/>
        </w:rPr>
        <w:t>n urm</w:t>
      </w:r>
      <w:r w:rsidR="00896493">
        <w:rPr>
          <w:rFonts w:ascii="Arial" w:hAnsi="Arial" w:cs="Arial"/>
          <w:sz w:val="24"/>
          <w:szCs w:val="24"/>
        </w:rPr>
        <w:t>ă</w:t>
      </w:r>
      <w:r w:rsidR="00FE7DCF" w:rsidRPr="004862A6">
        <w:rPr>
          <w:rFonts w:ascii="Arial" w:hAnsi="Arial" w:cs="Arial"/>
          <w:sz w:val="24"/>
          <w:szCs w:val="24"/>
        </w:rPr>
        <w:t>toarele situa</w:t>
      </w:r>
      <w:r w:rsidR="00896493">
        <w:rPr>
          <w:rFonts w:ascii="Arial" w:hAnsi="Arial" w:cs="Arial"/>
          <w:sz w:val="24"/>
          <w:szCs w:val="24"/>
        </w:rPr>
        <w:t>ț</w:t>
      </w:r>
      <w:r w:rsidR="00FE7DCF" w:rsidRPr="004862A6">
        <w:rPr>
          <w:rFonts w:ascii="Arial" w:hAnsi="Arial" w:cs="Arial"/>
          <w:sz w:val="24"/>
          <w:szCs w:val="24"/>
        </w:rPr>
        <w:t xml:space="preserve">ii, cu cereri </w:t>
      </w:r>
      <w:r w:rsidR="00896493">
        <w:rPr>
          <w:rFonts w:ascii="Arial" w:hAnsi="Arial" w:cs="Arial"/>
          <w:sz w:val="24"/>
          <w:szCs w:val="24"/>
        </w:rPr>
        <w:t>î</w:t>
      </w:r>
      <w:r w:rsidR="00FE7DCF" w:rsidRPr="004862A6">
        <w:rPr>
          <w:rFonts w:ascii="Arial" w:hAnsi="Arial" w:cs="Arial"/>
          <w:sz w:val="24"/>
          <w:szCs w:val="24"/>
        </w:rPr>
        <w:t xml:space="preserve">nregistrate </w:t>
      </w:r>
      <w:r w:rsidR="00896493">
        <w:rPr>
          <w:rFonts w:ascii="Arial" w:hAnsi="Arial" w:cs="Arial"/>
          <w:sz w:val="24"/>
          <w:szCs w:val="24"/>
        </w:rPr>
        <w:t>ș</w:t>
      </w:r>
      <w:r w:rsidR="00FE7DCF" w:rsidRPr="004862A6">
        <w:rPr>
          <w:rFonts w:ascii="Arial" w:hAnsi="Arial" w:cs="Arial"/>
          <w:sz w:val="24"/>
          <w:szCs w:val="24"/>
        </w:rPr>
        <w:t>i ne</w:t>
      </w:r>
      <w:r w:rsidR="004B4BEC">
        <w:rPr>
          <w:rFonts w:ascii="Arial" w:hAnsi="Arial" w:cs="Arial"/>
          <w:sz w:val="24"/>
          <w:szCs w:val="24"/>
        </w:rPr>
        <w:t>ap</w:t>
      </w:r>
      <w:r w:rsidR="00FE7DCF" w:rsidRPr="004862A6">
        <w:rPr>
          <w:rFonts w:ascii="Arial" w:hAnsi="Arial" w:cs="Arial"/>
          <w:sz w:val="24"/>
          <w:szCs w:val="24"/>
        </w:rPr>
        <w:t xml:space="preserve">robate din variate motive. </w:t>
      </w:r>
    </w:p>
    <w:p w:rsidR="00FE7DCF" w:rsidRPr="004862A6" w:rsidRDefault="00FE7DCF" w:rsidP="000C6A67">
      <w:pPr>
        <w:spacing w:after="0" w:line="240" w:lineRule="auto"/>
        <w:jc w:val="both"/>
        <w:rPr>
          <w:rFonts w:ascii="Arial" w:eastAsia="Times New Roman" w:hAnsi="Arial" w:cs="Arial"/>
          <w:sz w:val="24"/>
          <w:szCs w:val="24"/>
          <w:lang w:val="en-US"/>
        </w:rPr>
      </w:pPr>
      <w:r w:rsidRPr="004862A6">
        <w:rPr>
          <w:rFonts w:ascii="Arial" w:eastAsia="Times New Roman" w:hAnsi="Arial" w:cs="Arial"/>
          <w:sz w:val="24"/>
          <w:szCs w:val="24"/>
          <w:lang w:val="en-US"/>
        </w:rPr>
        <w:t xml:space="preserve">Având în vedere complementaritatea ofertelor din județele regiunii, considerăm că această caracteristică ar putea sta la baza unei oferte diversificate la nivel regional, </w:t>
      </w:r>
      <w:r w:rsidRPr="004862A6">
        <w:rPr>
          <w:rFonts w:ascii="Arial" w:eastAsia="Times New Roman" w:hAnsi="Arial" w:cs="Arial"/>
          <w:b/>
          <w:sz w:val="24"/>
          <w:szCs w:val="24"/>
          <w:lang w:val="en-US"/>
        </w:rPr>
        <w:t>dacă ar fi asigurată mobilitatea elevilor intr</w:t>
      </w:r>
      <w:r w:rsidR="005A5EF8">
        <w:rPr>
          <w:rFonts w:ascii="Arial" w:eastAsia="Times New Roman" w:hAnsi="Arial" w:cs="Arial"/>
          <w:b/>
          <w:sz w:val="24"/>
          <w:szCs w:val="24"/>
          <w:lang w:val="en-US"/>
        </w:rPr>
        <w:t>a</w:t>
      </w:r>
      <w:r w:rsidRPr="004862A6">
        <w:rPr>
          <w:rFonts w:ascii="Arial" w:eastAsia="Times New Roman" w:hAnsi="Arial" w:cs="Arial"/>
          <w:b/>
          <w:sz w:val="24"/>
          <w:szCs w:val="24"/>
          <w:lang w:val="en-US"/>
        </w:rPr>
        <w:t xml:space="preserve">-regional, </w:t>
      </w:r>
      <w:r w:rsidRPr="004862A6">
        <w:rPr>
          <w:rFonts w:ascii="Arial" w:eastAsia="Times New Roman" w:hAnsi="Arial" w:cs="Arial"/>
          <w:sz w:val="24"/>
          <w:szCs w:val="24"/>
          <w:lang w:val="en-US"/>
        </w:rPr>
        <w:t xml:space="preserve">pentru dobândirea unei calificări; </w:t>
      </w:r>
    </w:p>
    <w:p w:rsidR="00FE7DCF" w:rsidRPr="004862A6" w:rsidRDefault="00FE7DCF" w:rsidP="000C6A67">
      <w:pPr>
        <w:spacing w:after="0" w:line="240" w:lineRule="auto"/>
        <w:jc w:val="both"/>
        <w:rPr>
          <w:rFonts w:ascii="Arial" w:eastAsia="Times New Roman" w:hAnsi="Arial" w:cs="Arial"/>
          <w:sz w:val="24"/>
          <w:szCs w:val="24"/>
          <w:lang w:val="en-US"/>
        </w:rPr>
      </w:pPr>
      <w:r w:rsidRPr="004862A6">
        <w:rPr>
          <w:rFonts w:ascii="Arial" w:eastAsia="Times New Roman" w:hAnsi="Arial" w:cs="Arial"/>
          <w:b/>
          <w:sz w:val="24"/>
          <w:szCs w:val="24"/>
          <w:lang w:val="en-US"/>
        </w:rPr>
        <w:t>Recomandăm identificarea soluțiilor reale</w:t>
      </w:r>
      <w:r w:rsidRPr="004862A6">
        <w:rPr>
          <w:rFonts w:ascii="Arial" w:eastAsia="Times New Roman" w:hAnsi="Arial" w:cs="Arial"/>
          <w:sz w:val="24"/>
          <w:szCs w:val="24"/>
          <w:lang w:val="en-US"/>
        </w:rPr>
        <w:t xml:space="preserve"> pentru asigurarea costurile aferente pentru transport, cazare și masă pentru elevii înscriși în aceste clase. Astfel ar fi posibilă respectarea opțiun</w:t>
      </w:r>
      <w:r w:rsidR="00896493">
        <w:rPr>
          <w:rFonts w:ascii="Arial" w:eastAsia="Times New Roman" w:hAnsi="Arial" w:cs="Arial"/>
          <w:sz w:val="24"/>
          <w:szCs w:val="24"/>
          <w:lang w:val="en-US"/>
        </w:rPr>
        <w:t>i</w:t>
      </w:r>
      <w:r w:rsidRPr="004862A6">
        <w:rPr>
          <w:rFonts w:ascii="Arial" w:eastAsia="Times New Roman" w:hAnsi="Arial" w:cs="Arial"/>
          <w:sz w:val="24"/>
          <w:szCs w:val="24"/>
          <w:lang w:val="en-US"/>
        </w:rPr>
        <w:t xml:space="preserve"> acestor elevi pentru a urma specializarea dorită și în alt județ, iar pentru acest rezultat este necesară și o foarte bună promovare și vizibilitate a acestor propuneri, împreună cu șansele de angajare la finalizarea studiilor. </w:t>
      </w:r>
    </w:p>
    <w:p w:rsidR="00FE7DCF" w:rsidRPr="004862A6" w:rsidRDefault="00FE7DCF" w:rsidP="000C6A67">
      <w:pPr>
        <w:pStyle w:val="ListParagraph"/>
        <w:ind w:left="0"/>
        <w:jc w:val="both"/>
        <w:rPr>
          <w:rFonts w:ascii="Arial" w:hAnsi="Arial" w:cs="Arial"/>
          <w:sz w:val="24"/>
          <w:szCs w:val="24"/>
        </w:rPr>
      </w:pPr>
    </w:p>
    <w:p w:rsidR="00FE7DCF" w:rsidRPr="00597FB2" w:rsidRDefault="00FE7DCF" w:rsidP="000C6A67">
      <w:pPr>
        <w:spacing w:after="0" w:line="240" w:lineRule="auto"/>
        <w:jc w:val="both"/>
        <w:rPr>
          <w:rFonts w:ascii="Arial" w:eastAsia="Times New Roman" w:hAnsi="Arial" w:cs="Arial"/>
          <w:sz w:val="24"/>
          <w:szCs w:val="24"/>
          <w:lang w:val="en-US"/>
        </w:rPr>
      </w:pPr>
      <w:r w:rsidRPr="00597FB2">
        <w:rPr>
          <w:rFonts w:ascii="Arial" w:eastAsia="Times New Roman" w:hAnsi="Arial" w:cs="Arial"/>
          <w:sz w:val="24"/>
          <w:szCs w:val="24"/>
          <w:lang w:val="en-US"/>
        </w:rPr>
        <w:t xml:space="preserve">În următoarea perioadă ar fi de interes regional să fie analizate avantajele competitive ale economiilor locale, în vederea unui accord intraregional de distribuire a locurilor oferite pentru calificări, răspunzând solicitărilor operatorilor economici și oferind șansa unei calificări relevante pentru elevi. </w:t>
      </w:r>
    </w:p>
    <w:p w:rsidR="00597FB2" w:rsidRDefault="00597FB2" w:rsidP="000C6A67">
      <w:pPr>
        <w:spacing w:after="0" w:line="240" w:lineRule="auto"/>
        <w:rPr>
          <w:rFonts w:ascii="Arial" w:hAnsi="Arial" w:cs="Arial"/>
          <w:sz w:val="24"/>
          <w:szCs w:val="24"/>
          <w:lang w:eastAsia="ro-RO"/>
        </w:rPr>
      </w:pPr>
      <w:r>
        <w:rPr>
          <w:rFonts w:ascii="Arial" w:hAnsi="Arial" w:cs="Arial"/>
          <w:sz w:val="24"/>
          <w:szCs w:val="24"/>
          <w:lang w:eastAsia="ro-RO"/>
        </w:rPr>
        <w:br w:type="page"/>
      </w:r>
    </w:p>
    <w:p w:rsidR="001937AF" w:rsidRDefault="001937AF" w:rsidP="000C6A67">
      <w:pPr>
        <w:spacing w:after="0" w:line="240" w:lineRule="auto"/>
        <w:jc w:val="both"/>
        <w:rPr>
          <w:rFonts w:ascii="Arial" w:hAnsi="Arial" w:cs="Arial"/>
          <w:sz w:val="24"/>
          <w:szCs w:val="24"/>
          <w:lang w:eastAsia="ro-RO"/>
        </w:rPr>
      </w:pPr>
    </w:p>
    <w:p w:rsidR="001937AF" w:rsidRPr="001937AF" w:rsidRDefault="001937AF" w:rsidP="000C6A67">
      <w:pPr>
        <w:spacing w:after="0" w:line="240" w:lineRule="auto"/>
        <w:jc w:val="both"/>
        <w:rPr>
          <w:rFonts w:ascii="Arial" w:hAnsi="Arial" w:cs="Arial"/>
          <w:sz w:val="24"/>
          <w:szCs w:val="24"/>
          <w:lang w:eastAsia="ro-RO"/>
        </w:rPr>
      </w:pPr>
    </w:p>
    <w:p w:rsidR="00406DCE" w:rsidRPr="00DD5F85" w:rsidRDefault="00FE3CCA" w:rsidP="000C6A67">
      <w:pPr>
        <w:pStyle w:val="Heading1"/>
        <w:spacing w:before="0" w:line="240" w:lineRule="auto"/>
        <w:jc w:val="center"/>
        <w:rPr>
          <w:rFonts w:ascii="Arial" w:hAnsi="Arial" w:cs="Arial"/>
          <w:color w:val="auto"/>
          <w:lang w:eastAsia="ro-RO"/>
        </w:rPr>
      </w:pPr>
      <w:bookmarkStart w:id="123" w:name="_Toc488066092"/>
      <w:r w:rsidRPr="00DD5F85">
        <w:rPr>
          <w:rFonts w:ascii="Arial" w:hAnsi="Arial" w:cs="Arial"/>
          <w:color w:val="auto"/>
          <w:lang w:eastAsia="ro-RO"/>
        </w:rPr>
        <w:t>8</w:t>
      </w:r>
      <w:r w:rsidR="00406DCE" w:rsidRPr="00DD5F85">
        <w:rPr>
          <w:rFonts w:ascii="Arial" w:hAnsi="Arial" w:cs="Arial"/>
          <w:color w:val="auto"/>
          <w:lang w:eastAsia="ro-RO"/>
        </w:rPr>
        <w:t>. Analiza SWOT a corelării ofertei de formare profesională cu cererea</w:t>
      </w:r>
      <w:bookmarkEnd w:id="123"/>
    </w:p>
    <w:p w:rsidR="00CE2EA6" w:rsidRDefault="00CE2EA6" w:rsidP="000C6A67">
      <w:pPr>
        <w:spacing w:after="0" w:line="240" w:lineRule="auto"/>
        <w:jc w:val="center"/>
        <w:rPr>
          <w:rFonts w:ascii="Arial" w:hAnsi="Arial" w:cs="Arial"/>
          <w:lang w:eastAsia="ro-RO"/>
        </w:rPr>
      </w:pPr>
    </w:p>
    <w:p w:rsidR="00DD5F85" w:rsidRPr="00CE2EA6" w:rsidRDefault="00CE2EA6" w:rsidP="000C6A67">
      <w:pPr>
        <w:spacing w:after="0" w:line="240" w:lineRule="auto"/>
        <w:jc w:val="center"/>
        <w:rPr>
          <w:rFonts w:ascii="Arial" w:hAnsi="Arial" w:cs="Arial"/>
          <w:lang w:eastAsia="ro-RO"/>
        </w:rPr>
      </w:pPr>
      <w:r w:rsidRPr="00CE2EA6">
        <w:rPr>
          <w:rFonts w:ascii="Arial" w:hAnsi="Arial" w:cs="Arial"/>
          <w:lang w:eastAsia="ro-RO"/>
        </w:rPr>
        <w:t>Tabel nr.</w:t>
      </w:r>
      <w:r w:rsidR="007659BC">
        <w:rPr>
          <w:rFonts w:ascii="Arial" w:hAnsi="Arial" w:cs="Arial"/>
          <w:lang w:eastAsia="ro-RO"/>
        </w:rPr>
        <w:t>19</w:t>
      </w:r>
      <w:r w:rsidRPr="00CE2EA6">
        <w:rPr>
          <w:rFonts w:ascii="Arial" w:hAnsi="Arial" w:cs="Arial"/>
          <w:lang w:eastAsia="ro-RO"/>
        </w:rPr>
        <w:t>.</w:t>
      </w:r>
    </w:p>
    <w:tbl>
      <w:tblPr>
        <w:tblStyle w:val="TableGrid"/>
        <w:tblW w:w="0" w:type="auto"/>
        <w:tblLook w:val="04A0" w:firstRow="1" w:lastRow="0" w:firstColumn="1" w:lastColumn="0" w:noHBand="0" w:noVBand="1"/>
      </w:tblPr>
      <w:tblGrid>
        <w:gridCol w:w="4787"/>
        <w:gridCol w:w="4787"/>
      </w:tblGrid>
      <w:tr w:rsidR="00577B84" w:rsidRPr="0011157E" w:rsidTr="00211873">
        <w:trPr>
          <w:trHeight w:val="409"/>
        </w:trPr>
        <w:tc>
          <w:tcPr>
            <w:tcW w:w="0" w:type="auto"/>
            <w:shd w:val="clear" w:color="auto" w:fill="FFC000"/>
            <w:vAlign w:val="center"/>
          </w:tcPr>
          <w:p w:rsidR="00577B84" w:rsidRPr="00896493" w:rsidRDefault="00577B84" w:rsidP="00896493">
            <w:pPr>
              <w:jc w:val="center"/>
              <w:rPr>
                <w:rFonts w:ascii="Arial" w:hAnsi="Arial" w:cs="Arial"/>
                <w:b/>
                <w:sz w:val="24"/>
                <w:szCs w:val="24"/>
                <w:lang w:val="en-US"/>
              </w:rPr>
            </w:pPr>
            <w:r w:rsidRPr="00896493">
              <w:rPr>
                <w:rFonts w:ascii="Arial" w:hAnsi="Arial" w:cs="Arial"/>
                <w:b/>
                <w:sz w:val="24"/>
                <w:szCs w:val="24"/>
                <w:lang w:val="en-US"/>
              </w:rPr>
              <w:t>Puncte tari</w:t>
            </w:r>
          </w:p>
        </w:tc>
        <w:tc>
          <w:tcPr>
            <w:tcW w:w="0" w:type="auto"/>
            <w:shd w:val="clear" w:color="auto" w:fill="FFC000"/>
            <w:vAlign w:val="center"/>
          </w:tcPr>
          <w:p w:rsidR="00577B84" w:rsidRPr="00896493" w:rsidRDefault="00577B84" w:rsidP="00896493">
            <w:pPr>
              <w:jc w:val="center"/>
              <w:rPr>
                <w:rFonts w:ascii="Arial" w:hAnsi="Arial" w:cs="Arial"/>
                <w:b/>
                <w:sz w:val="24"/>
                <w:szCs w:val="24"/>
                <w:lang w:val="en-US"/>
              </w:rPr>
            </w:pPr>
            <w:r w:rsidRPr="00896493">
              <w:rPr>
                <w:rFonts w:ascii="Arial" w:hAnsi="Arial" w:cs="Arial"/>
                <w:b/>
                <w:sz w:val="24"/>
                <w:szCs w:val="24"/>
                <w:lang w:val="en-US"/>
              </w:rPr>
              <w:t>Puncte slabe</w:t>
            </w:r>
          </w:p>
        </w:tc>
      </w:tr>
      <w:tr w:rsidR="00577B84" w:rsidRPr="0011157E" w:rsidTr="00211873">
        <w:tc>
          <w:tcPr>
            <w:tcW w:w="0" w:type="auto"/>
          </w:tcPr>
          <w:p w:rsidR="00577B84" w:rsidRPr="00776AC9" w:rsidRDefault="00577B84" w:rsidP="008106B7">
            <w:pPr>
              <w:pStyle w:val="ListParagraph"/>
              <w:ind w:left="0"/>
              <w:contextualSpacing/>
              <w:jc w:val="both"/>
              <w:rPr>
                <w:rFonts w:ascii="Arial" w:hAnsi="Arial" w:cs="Arial"/>
                <w:sz w:val="22"/>
                <w:szCs w:val="22"/>
              </w:rPr>
            </w:pPr>
            <w:r w:rsidRPr="00776AC9">
              <w:rPr>
                <w:rFonts w:ascii="Arial" w:hAnsi="Arial" w:cs="Arial"/>
                <w:sz w:val="22"/>
                <w:szCs w:val="22"/>
              </w:rPr>
              <w:t>-Gradul de urbanizare este  peste media națională pentru fiecare dintre județele regiunii (Județul Hunedoara fiind unul din cele mai urbanizate județe din țară);</w:t>
            </w:r>
          </w:p>
          <w:p w:rsidR="00577B84" w:rsidRPr="00776AC9" w:rsidRDefault="00577B84" w:rsidP="008106B7">
            <w:pPr>
              <w:pStyle w:val="ListParagraph"/>
              <w:ind w:left="0"/>
              <w:contextualSpacing/>
              <w:jc w:val="both"/>
              <w:rPr>
                <w:rFonts w:ascii="Arial" w:hAnsi="Arial" w:cs="Arial"/>
                <w:sz w:val="22"/>
                <w:szCs w:val="22"/>
              </w:rPr>
            </w:pPr>
            <w:r w:rsidRPr="00776AC9">
              <w:rPr>
                <w:rFonts w:ascii="Arial" w:hAnsi="Arial" w:cs="Arial"/>
                <w:sz w:val="22"/>
                <w:szCs w:val="22"/>
              </w:rPr>
              <w:t>-Creștea populației active aferente grupelor de vârstă 24-29 de ani și 30-64 de ani cu aproximativ 11% peste media națională;</w:t>
            </w:r>
          </w:p>
          <w:p w:rsidR="00577B84" w:rsidRPr="00776AC9" w:rsidRDefault="00577B84" w:rsidP="008106B7">
            <w:pPr>
              <w:pStyle w:val="ListParagraph"/>
              <w:ind w:left="0"/>
              <w:contextualSpacing/>
              <w:jc w:val="both"/>
              <w:rPr>
                <w:rFonts w:ascii="Arial" w:hAnsi="Arial" w:cs="Arial"/>
                <w:sz w:val="22"/>
                <w:szCs w:val="22"/>
              </w:rPr>
            </w:pPr>
            <w:r w:rsidRPr="00776AC9">
              <w:rPr>
                <w:rFonts w:ascii="Arial" w:hAnsi="Arial" w:cs="Arial"/>
                <w:sz w:val="22"/>
                <w:szCs w:val="22"/>
              </w:rPr>
              <w:t>-O distribuție aproximativ egală a populației pe sexe;</w:t>
            </w:r>
          </w:p>
          <w:p w:rsidR="00577B84" w:rsidRPr="00776AC9" w:rsidRDefault="00577B84" w:rsidP="008106B7">
            <w:pPr>
              <w:pStyle w:val="ListParagraph"/>
              <w:ind w:left="0"/>
              <w:contextualSpacing/>
              <w:jc w:val="both"/>
              <w:rPr>
                <w:rFonts w:ascii="Arial" w:hAnsi="Arial" w:cs="Arial"/>
                <w:sz w:val="22"/>
                <w:szCs w:val="22"/>
              </w:rPr>
            </w:pPr>
            <w:r w:rsidRPr="00776AC9">
              <w:rPr>
                <w:rFonts w:ascii="Arial" w:hAnsi="Arial" w:cs="Arial"/>
                <w:sz w:val="22"/>
                <w:szCs w:val="22"/>
              </w:rPr>
              <w:t>-Caracter multietnic și multicultural;</w:t>
            </w:r>
          </w:p>
          <w:p w:rsidR="00577B84" w:rsidRPr="00776AC9" w:rsidRDefault="00577B84" w:rsidP="008106B7">
            <w:pPr>
              <w:pStyle w:val="ListParagraph"/>
              <w:ind w:left="0"/>
              <w:contextualSpacing/>
              <w:jc w:val="both"/>
              <w:rPr>
                <w:rFonts w:ascii="Arial" w:hAnsi="Arial" w:cs="Arial"/>
                <w:sz w:val="22"/>
                <w:szCs w:val="22"/>
              </w:rPr>
            </w:pPr>
            <w:r w:rsidRPr="00776AC9">
              <w:rPr>
                <w:rFonts w:ascii="Arial" w:hAnsi="Arial" w:cs="Arial"/>
                <w:sz w:val="22"/>
                <w:szCs w:val="22"/>
              </w:rPr>
              <w:t>-Rata riscului de sărăcie sau excluziune socială este sub media națională;</w:t>
            </w:r>
          </w:p>
          <w:p w:rsidR="00577B84" w:rsidRPr="00776AC9" w:rsidRDefault="00577B84" w:rsidP="008106B7">
            <w:pPr>
              <w:pStyle w:val="ListParagraph"/>
              <w:ind w:left="0"/>
              <w:contextualSpacing/>
              <w:jc w:val="both"/>
              <w:rPr>
                <w:rFonts w:ascii="Arial" w:hAnsi="Arial" w:cs="Arial"/>
                <w:sz w:val="22"/>
                <w:szCs w:val="22"/>
              </w:rPr>
            </w:pPr>
            <w:r w:rsidRPr="00776AC9">
              <w:rPr>
                <w:rFonts w:ascii="Arial" w:hAnsi="Arial" w:cs="Arial"/>
                <w:sz w:val="22"/>
                <w:szCs w:val="22"/>
              </w:rPr>
              <w:t>-PIB-ul pe locuitor este superior mediei naționale, pe locul doi după București Ilfov;</w:t>
            </w:r>
          </w:p>
          <w:p w:rsidR="00577B84" w:rsidRPr="00776AC9" w:rsidRDefault="00577B84" w:rsidP="008106B7">
            <w:pPr>
              <w:pStyle w:val="ListParagraph"/>
              <w:ind w:left="0"/>
              <w:contextualSpacing/>
              <w:jc w:val="both"/>
              <w:rPr>
                <w:rFonts w:ascii="Arial" w:hAnsi="Arial" w:cs="Arial"/>
                <w:sz w:val="22"/>
                <w:szCs w:val="22"/>
              </w:rPr>
            </w:pPr>
            <w:r w:rsidRPr="00776AC9">
              <w:rPr>
                <w:rFonts w:ascii="Arial" w:hAnsi="Arial" w:cs="Arial"/>
                <w:sz w:val="22"/>
                <w:szCs w:val="22"/>
              </w:rPr>
              <w:t>-Produsul intern brut calculat pe baza puterii de cumpărare are un trend crescător;</w:t>
            </w:r>
          </w:p>
          <w:p w:rsidR="00577B84" w:rsidRPr="00776AC9" w:rsidRDefault="00577B84" w:rsidP="008106B7">
            <w:pPr>
              <w:pStyle w:val="ListParagraph"/>
              <w:ind w:left="0"/>
              <w:contextualSpacing/>
              <w:jc w:val="both"/>
              <w:rPr>
                <w:rFonts w:ascii="Arial" w:hAnsi="Arial" w:cs="Arial"/>
                <w:sz w:val="22"/>
                <w:szCs w:val="22"/>
              </w:rPr>
            </w:pPr>
            <w:r w:rsidRPr="00776AC9">
              <w:rPr>
                <w:rFonts w:ascii="Arial" w:hAnsi="Arial" w:cs="Arial"/>
                <w:sz w:val="22"/>
                <w:szCs w:val="22"/>
              </w:rPr>
              <w:t>-Scăderea numărului de someri în mediul urban;</w:t>
            </w:r>
          </w:p>
          <w:p w:rsidR="00577B84" w:rsidRPr="00776AC9" w:rsidRDefault="00577B84" w:rsidP="008106B7">
            <w:pPr>
              <w:pStyle w:val="ListParagraph"/>
              <w:ind w:left="0"/>
              <w:contextualSpacing/>
              <w:jc w:val="both"/>
              <w:rPr>
                <w:rFonts w:ascii="Arial" w:hAnsi="Arial" w:cs="Arial"/>
                <w:sz w:val="22"/>
                <w:szCs w:val="22"/>
              </w:rPr>
            </w:pPr>
            <w:r w:rsidRPr="00776AC9">
              <w:rPr>
                <w:rFonts w:ascii="Arial" w:hAnsi="Arial" w:cs="Arial"/>
                <w:sz w:val="22"/>
                <w:szCs w:val="22"/>
              </w:rPr>
              <w:t>-Rata șomajului în rândul tinerilor se situează  sub valorile mediei naționale;</w:t>
            </w:r>
          </w:p>
          <w:p w:rsidR="00577B84" w:rsidRPr="00776AC9" w:rsidRDefault="00577B84" w:rsidP="008106B7">
            <w:pPr>
              <w:pStyle w:val="ListParagraph"/>
              <w:ind w:left="0"/>
              <w:contextualSpacing/>
              <w:jc w:val="both"/>
              <w:rPr>
                <w:rFonts w:ascii="Arial" w:hAnsi="Arial" w:cs="Arial"/>
                <w:sz w:val="22"/>
                <w:szCs w:val="22"/>
              </w:rPr>
            </w:pPr>
            <w:r w:rsidRPr="00776AC9">
              <w:rPr>
                <w:rFonts w:ascii="Arial" w:hAnsi="Arial" w:cs="Arial"/>
                <w:sz w:val="22"/>
                <w:szCs w:val="22"/>
              </w:rPr>
              <w:t>-Creșterea ponderii populației ocupate cu studii superioare și cu nivel mediu de pregatire;</w:t>
            </w:r>
          </w:p>
          <w:p w:rsidR="00577B84" w:rsidRPr="00776AC9" w:rsidRDefault="00577B84" w:rsidP="008106B7">
            <w:pPr>
              <w:pStyle w:val="ListParagraph"/>
              <w:ind w:left="0"/>
              <w:contextualSpacing/>
              <w:jc w:val="both"/>
              <w:rPr>
                <w:rFonts w:ascii="Arial" w:hAnsi="Arial" w:cs="Arial"/>
                <w:sz w:val="22"/>
                <w:szCs w:val="22"/>
              </w:rPr>
            </w:pPr>
            <w:r w:rsidRPr="00776AC9">
              <w:rPr>
                <w:rFonts w:ascii="Arial" w:hAnsi="Arial" w:cs="Arial"/>
                <w:sz w:val="22"/>
                <w:szCs w:val="22"/>
              </w:rPr>
              <w:t>-Scăderea ponderii persoanelor cu nivel scăzut de pregatire (gimnazial și primar sau fără școală absolvită);</w:t>
            </w:r>
          </w:p>
          <w:p w:rsidR="00577B84" w:rsidRPr="00776AC9" w:rsidRDefault="00577B84" w:rsidP="008106B7">
            <w:pPr>
              <w:pStyle w:val="ListParagraph"/>
              <w:ind w:left="0"/>
              <w:contextualSpacing/>
              <w:jc w:val="both"/>
              <w:rPr>
                <w:rFonts w:ascii="Arial" w:hAnsi="Arial" w:cs="Arial"/>
                <w:sz w:val="22"/>
                <w:szCs w:val="22"/>
              </w:rPr>
            </w:pPr>
            <w:r w:rsidRPr="00776AC9">
              <w:rPr>
                <w:rFonts w:ascii="Arial" w:hAnsi="Arial" w:cs="Arial"/>
                <w:sz w:val="22"/>
                <w:szCs w:val="22"/>
              </w:rPr>
              <w:t>-Regiunea Vest se situează pe locul al doilea, dup</w:t>
            </w:r>
            <w:r w:rsidR="008106B7">
              <w:rPr>
                <w:rFonts w:ascii="Arial" w:hAnsi="Arial" w:cs="Arial"/>
                <w:sz w:val="22"/>
                <w:szCs w:val="22"/>
              </w:rPr>
              <w:t>ă</w:t>
            </w:r>
            <w:r w:rsidRPr="00776AC9">
              <w:rPr>
                <w:rFonts w:ascii="Arial" w:hAnsi="Arial" w:cs="Arial"/>
                <w:sz w:val="22"/>
                <w:szCs w:val="22"/>
              </w:rPr>
              <w:t xml:space="preserve"> București-Ilfov în ce privește rata șomajului înregistrat;</w:t>
            </w:r>
          </w:p>
          <w:p w:rsidR="00577B84" w:rsidRPr="00776AC9" w:rsidRDefault="00577B84" w:rsidP="008106B7">
            <w:pPr>
              <w:pStyle w:val="ListParagraph"/>
              <w:ind w:left="0"/>
              <w:contextualSpacing/>
              <w:jc w:val="both"/>
              <w:rPr>
                <w:rFonts w:ascii="Arial" w:hAnsi="Arial" w:cs="Arial"/>
                <w:sz w:val="22"/>
                <w:szCs w:val="22"/>
              </w:rPr>
            </w:pPr>
            <w:r w:rsidRPr="00776AC9">
              <w:rPr>
                <w:rFonts w:ascii="Arial" w:eastAsia="Times New Roman" w:hAnsi="Arial" w:cs="Arial"/>
                <w:bCs/>
                <w:sz w:val="22"/>
                <w:szCs w:val="22"/>
              </w:rPr>
              <w:t xml:space="preserve">-În Regiunea Vest gradul de cuprindere în învățământ a populației de vârstă 15-18 ani, are cea mai mare valoare de 79,9% la nivel național, </w:t>
            </w:r>
            <w:r w:rsidRPr="00776AC9">
              <w:rPr>
                <w:rFonts w:ascii="Arial" w:eastAsia="Times New Roman" w:hAnsi="Arial" w:cs="Arial"/>
                <w:b/>
                <w:bCs/>
                <w:sz w:val="22"/>
                <w:szCs w:val="22"/>
              </w:rPr>
              <w:t>în fiecare an școlar supus analizei, însă este îngrijorător faptul că indicatorul prezintă un trend descrescător de la 80,1% (2007-2008) la 79,9% (2015-2016);</w:t>
            </w:r>
          </w:p>
          <w:p w:rsidR="00577B84" w:rsidRPr="00776AC9" w:rsidRDefault="00577B84" w:rsidP="008106B7">
            <w:pPr>
              <w:pStyle w:val="ListParagraph"/>
              <w:ind w:left="0"/>
              <w:contextualSpacing/>
              <w:jc w:val="both"/>
              <w:rPr>
                <w:rFonts w:ascii="Arial" w:hAnsi="Arial" w:cs="Arial"/>
                <w:sz w:val="22"/>
                <w:szCs w:val="22"/>
              </w:rPr>
            </w:pPr>
            <w:r w:rsidRPr="00776AC9">
              <w:rPr>
                <w:rFonts w:ascii="Arial" w:hAnsi="Arial" w:cs="Arial"/>
                <w:sz w:val="22"/>
                <w:szCs w:val="22"/>
              </w:rPr>
              <w:t>-Odată cu măsurile d</w:t>
            </w:r>
            <w:r w:rsidR="00A80192">
              <w:rPr>
                <w:rFonts w:ascii="Arial" w:hAnsi="Arial" w:cs="Arial"/>
                <w:sz w:val="22"/>
                <w:szCs w:val="22"/>
              </w:rPr>
              <w:t xml:space="preserve">e revigorare ale învățământului profesional, </w:t>
            </w:r>
            <w:r w:rsidRPr="00776AC9">
              <w:rPr>
                <w:rFonts w:ascii="Arial" w:hAnsi="Arial" w:cs="Arial"/>
                <w:sz w:val="22"/>
                <w:szCs w:val="22"/>
              </w:rPr>
              <w:t xml:space="preserve">(reînființarea claselor de învățământ profesional, începând cu clasa a X-a; reînființarea claselor de învățământ profesional de 3 ani, după finalizarea clasei a VIII-a), evoluția numărului de elevi se redresează; </w:t>
            </w:r>
          </w:p>
          <w:p w:rsidR="00577B84" w:rsidRPr="00776AC9" w:rsidRDefault="00577B84" w:rsidP="008106B7">
            <w:pPr>
              <w:pStyle w:val="ListParagraph"/>
              <w:ind w:left="0"/>
              <w:contextualSpacing/>
              <w:jc w:val="both"/>
              <w:rPr>
                <w:rFonts w:ascii="Arial" w:hAnsi="Arial" w:cs="Arial"/>
                <w:sz w:val="22"/>
                <w:szCs w:val="22"/>
              </w:rPr>
            </w:pPr>
            <w:r w:rsidRPr="00776AC9">
              <w:rPr>
                <w:rFonts w:ascii="Arial" w:eastAsia="Times New Roman" w:hAnsi="Arial" w:cs="Arial"/>
                <w:sz w:val="22"/>
                <w:szCs w:val="22"/>
              </w:rPr>
              <w:t>-Rata netă de cuprindere în învățământul secundar superior, clasele XI-XII, anul III, în Regiunea Vest, a înregistrat o creștere cu 0,9 puncte procentuale de la 58% la 58,9%;</w:t>
            </w:r>
          </w:p>
          <w:p w:rsidR="00577B84" w:rsidRPr="00776AC9" w:rsidRDefault="00577B84" w:rsidP="008106B7">
            <w:pPr>
              <w:pStyle w:val="ListParagraph"/>
              <w:ind w:left="0"/>
              <w:contextualSpacing/>
              <w:jc w:val="both"/>
              <w:rPr>
                <w:rFonts w:ascii="Arial" w:hAnsi="Arial" w:cs="Arial"/>
                <w:sz w:val="22"/>
                <w:szCs w:val="22"/>
              </w:rPr>
            </w:pPr>
            <w:r w:rsidRPr="00776AC9">
              <w:rPr>
                <w:rFonts w:ascii="Arial" w:hAnsi="Arial" w:cs="Arial"/>
                <w:sz w:val="22"/>
                <w:szCs w:val="22"/>
              </w:rPr>
              <w:t xml:space="preserve">-În perioada 2007-2008/2014-2015, rata de tranziţie în învăţământul secundar superior a înregistrat un trend ascendent ajungând în </w:t>
            </w:r>
            <w:r w:rsidRPr="00776AC9">
              <w:rPr>
                <w:rFonts w:ascii="Arial" w:hAnsi="Arial" w:cs="Arial"/>
                <w:sz w:val="22"/>
                <w:szCs w:val="22"/>
              </w:rPr>
              <w:lastRenderedPageBreak/>
              <w:t xml:space="preserve">anul 2014-2015 la o pondere de 100,7%. </w:t>
            </w:r>
          </w:p>
          <w:p w:rsidR="00577B84" w:rsidRPr="00776AC9" w:rsidRDefault="00577B84" w:rsidP="008106B7">
            <w:pPr>
              <w:pStyle w:val="ListParagraph"/>
              <w:ind w:left="0"/>
              <w:contextualSpacing/>
              <w:jc w:val="both"/>
              <w:rPr>
                <w:rFonts w:ascii="Arial" w:hAnsi="Arial" w:cs="Arial"/>
                <w:sz w:val="22"/>
                <w:szCs w:val="22"/>
              </w:rPr>
            </w:pPr>
            <w:r w:rsidRPr="00776AC9">
              <w:rPr>
                <w:rFonts w:ascii="Arial" w:hAnsi="Arial" w:cs="Arial"/>
                <w:sz w:val="22"/>
                <w:szCs w:val="22"/>
              </w:rPr>
              <w:t xml:space="preserve">-In perioada 2007-2008/2014-2015 rata de tranziție în învățământul secundar superior a înregistrat un trend ascendant, ajungând la sfârșitul perioadei analizate la o pondere de 100,7%; </w:t>
            </w:r>
          </w:p>
          <w:p w:rsidR="00577B84" w:rsidRPr="00776AC9" w:rsidRDefault="00577B84" w:rsidP="008106B7">
            <w:pPr>
              <w:pStyle w:val="ListParagraph"/>
              <w:ind w:left="0"/>
              <w:contextualSpacing/>
              <w:jc w:val="both"/>
              <w:rPr>
                <w:rFonts w:ascii="Arial" w:hAnsi="Arial" w:cs="Arial"/>
                <w:sz w:val="22"/>
                <w:szCs w:val="22"/>
              </w:rPr>
            </w:pPr>
            <w:r w:rsidRPr="00776AC9">
              <w:rPr>
                <w:rFonts w:ascii="Arial" w:hAnsi="Arial" w:cs="Arial"/>
                <w:sz w:val="22"/>
                <w:szCs w:val="22"/>
              </w:rPr>
              <w:t xml:space="preserve">- Față de planul de școlarizare realizat în 2016-2017, județele s-au străduit să elaboreze o ofertă  pentru anul școlar 2017-2018 mai bine corelată cu țintele asumate; astfel fiecare județ a crescut ponderea pentru ÎPT astfel: Arad cu 5,1 puncte procentuale, Caraș Severin cu 2,8 puncte procentuale, Hunedoara cu 3,3 puncte procentuale; însă județul Timiș este o excepție prin scăderea ponderii cu 1,6%. </w:t>
            </w:r>
          </w:p>
          <w:p w:rsidR="00577B84" w:rsidRPr="00776AC9" w:rsidRDefault="00577B84" w:rsidP="008106B7">
            <w:pPr>
              <w:pStyle w:val="ListParagraph"/>
              <w:ind w:left="0"/>
              <w:contextualSpacing/>
              <w:jc w:val="both"/>
              <w:rPr>
                <w:rFonts w:ascii="Arial" w:hAnsi="Arial" w:cs="Arial"/>
                <w:sz w:val="22"/>
                <w:szCs w:val="22"/>
              </w:rPr>
            </w:pPr>
            <w:r w:rsidRPr="00776AC9">
              <w:rPr>
                <w:rFonts w:ascii="Arial" w:hAnsi="Arial" w:cs="Arial"/>
                <w:sz w:val="22"/>
                <w:szCs w:val="22"/>
              </w:rPr>
              <w:t>-</w:t>
            </w:r>
            <w:r w:rsidRPr="00776AC9">
              <w:rPr>
                <w:rFonts w:ascii="Arial" w:hAnsi="Arial" w:cs="Arial"/>
                <w:i/>
                <w:sz w:val="22"/>
                <w:szCs w:val="22"/>
              </w:rPr>
              <w:t xml:space="preserve"> </w:t>
            </w:r>
            <w:r w:rsidRPr="00776AC9">
              <w:rPr>
                <w:rFonts w:ascii="Arial" w:hAnsi="Arial" w:cs="Arial"/>
                <w:sz w:val="22"/>
                <w:szCs w:val="22"/>
              </w:rPr>
              <w:t>În oferta 2017-2018 a fiecărui județ a fost inclus și învățămantul dual, cu ponderi județene cu valori cuprinse între limitele 2,1% și 6,1%;</w:t>
            </w:r>
          </w:p>
          <w:p w:rsidR="00577B84" w:rsidRPr="00776AC9" w:rsidRDefault="00577B84" w:rsidP="008106B7">
            <w:pPr>
              <w:pStyle w:val="ListParagraph"/>
              <w:ind w:left="0"/>
              <w:contextualSpacing/>
              <w:jc w:val="both"/>
              <w:rPr>
                <w:rFonts w:ascii="Arial" w:hAnsi="Arial" w:cs="Arial"/>
                <w:sz w:val="22"/>
                <w:szCs w:val="22"/>
              </w:rPr>
            </w:pPr>
            <w:r w:rsidRPr="00776AC9">
              <w:rPr>
                <w:rFonts w:ascii="Arial" w:hAnsi="Arial" w:cs="Arial"/>
                <w:sz w:val="22"/>
                <w:szCs w:val="22"/>
              </w:rPr>
              <w:t>- Ponderea maximă pentru învățământul dual în oferta 2017-2018 este propusă de județul Caraș - Severin (6,1%)</w:t>
            </w:r>
          </w:p>
          <w:p w:rsidR="00577B84" w:rsidRPr="00776AC9" w:rsidRDefault="00577B84" w:rsidP="008106B7">
            <w:pPr>
              <w:pStyle w:val="ListParagraph"/>
              <w:ind w:left="0"/>
              <w:contextualSpacing/>
              <w:jc w:val="both"/>
              <w:rPr>
                <w:rFonts w:ascii="Arial" w:hAnsi="Arial" w:cs="Arial"/>
                <w:sz w:val="22"/>
                <w:szCs w:val="22"/>
              </w:rPr>
            </w:pPr>
            <w:r w:rsidRPr="00776AC9">
              <w:rPr>
                <w:rFonts w:ascii="Arial" w:hAnsi="Arial" w:cs="Arial"/>
                <w:sz w:val="22"/>
                <w:szCs w:val="22"/>
              </w:rPr>
              <w:t>- Ca răspuns la solicitarile angajatorilor ( prin contracte pentru instruire practică</w:t>
            </w:r>
            <w:r w:rsidRPr="002D2B05">
              <w:rPr>
                <w:rFonts w:ascii="Arial" w:hAnsi="Arial" w:cs="Arial"/>
                <w:sz w:val="22"/>
                <w:szCs w:val="22"/>
              </w:rPr>
              <w:t xml:space="preserve">) în propunerile pentru anul școlar 2017-2018 </w:t>
            </w:r>
            <w:r w:rsidRPr="00776AC9">
              <w:rPr>
                <w:rFonts w:ascii="Arial" w:hAnsi="Arial" w:cs="Arial"/>
                <w:sz w:val="22"/>
                <w:szCs w:val="22"/>
              </w:rPr>
              <w:t>a crescut ponderea ofertei pentru școala  profesională în fiecare județ, cu 4,5% (Arad), 5,9% (Caraș Severin) și 3,4% (Hunedoara), cu excepția județului Timiș unde ponderea a scazut cu 5,1 puncte procentuale;</w:t>
            </w:r>
          </w:p>
          <w:p w:rsidR="00577B84" w:rsidRPr="00776AC9" w:rsidRDefault="00577B84" w:rsidP="008106B7">
            <w:pPr>
              <w:pStyle w:val="ListParagraph"/>
              <w:ind w:left="0"/>
              <w:jc w:val="both"/>
              <w:rPr>
                <w:rFonts w:ascii="Arial" w:hAnsi="Arial" w:cs="Arial"/>
                <w:sz w:val="22"/>
                <w:szCs w:val="22"/>
              </w:rPr>
            </w:pPr>
            <w:r w:rsidRPr="00776AC9">
              <w:rPr>
                <w:rFonts w:ascii="Arial" w:hAnsi="Arial" w:cs="Arial"/>
                <w:sz w:val="22"/>
                <w:szCs w:val="22"/>
              </w:rPr>
              <w:t xml:space="preserve">-Pentru anul școlar 2017-2018 solicitarile operatorilor econpomici au fost onorate 100%, în județele Arad, Caraș Severin și Hunedoara.  </w:t>
            </w:r>
          </w:p>
        </w:tc>
        <w:tc>
          <w:tcPr>
            <w:tcW w:w="0" w:type="auto"/>
          </w:tcPr>
          <w:p w:rsidR="00577B84" w:rsidRPr="00776AC9" w:rsidRDefault="00577B84" w:rsidP="008106B7">
            <w:pPr>
              <w:pStyle w:val="ListParagraph"/>
              <w:ind w:left="0"/>
              <w:contextualSpacing/>
              <w:jc w:val="both"/>
              <w:rPr>
                <w:rFonts w:ascii="Arial" w:hAnsi="Arial" w:cs="Arial"/>
                <w:sz w:val="22"/>
                <w:szCs w:val="22"/>
              </w:rPr>
            </w:pPr>
            <w:r w:rsidRPr="00776AC9">
              <w:rPr>
                <w:rFonts w:ascii="Arial" w:hAnsi="Arial" w:cs="Arial"/>
                <w:sz w:val="22"/>
                <w:szCs w:val="22"/>
              </w:rPr>
              <w:lastRenderedPageBreak/>
              <w:t>-Scăderea îngrijorătoare a populației tinere (grupele de vârstă 15-19 ani și 20-24 ani);</w:t>
            </w:r>
          </w:p>
          <w:p w:rsidR="00577B84" w:rsidRPr="00776AC9" w:rsidRDefault="00577B84" w:rsidP="008106B7">
            <w:pPr>
              <w:pStyle w:val="ListParagraph"/>
              <w:ind w:left="0"/>
              <w:contextualSpacing/>
              <w:jc w:val="both"/>
              <w:rPr>
                <w:rFonts w:ascii="Arial" w:hAnsi="Arial" w:cs="Arial"/>
                <w:sz w:val="22"/>
                <w:szCs w:val="22"/>
              </w:rPr>
            </w:pPr>
            <w:r w:rsidRPr="00776AC9">
              <w:rPr>
                <w:rFonts w:ascii="Arial" w:hAnsi="Arial" w:cs="Arial"/>
                <w:sz w:val="22"/>
                <w:szCs w:val="22"/>
              </w:rPr>
              <w:t xml:space="preserve">-Proces accentuat de </w:t>
            </w:r>
            <w:r w:rsidRPr="00776AC9">
              <w:rPr>
                <w:rFonts w:ascii="Arial" w:hAnsi="Arial" w:cs="Arial"/>
                <w:sz w:val="22"/>
                <w:szCs w:val="22"/>
                <w:lang w:val="ro-RO"/>
              </w:rPr>
              <w:t>î</w:t>
            </w:r>
            <w:r w:rsidRPr="00776AC9">
              <w:rPr>
                <w:rFonts w:ascii="Arial" w:hAnsi="Arial" w:cs="Arial"/>
                <w:sz w:val="22"/>
                <w:szCs w:val="22"/>
              </w:rPr>
              <w:t>mbătrânire a populației cu 13,67% față de media națională;</w:t>
            </w:r>
          </w:p>
          <w:p w:rsidR="00577B84" w:rsidRPr="00776AC9" w:rsidRDefault="0050550C" w:rsidP="008106B7">
            <w:pPr>
              <w:pStyle w:val="ListParagraph"/>
              <w:ind w:left="0"/>
              <w:contextualSpacing/>
              <w:jc w:val="both"/>
              <w:rPr>
                <w:rFonts w:ascii="Arial" w:hAnsi="Arial" w:cs="Arial"/>
                <w:sz w:val="22"/>
                <w:szCs w:val="22"/>
              </w:rPr>
            </w:pPr>
            <w:r>
              <w:rPr>
                <w:rFonts w:ascii="Arial" w:hAnsi="Arial" w:cs="Arial"/>
                <w:sz w:val="22"/>
                <w:szCs w:val="22"/>
              </w:rPr>
              <w:t>-</w:t>
            </w:r>
            <w:r w:rsidR="00577B84" w:rsidRPr="00776AC9">
              <w:rPr>
                <w:rFonts w:ascii="Arial" w:hAnsi="Arial" w:cs="Arial"/>
                <w:sz w:val="22"/>
                <w:szCs w:val="22"/>
              </w:rPr>
              <w:t>Creșterea ponderii populației în mediul rural (grupele de vârstă 15-19 ani respectiv 20-24 ani ) în condițiile unui grad de urbanizare crescut peste media națională;</w:t>
            </w:r>
          </w:p>
          <w:p w:rsidR="00577B84" w:rsidRPr="00776AC9" w:rsidRDefault="00577B84" w:rsidP="008106B7">
            <w:pPr>
              <w:jc w:val="both"/>
              <w:rPr>
                <w:rFonts w:ascii="Arial" w:hAnsi="Arial" w:cs="Arial"/>
              </w:rPr>
            </w:pPr>
            <w:r w:rsidRPr="00776AC9">
              <w:rPr>
                <w:rFonts w:ascii="Arial" w:hAnsi="Arial" w:cs="Arial"/>
              </w:rPr>
              <w:t xml:space="preserve">-Din numărul total de emigranți grupa de vârstă 15-19 ani reprezintă aproximativ 6%, iar cel de 20-24 de ani aproximativ 11%, similar cu valorile naționale. Acest fenomen influențează în sens de descreștere populația de vârstă școlară; </w:t>
            </w:r>
          </w:p>
          <w:p w:rsidR="00577B84" w:rsidRPr="00776AC9" w:rsidRDefault="00577B84" w:rsidP="008106B7">
            <w:pPr>
              <w:jc w:val="both"/>
              <w:rPr>
                <w:rFonts w:ascii="Arial" w:hAnsi="Arial" w:cs="Arial"/>
              </w:rPr>
            </w:pPr>
            <w:r w:rsidRPr="00776AC9">
              <w:rPr>
                <w:rFonts w:ascii="Arial" w:hAnsi="Arial" w:cs="Arial"/>
              </w:rPr>
              <w:t>-Limitarea diversificării calificărilor datorită scăderii numărului de elevi</w:t>
            </w:r>
          </w:p>
          <w:p w:rsidR="00577B84" w:rsidRPr="00776AC9" w:rsidRDefault="00577B84" w:rsidP="008106B7">
            <w:pPr>
              <w:jc w:val="both"/>
              <w:rPr>
                <w:rFonts w:ascii="Arial" w:hAnsi="Arial" w:cs="Arial"/>
              </w:rPr>
            </w:pPr>
            <w:r w:rsidRPr="00776AC9">
              <w:rPr>
                <w:rFonts w:ascii="Arial" w:hAnsi="Arial" w:cs="Arial"/>
              </w:rPr>
              <w:t>-Prag crescut a populației de etnie romă fără școală absolvită sau persoane analfabete;</w:t>
            </w:r>
          </w:p>
          <w:p w:rsidR="00577B84" w:rsidRPr="00776AC9" w:rsidRDefault="00577B84" w:rsidP="008106B7">
            <w:pPr>
              <w:jc w:val="both"/>
              <w:rPr>
                <w:rFonts w:ascii="Arial" w:hAnsi="Arial" w:cs="Arial"/>
              </w:rPr>
            </w:pPr>
            <w:r w:rsidRPr="00776AC9">
              <w:rPr>
                <w:rFonts w:ascii="Arial" w:hAnsi="Arial" w:cs="Arial"/>
              </w:rPr>
              <w:t>-PIB-ul pe locuitor în regiune se situează sub valorile UE27;</w:t>
            </w:r>
          </w:p>
          <w:p w:rsidR="00577B84" w:rsidRPr="00776AC9" w:rsidRDefault="00577B84" w:rsidP="008106B7">
            <w:pPr>
              <w:jc w:val="both"/>
              <w:rPr>
                <w:rFonts w:ascii="Arial" w:hAnsi="Arial" w:cs="Arial"/>
              </w:rPr>
            </w:pPr>
            <w:r w:rsidRPr="00776AC9">
              <w:rPr>
                <w:rFonts w:ascii="Arial" w:hAnsi="Arial" w:cs="Arial"/>
              </w:rPr>
              <w:t>-Scăderea populației active cât și a populației ocupate;</w:t>
            </w:r>
          </w:p>
          <w:p w:rsidR="00577B84" w:rsidRPr="00776AC9" w:rsidRDefault="00577B84" w:rsidP="008106B7">
            <w:pPr>
              <w:jc w:val="both"/>
              <w:rPr>
                <w:rFonts w:ascii="Arial" w:hAnsi="Arial" w:cs="Arial"/>
              </w:rPr>
            </w:pPr>
            <w:r w:rsidRPr="00776AC9">
              <w:rPr>
                <w:rFonts w:ascii="Arial" w:hAnsi="Arial" w:cs="Arial"/>
              </w:rPr>
              <w:t xml:space="preserve">-Tendință de descreștere îngrijorătoare a ratei de activitate pentru persoanele în vârstă de 15-24 ani; </w:t>
            </w:r>
          </w:p>
          <w:p w:rsidR="00577B84" w:rsidRPr="00776AC9" w:rsidRDefault="00577B84" w:rsidP="008106B7">
            <w:pPr>
              <w:jc w:val="both"/>
              <w:rPr>
                <w:rFonts w:ascii="Arial" w:hAnsi="Arial" w:cs="Arial"/>
              </w:rPr>
            </w:pPr>
            <w:r w:rsidRPr="00776AC9">
              <w:rPr>
                <w:rFonts w:ascii="Arial" w:hAnsi="Arial" w:cs="Arial"/>
              </w:rPr>
              <w:t>-Scăderea ratei de ocupare în rândul tinerilor din  mediul rural;</w:t>
            </w:r>
          </w:p>
          <w:p w:rsidR="00577B84" w:rsidRPr="00776AC9" w:rsidRDefault="00577B84" w:rsidP="008106B7">
            <w:pPr>
              <w:jc w:val="both"/>
              <w:rPr>
                <w:rFonts w:ascii="Arial" w:hAnsi="Arial" w:cs="Arial"/>
              </w:rPr>
            </w:pPr>
            <w:r w:rsidRPr="00776AC9">
              <w:rPr>
                <w:rFonts w:ascii="Arial" w:hAnsi="Arial" w:cs="Arial"/>
              </w:rPr>
              <w:t>-Ponderea populației active cu studii superioare se situează sub valorile UE27</w:t>
            </w:r>
          </w:p>
          <w:p w:rsidR="00577B84" w:rsidRPr="00776AC9" w:rsidRDefault="00577B84" w:rsidP="008106B7">
            <w:pPr>
              <w:jc w:val="both"/>
              <w:rPr>
                <w:rFonts w:ascii="Arial" w:hAnsi="Arial" w:cs="Arial"/>
              </w:rPr>
            </w:pPr>
            <w:r w:rsidRPr="00776AC9">
              <w:rPr>
                <w:rFonts w:ascii="Arial" w:hAnsi="Arial" w:cs="Arial"/>
              </w:rPr>
              <w:t>-La nivel național, Regiunea Vest se situează  pe ultimul loc în ceea ce privește resursele de muncă;</w:t>
            </w:r>
          </w:p>
          <w:p w:rsidR="00577B84" w:rsidRPr="00776AC9" w:rsidRDefault="00577B84" w:rsidP="008106B7">
            <w:pPr>
              <w:jc w:val="both"/>
              <w:rPr>
                <w:rFonts w:ascii="Arial" w:hAnsi="Arial" w:cs="Arial"/>
              </w:rPr>
            </w:pPr>
            <w:r w:rsidRPr="00776AC9">
              <w:rPr>
                <w:rFonts w:ascii="Arial" w:hAnsi="Arial" w:cs="Arial"/>
              </w:rPr>
              <w:t>-</w:t>
            </w:r>
            <w:r w:rsidRPr="00776AC9">
              <w:rPr>
                <w:rFonts w:ascii="Arial" w:hAnsi="Arial" w:cs="Arial"/>
                <w:iCs/>
                <w:lang w:val="fr-FR"/>
              </w:rPr>
              <w:t xml:space="preserve">Ponderea foarte scăzută a populaţiei ocupate în domeniul construcții ; </w:t>
            </w:r>
          </w:p>
          <w:p w:rsidR="00577B84" w:rsidRPr="00776AC9" w:rsidRDefault="00577B84" w:rsidP="008106B7">
            <w:pPr>
              <w:jc w:val="both"/>
              <w:rPr>
                <w:rFonts w:ascii="Arial" w:hAnsi="Arial" w:cs="Arial"/>
              </w:rPr>
            </w:pPr>
            <w:r w:rsidRPr="00776AC9">
              <w:rPr>
                <w:rFonts w:ascii="Arial" w:hAnsi="Arial" w:cs="Arial"/>
              </w:rPr>
              <w:t>-</w:t>
            </w:r>
            <w:r w:rsidRPr="00776AC9">
              <w:rPr>
                <w:rFonts w:ascii="Arial" w:hAnsi="Arial" w:cs="Arial"/>
                <w:bCs/>
              </w:rPr>
              <w:t>O creștere îngrijorătoare pentru grupa de vârstă 55-64 de ani, care sunt inactiv într-o pondere de peste 60%, cu maximul de 65,1% în 2015;</w:t>
            </w:r>
          </w:p>
          <w:p w:rsidR="00577B84" w:rsidRPr="00776AC9" w:rsidRDefault="00577B84" w:rsidP="008106B7">
            <w:pPr>
              <w:jc w:val="both"/>
              <w:rPr>
                <w:rFonts w:ascii="Arial" w:hAnsi="Arial" w:cs="Arial"/>
                <w:bCs/>
              </w:rPr>
            </w:pPr>
            <w:r w:rsidRPr="00776AC9">
              <w:rPr>
                <w:rFonts w:ascii="Arial" w:hAnsi="Arial" w:cs="Arial"/>
                <w:bCs/>
              </w:rPr>
              <w:t>-Resursele de muncă ( în mii de persoane) plasează Regiunea Vest pe ultimul loc la nivel național;</w:t>
            </w:r>
          </w:p>
          <w:p w:rsidR="00577B84" w:rsidRPr="00776AC9" w:rsidRDefault="00577B84" w:rsidP="008106B7">
            <w:pPr>
              <w:jc w:val="both"/>
              <w:rPr>
                <w:rFonts w:ascii="Arial" w:hAnsi="Arial" w:cs="Arial"/>
              </w:rPr>
            </w:pPr>
            <w:r w:rsidRPr="00776AC9">
              <w:rPr>
                <w:rFonts w:ascii="Arial" w:hAnsi="Arial" w:cs="Arial"/>
                <w:bCs/>
              </w:rPr>
              <w:t>-</w:t>
            </w:r>
            <w:r w:rsidRPr="00776AC9">
              <w:rPr>
                <w:rFonts w:ascii="Arial" w:hAnsi="Arial" w:cs="Arial"/>
              </w:rPr>
              <w:t>In ceea ce priveste distribuția șomerilor pe nivel de educație pe nivele de educație,  cea mai afectată categorie și totodată expusă riscului este cea a tinerilor cu nivel de educație primar, gimnazial și profesional;</w:t>
            </w:r>
          </w:p>
          <w:p w:rsidR="00577B84" w:rsidRPr="00776AC9" w:rsidRDefault="00577B84" w:rsidP="008106B7">
            <w:pPr>
              <w:jc w:val="both"/>
              <w:rPr>
                <w:rFonts w:ascii="Arial" w:hAnsi="Arial" w:cs="Arial"/>
              </w:rPr>
            </w:pPr>
            <w:r w:rsidRPr="00776AC9">
              <w:rPr>
                <w:rFonts w:ascii="Arial" w:eastAsia="Times New Roman" w:hAnsi="Arial" w:cs="Arial"/>
                <w:bCs/>
              </w:rPr>
              <w:t>-Regiunea Vest are cel mai mic număr de elevi înscriși la începutul anului școlar în unitățile de învățământ proprietate publică</w:t>
            </w:r>
            <w:r w:rsidRPr="00776AC9">
              <w:rPr>
                <w:rFonts w:ascii="Arial" w:hAnsi="Arial" w:cs="Arial"/>
              </w:rPr>
              <w:t xml:space="preserve">  (proportional cu ponderea locuitorilor regiunii);</w:t>
            </w:r>
          </w:p>
          <w:p w:rsidR="00577B84" w:rsidRPr="00776AC9" w:rsidRDefault="00577B84" w:rsidP="008106B7">
            <w:pPr>
              <w:jc w:val="both"/>
              <w:rPr>
                <w:rFonts w:ascii="Arial" w:hAnsi="Arial" w:cs="Arial"/>
              </w:rPr>
            </w:pPr>
            <w:r w:rsidRPr="00776AC9">
              <w:rPr>
                <w:rFonts w:ascii="Arial" w:hAnsi="Arial" w:cs="Arial"/>
              </w:rPr>
              <w:lastRenderedPageBreak/>
              <w:t>-Ponderea învățământului liceal teoretic și vocațional situează Regiunea Vest pe ultimul loc (46,9%) cu 3,3% sub ponderea națională;</w:t>
            </w:r>
          </w:p>
          <w:p w:rsidR="00577B84" w:rsidRPr="00776AC9" w:rsidRDefault="00577B84" w:rsidP="008106B7">
            <w:pPr>
              <w:jc w:val="both"/>
              <w:rPr>
                <w:rFonts w:ascii="Arial" w:hAnsi="Arial" w:cs="Arial"/>
              </w:rPr>
            </w:pPr>
            <w:r w:rsidRPr="00776AC9">
              <w:rPr>
                <w:rFonts w:ascii="Arial" w:hAnsi="Arial" w:cs="Arial"/>
              </w:rPr>
              <w:t>-Scăderea ponderii învațământului profesional și tehnic public și privat cu peste 10% în perioada 2005-2016;</w:t>
            </w:r>
          </w:p>
          <w:p w:rsidR="00577B84" w:rsidRPr="00776AC9" w:rsidRDefault="00577B84" w:rsidP="008106B7">
            <w:pPr>
              <w:jc w:val="both"/>
              <w:rPr>
                <w:rFonts w:ascii="Arial" w:hAnsi="Arial" w:cs="Arial"/>
              </w:rPr>
            </w:pPr>
            <w:r w:rsidRPr="00776AC9">
              <w:rPr>
                <w:rFonts w:ascii="Arial" w:hAnsi="Arial" w:cs="Arial"/>
              </w:rPr>
              <w:t>-La nivelul Regiunii Vest, învățământul superior reprezintă nivelul de învățământ cu o evoluție oscilantă a numărului de studenți în intervalul analizat;</w:t>
            </w:r>
          </w:p>
          <w:p w:rsidR="00577B84" w:rsidRPr="00776AC9" w:rsidRDefault="00577B84" w:rsidP="008106B7">
            <w:pPr>
              <w:jc w:val="both"/>
              <w:rPr>
                <w:rFonts w:ascii="Arial" w:hAnsi="Arial" w:cs="Arial"/>
              </w:rPr>
            </w:pPr>
            <w:r w:rsidRPr="00776AC9">
              <w:rPr>
                <w:rFonts w:ascii="Arial" w:hAnsi="Arial" w:cs="Arial"/>
              </w:rPr>
              <w:t xml:space="preserve">-În Regiunea Vest, rata abandonului școlar (învățământ liceal) a înregistrat o creștere, diferența dintre începutul și sfârșitul perioadei analizate fiind de 0,6 puncte procentuale, de la 3,3% în 2006-2007 la 3,9% în 2010-2011 dar a existat și o valoare minimă înregistrată de 2,2% în 2008-2009. În anul școlar 2010-2011, primul după anul intrării în lichidare a SAM-urilor și de preluare a locurilor la liceu, s-a înregistrat o creștere a procentului elevilor care au abandonat studiile liceale: ca urmare, în acest an școlar, rata abandonului a crescut de la 2,3% la 3,9%. Dacă valorile regionale sunt comparabile cu cele naționale, atunci la nivelul județelor se înregistrează diferențe semnificative, cu cele mai bune valori în județul Arad, și cele mai îngrijorătoare situații în Județul Timiș; </w:t>
            </w:r>
          </w:p>
          <w:p w:rsidR="00577B84" w:rsidRPr="00776AC9" w:rsidRDefault="00577B84" w:rsidP="008106B7">
            <w:pPr>
              <w:jc w:val="both"/>
              <w:rPr>
                <w:rFonts w:ascii="Arial" w:hAnsi="Arial" w:cs="Arial"/>
              </w:rPr>
            </w:pPr>
            <w:r w:rsidRPr="00776AC9">
              <w:rPr>
                <w:rFonts w:ascii="Arial" w:hAnsi="Arial" w:cs="Arial"/>
              </w:rPr>
              <w:t>-</w:t>
            </w:r>
            <w:r w:rsidRPr="00776AC9">
              <w:rPr>
                <w:rFonts w:ascii="Arial" w:eastAsia="Times New Roman" w:hAnsi="Arial" w:cs="Arial"/>
                <w:bCs/>
              </w:rPr>
              <w:t xml:space="preserve">Rata abandonului școlar pentru  învățământul  profesional  înregistrează o valoare de 14,3%  în creștere față de anul școlar anterior cu 8,5 puncte procentuale. </w:t>
            </w:r>
            <w:r w:rsidRPr="00776AC9">
              <w:rPr>
                <w:rFonts w:ascii="Arial" w:hAnsi="Arial" w:cs="Arial"/>
              </w:rPr>
              <w:t>Analizând valorile pentru Regiunea Vest, se observă că acestea se situează sub valoarea mediei naționale, iar în perioada 2008-2011 cu valori chiar sub media UE28. Însă în perioada 2011-2015 asistăm la o creștere a acestui indicator, chiar dacă ea se păstrează la o valoare mai mică decât media națională, ar fi util de analizat care au fenomenele în spatele acestei situații;</w:t>
            </w:r>
          </w:p>
          <w:p w:rsidR="00577B84" w:rsidRPr="00776AC9" w:rsidRDefault="00577B84" w:rsidP="008106B7">
            <w:pPr>
              <w:jc w:val="both"/>
              <w:rPr>
                <w:rFonts w:ascii="Arial" w:eastAsia="Times New Roman" w:hAnsi="Arial" w:cs="Arial"/>
              </w:rPr>
            </w:pPr>
            <w:r w:rsidRPr="00776AC9">
              <w:rPr>
                <w:rFonts w:ascii="Arial" w:hAnsi="Arial" w:cs="Arial"/>
              </w:rPr>
              <w:t xml:space="preserve">-În Regiunea Vest, </w:t>
            </w:r>
            <w:r w:rsidRPr="00776AC9">
              <w:rPr>
                <w:rFonts w:ascii="Arial" w:eastAsia="Times New Roman" w:hAnsi="Arial" w:cs="Arial"/>
              </w:rPr>
              <w:t>valoarea ratei brute de cuprindere în perioada analizată a manifestat o tendință oscilantă, 83,7 în 2007/8,  cu un maxim relatov de 86% în 2010/11 urmată de descreștere până la valoarea de 79,4% în 2015/16;</w:t>
            </w:r>
          </w:p>
          <w:p w:rsidR="00577B84" w:rsidRPr="00776AC9" w:rsidRDefault="00577B84" w:rsidP="008106B7">
            <w:pPr>
              <w:jc w:val="both"/>
              <w:rPr>
                <w:rFonts w:ascii="Arial" w:eastAsia="Times New Roman" w:hAnsi="Arial" w:cs="Arial"/>
              </w:rPr>
            </w:pPr>
            <w:r w:rsidRPr="00776AC9">
              <w:rPr>
                <w:rFonts w:ascii="Arial" w:hAnsi="Arial" w:cs="Arial"/>
                <w:i/>
              </w:rPr>
              <w:t>-</w:t>
            </w:r>
            <w:r w:rsidRPr="00776AC9">
              <w:rPr>
                <w:rFonts w:ascii="Arial" w:hAnsi="Arial" w:cs="Arial"/>
              </w:rPr>
              <w:t>În ceea ce privește ponderea pentru ÎPT planificat, ofertele se afla SUB ținta de 60 %, cu diferențe de 5,5 puncte procentuale (Caraș Severin) și 12,6 puncte procentuale (Timiș);</w:t>
            </w:r>
            <w:r w:rsidRPr="00776AC9">
              <w:rPr>
                <w:rFonts w:ascii="Arial" w:eastAsia="Times New Roman" w:hAnsi="Arial" w:cs="Arial"/>
              </w:rPr>
              <w:t xml:space="preserve"> </w:t>
            </w:r>
          </w:p>
          <w:p w:rsidR="00577B84" w:rsidRPr="00776AC9" w:rsidRDefault="00577B84" w:rsidP="008106B7">
            <w:pPr>
              <w:jc w:val="both"/>
              <w:rPr>
                <w:rFonts w:ascii="Arial" w:eastAsia="Times New Roman" w:hAnsi="Arial" w:cs="Arial"/>
                <w:color w:val="000000"/>
                <w:lang w:val="en-US"/>
              </w:rPr>
            </w:pPr>
            <w:r w:rsidRPr="00776AC9">
              <w:rPr>
                <w:rFonts w:ascii="Arial" w:eastAsia="Times New Roman" w:hAnsi="Arial" w:cs="Arial"/>
              </w:rPr>
              <w:t>-</w:t>
            </w:r>
            <w:r w:rsidRPr="00776AC9">
              <w:rPr>
                <w:rFonts w:ascii="Arial" w:eastAsia="Times New Roman" w:hAnsi="Arial" w:cs="Arial"/>
                <w:color w:val="000000"/>
                <w:lang w:val="en-US"/>
              </w:rPr>
              <w:t xml:space="preserve"> Planul propus pentru anul școlar 2017-2018 scade ponderea pentru învăţământ liceal tehnologic+ profesional + dual la 47,4%  la o distanța de 12,6  puncte procentuale față de ținta de 60%;</w:t>
            </w:r>
          </w:p>
          <w:p w:rsidR="00577B84" w:rsidRPr="00776AC9" w:rsidRDefault="00577B84" w:rsidP="008106B7">
            <w:pPr>
              <w:pStyle w:val="ListParagraph"/>
              <w:ind w:left="0"/>
              <w:jc w:val="both"/>
              <w:rPr>
                <w:rFonts w:ascii="Arial" w:hAnsi="Arial" w:cs="Arial"/>
                <w:sz w:val="22"/>
                <w:szCs w:val="22"/>
              </w:rPr>
            </w:pPr>
            <w:r w:rsidRPr="00776AC9">
              <w:rPr>
                <w:rFonts w:ascii="Arial" w:hAnsi="Arial" w:cs="Arial"/>
                <w:sz w:val="22"/>
                <w:szCs w:val="22"/>
              </w:rPr>
              <w:t xml:space="preserve">-Pentru anul școlar 2017-2018 solicitarile operatorilor economici în județul Timiș au fost </w:t>
            </w:r>
            <w:r w:rsidRPr="00776AC9">
              <w:rPr>
                <w:rFonts w:ascii="Arial" w:hAnsi="Arial" w:cs="Arial"/>
                <w:sz w:val="22"/>
                <w:szCs w:val="22"/>
              </w:rPr>
              <w:lastRenderedPageBreak/>
              <w:t xml:space="preserve">onorate cu rata de 83,6%, motivată prin numărul de elevi sub limita normativelor pentru constituirea unei clase. </w:t>
            </w:r>
          </w:p>
        </w:tc>
      </w:tr>
      <w:tr w:rsidR="00577B84" w:rsidRPr="0011157E" w:rsidTr="00211873">
        <w:tc>
          <w:tcPr>
            <w:tcW w:w="0" w:type="auto"/>
            <w:shd w:val="clear" w:color="auto" w:fill="00B0F0"/>
            <w:vAlign w:val="center"/>
          </w:tcPr>
          <w:p w:rsidR="00577B84" w:rsidRPr="00896493" w:rsidRDefault="00577B84" w:rsidP="00896493">
            <w:pPr>
              <w:jc w:val="center"/>
              <w:rPr>
                <w:rFonts w:ascii="Arial" w:hAnsi="Arial" w:cs="Arial"/>
                <w:b/>
                <w:sz w:val="24"/>
                <w:szCs w:val="24"/>
                <w:lang w:val="en-US"/>
              </w:rPr>
            </w:pPr>
            <w:r w:rsidRPr="00896493">
              <w:rPr>
                <w:rFonts w:ascii="Arial" w:hAnsi="Arial" w:cs="Arial"/>
                <w:b/>
                <w:sz w:val="24"/>
                <w:szCs w:val="24"/>
                <w:lang w:val="en-US"/>
              </w:rPr>
              <w:lastRenderedPageBreak/>
              <w:t>Oportunităț</w:t>
            </w:r>
            <w:r w:rsidR="00896493">
              <w:rPr>
                <w:rFonts w:ascii="Arial" w:hAnsi="Arial" w:cs="Arial"/>
                <w:b/>
                <w:sz w:val="24"/>
                <w:szCs w:val="24"/>
                <w:lang w:val="en-US"/>
              </w:rPr>
              <w:t>i</w:t>
            </w:r>
          </w:p>
        </w:tc>
        <w:tc>
          <w:tcPr>
            <w:tcW w:w="0" w:type="auto"/>
            <w:shd w:val="clear" w:color="auto" w:fill="00B0F0"/>
            <w:vAlign w:val="center"/>
          </w:tcPr>
          <w:p w:rsidR="00577B84" w:rsidRDefault="00577B84" w:rsidP="00896493">
            <w:pPr>
              <w:jc w:val="center"/>
              <w:rPr>
                <w:rFonts w:ascii="Arial" w:hAnsi="Arial" w:cs="Arial"/>
                <w:b/>
                <w:sz w:val="24"/>
                <w:szCs w:val="24"/>
                <w:lang w:val="en-US"/>
              </w:rPr>
            </w:pPr>
            <w:r w:rsidRPr="00896493">
              <w:rPr>
                <w:rFonts w:ascii="Arial" w:hAnsi="Arial" w:cs="Arial"/>
                <w:b/>
                <w:sz w:val="24"/>
                <w:szCs w:val="24"/>
                <w:lang w:val="en-US"/>
              </w:rPr>
              <w:t>Amenințări</w:t>
            </w:r>
          </w:p>
          <w:p w:rsidR="00896493" w:rsidRPr="00896493" w:rsidRDefault="00896493" w:rsidP="00896493">
            <w:pPr>
              <w:jc w:val="center"/>
              <w:rPr>
                <w:rFonts w:ascii="Arial" w:hAnsi="Arial" w:cs="Arial"/>
                <w:b/>
                <w:sz w:val="24"/>
                <w:szCs w:val="24"/>
                <w:lang w:val="en-US"/>
              </w:rPr>
            </w:pPr>
          </w:p>
        </w:tc>
      </w:tr>
      <w:tr w:rsidR="00577B84" w:rsidRPr="0011157E" w:rsidTr="00211873">
        <w:tc>
          <w:tcPr>
            <w:tcW w:w="0" w:type="auto"/>
          </w:tcPr>
          <w:p w:rsidR="00577B84" w:rsidRPr="00776AC9" w:rsidRDefault="00577B84" w:rsidP="000C6A67">
            <w:pPr>
              <w:pStyle w:val="ListParagraph"/>
              <w:ind w:left="0"/>
              <w:contextualSpacing/>
              <w:rPr>
                <w:rFonts w:ascii="Arial" w:hAnsi="Arial" w:cs="Arial"/>
                <w:sz w:val="22"/>
                <w:szCs w:val="22"/>
              </w:rPr>
            </w:pPr>
            <w:r w:rsidRPr="00776AC9">
              <w:rPr>
                <w:rFonts w:ascii="Arial" w:hAnsi="Arial" w:cs="Arial"/>
                <w:sz w:val="22"/>
                <w:szCs w:val="22"/>
              </w:rPr>
              <w:t xml:space="preserve">-Atragerea populației active corelată cu șansele de ocupare crescută; </w:t>
            </w:r>
          </w:p>
          <w:p w:rsidR="00577B84" w:rsidRPr="00776AC9" w:rsidRDefault="00577B84" w:rsidP="000C6A67">
            <w:pPr>
              <w:pStyle w:val="ListParagraph"/>
              <w:ind w:left="0"/>
              <w:contextualSpacing/>
              <w:rPr>
                <w:rFonts w:ascii="Arial" w:hAnsi="Arial" w:cs="Arial"/>
                <w:sz w:val="22"/>
                <w:szCs w:val="22"/>
              </w:rPr>
            </w:pPr>
            <w:r w:rsidRPr="00776AC9">
              <w:rPr>
                <w:rFonts w:ascii="Arial" w:hAnsi="Arial" w:cs="Arial"/>
                <w:sz w:val="22"/>
                <w:szCs w:val="22"/>
              </w:rPr>
              <w:t>-Migrația interna  regiunii este pozitivă</w:t>
            </w:r>
          </w:p>
          <w:p w:rsidR="00577B84" w:rsidRPr="00776AC9" w:rsidRDefault="00577B84" w:rsidP="000C6A67">
            <w:pPr>
              <w:pStyle w:val="ListParagraph"/>
              <w:ind w:left="0"/>
              <w:contextualSpacing/>
              <w:rPr>
                <w:rFonts w:ascii="Arial" w:hAnsi="Arial" w:cs="Arial"/>
                <w:sz w:val="22"/>
                <w:szCs w:val="22"/>
              </w:rPr>
            </w:pPr>
            <w:r w:rsidRPr="00776AC9">
              <w:rPr>
                <w:rFonts w:ascii="Arial" w:hAnsi="Arial" w:cs="Arial"/>
                <w:sz w:val="22"/>
                <w:szCs w:val="22"/>
              </w:rPr>
              <w:t>-Justificarea constituirii unor clase sau școli cu limba de predare a etniei respective;</w:t>
            </w:r>
          </w:p>
          <w:p w:rsidR="00577B84" w:rsidRPr="00776AC9" w:rsidRDefault="00577B84" w:rsidP="000C6A67">
            <w:pPr>
              <w:pStyle w:val="ListParagraph"/>
              <w:ind w:left="0"/>
              <w:contextualSpacing/>
              <w:rPr>
                <w:rFonts w:ascii="Arial" w:hAnsi="Arial" w:cs="Arial"/>
                <w:sz w:val="22"/>
                <w:szCs w:val="22"/>
              </w:rPr>
            </w:pPr>
            <w:r w:rsidRPr="00776AC9">
              <w:rPr>
                <w:rFonts w:ascii="Arial" w:hAnsi="Arial" w:cs="Arial"/>
                <w:sz w:val="22"/>
                <w:szCs w:val="22"/>
              </w:rPr>
              <w:t>-Trasee de formare profesională de tip “a doua șansă” pentru populația de etnie romă;</w:t>
            </w:r>
          </w:p>
          <w:p w:rsidR="00577B84" w:rsidRPr="00776AC9" w:rsidRDefault="00577B84" w:rsidP="000C6A67">
            <w:pPr>
              <w:pStyle w:val="ListParagraph"/>
              <w:ind w:left="0"/>
              <w:contextualSpacing/>
              <w:rPr>
                <w:rFonts w:ascii="Arial" w:hAnsi="Arial" w:cs="Arial"/>
                <w:sz w:val="22"/>
                <w:szCs w:val="22"/>
              </w:rPr>
            </w:pPr>
            <w:r w:rsidRPr="00776AC9">
              <w:rPr>
                <w:rFonts w:ascii="Arial" w:hAnsi="Arial" w:cs="Arial"/>
                <w:sz w:val="22"/>
                <w:szCs w:val="22"/>
              </w:rPr>
              <w:t>-Posibilitate mult mai mare  de a ocupa un loc de muncă pentru populația cu un nivel ridicat sau mediu de pregatire;</w:t>
            </w:r>
          </w:p>
          <w:p w:rsidR="00577B84" w:rsidRPr="00776AC9" w:rsidRDefault="00577B84" w:rsidP="000C6A67">
            <w:pPr>
              <w:pStyle w:val="ListParagraph"/>
              <w:ind w:left="0"/>
              <w:contextualSpacing/>
              <w:rPr>
                <w:rFonts w:ascii="Arial" w:hAnsi="Arial" w:cs="Arial"/>
                <w:sz w:val="22"/>
                <w:szCs w:val="22"/>
              </w:rPr>
            </w:pPr>
            <w:r w:rsidRPr="00776AC9">
              <w:rPr>
                <w:rFonts w:ascii="Arial" w:hAnsi="Arial" w:cs="Arial"/>
                <w:sz w:val="22"/>
                <w:szCs w:val="22"/>
              </w:rPr>
              <w:t>-Tendință de scădere a ratei șomajului, un semn al revigorării pieței muncii.</w:t>
            </w:r>
          </w:p>
          <w:p w:rsidR="00577B84" w:rsidRPr="00776AC9" w:rsidRDefault="00577B84" w:rsidP="000C6A67">
            <w:pPr>
              <w:pStyle w:val="ListParagraph"/>
              <w:ind w:left="0"/>
              <w:contextualSpacing/>
              <w:rPr>
                <w:rFonts w:ascii="Arial" w:hAnsi="Arial" w:cs="Arial"/>
                <w:sz w:val="22"/>
                <w:szCs w:val="22"/>
              </w:rPr>
            </w:pPr>
            <w:r w:rsidRPr="00776AC9">
              <w:rPr>
                <w:rFonts w:ascii="Arial" w:hAnsi="Arial" w:cs="Arial"/>
                <w:sz w:val="22"/>
                <w:szCs w:val="22"/>
              </w:rPr>
              <w:t>-Posibilitatea accesării (POSDRU) pentru dezvoltarea resurselor umane în  concordanţă cu cerinţele pieţei muncii.</w:t>
            </w:r>
          </w:p>
          <w:p w:rsidR="00577B84" w:rsidRPr="00776AC9" w:rsidRDefault="00577B84" w:rsidP="000C6A67">
            <w:pPr>
              <w:pStyle w:val="ListParagraph"/>
              <w:contextualSpacing/>
              <w:rPr>
                <w:rFonts w:ascii="Arial" w:hAnsi="Arial" w:cs="Arial"/>
                <w:sz w:val="22"/>
                <w:szCs w:val="22"/>
              </w:rPr>
            </w:pPr>
          </w:p>
          <w:p w:rsidR="00577B84" w:rsidRPr="00776AC9" w:rsidRDefault="00577B84" w:rsidP="000C6A67">
            <w:pPr>
              <w:pStyle w:val="ListParagraph"/>
              <w:rPr>
                <w:rFonts w:ascii="Arial" w:hAnsi="Arial" w:cs="Arial"/>
                <w:sz w:val="22"/>
                <w:szCs w:val="22"/>
              </w:rPr>
            </w:pPr>
            <w:r w:rsidRPr="00776AC9">
              <w:rPr>
                <w:rFonts w:ascii="Arial" w:hAnsi="Arial" w:cs="Arial"/>
                <w:sz w:val="22"/>
                <w:szCs w:val="22"/>
              </w:rPr>
              <w:t xml:space="preserve"> </w:t>
            </w:r>
          </w:p>
        </w:tc>
        <w:tc>
          <w:tcPr>
            <w:tcW w:w="0" w:type="auto"/>
          </w:tcPr>
          <w:p w:rsidR="00577B84" w:rsidRPr="00776AC9" w:rsidRDefault="00577B84" w:rsidP="000C6A67">
            <w:pPr>
              <w:pStyle w:val="ListParagraph"/>
              <w:ind w:left="0"/>
              <w:contextualSpacing/>
              <w:rPr>
                <w:rFonts w:ascii="Arial" w:hAnsi="Arial" w:cs="Arial"/>
                <w:sz w:val="22"/>
                <w:szCs w:val="22"/>
              </w:rPr>
            </w:pPr>
            <w:r w:rsidRPr="00776AC9">
              <w:rPr>
                <w:rFonts w:ascii="Arial" w:hAnsi="Arial" w:cs="Arial"/>
                <w:sz w:val="22"/>
                <w:szCs w:val="22"/>
              </w:rPr>
              <w:t xml:space="preserve">-Grad de îmbătrânire crescut al populației; </w:t>
            </w:r>
          </w:p>
          <w:p w:rsidR="00577B84" w:rsidRPr="00776AC9" w:rsidRDefault="00577B84" w:rsidP="000C6A67">
            <w:pPr>
              <w:pStyle w:val="ListParagraph"/>
              <w:ind w:left="0"/>
              <w:contextualSpacing/>
              <w:rPr>
                <w:rFonts w:ascii="Arial" w:hAnsi="Arial" w:cs="Arial"/>
                <w:sz w:val="22"/>
                <w:szCs w:val="22"/>
              </w:rPr>
            </w:pPr>
            <w:r w:rsidRPr="00776AC9">
              <w:rPr>
                <w:rFonts w:ascii="Arial" w:hAnsi="Arial" w:cs="Arial"/>
                <w:sz w:val="22"/>
                <w:szCs w:val="22"/>
              </w:rPr>
              <w:t>-Prag crescut a populației de etnie romă fără școală absolvită sau persoane analfabete;</w:t>
            </w:r>
          </w:p>
          <w:p w:rsidR="00577B84" w:rsidRPr="00776AC9" w:rsidRDefault="00577B84" w:rsidP="000C6A67">
            <w:pPr>
              <w:pStyle w:val="ListParagraph"/>
              <w:ind w:left="0"/>
              <w:contextualSpacing/>
              <w:rPr>
                <w:rFonts w:ascii="Arial" w:hAnsi="Arial" w:cs="Arial"/>
                <w:sz w:val="22"/>
                <w:szCs w:val="22"/>
              </w:rPr>
            </w:pPr>
            <w:r w:rsidRPr="00776AC9">
              <w:rPr>
                <w:rFonts w:ascii="Arial" w:hAnsi="Arial" w:cs="Arial"/>
                <w:sz w:val="22"/>
                <w:szCs w:val="22"/>
              </w:rPr>
              <w:t>-Descreșterea populației de vârstă școlară datorat fenomenului de emigrare;</w:t>
            </w:r>
          </w:p>
          <w:p w:rsidR="00577B84" w:rsidRPr="00776AC9" w:rsidRDefault="00577B84" w:rsidP="000C6A67">
            <w:pPr>
              <w:pStyle w:val="ListParagraph"/>
              <w:ind w:left="0"/>
              <w:contextualSpacing/>
              <w:rPr>
                <w:rFonts w:ascii="Arial" w:hAnsi="Arial" w:cs="Arial"/>
                <w:sz w:val="22"/>
                <w:szCs w:val="22"/>
              </w:rPr>
            </w:pPr>
            <w:r w:rsidRPr="00776AC9">
              <w:rPr>
                <w:rFonts w:ascii="Arial" w:hAnsi="Arial" w:cs="Arial"/>
                <w:sz w:val="22"/>
                <w:szCs w:val="22"/>
              </w:rPr>
              <w:t>-Proiecția demografică pentru anul 2060 va avea efecte negative în ceea ce privește forța de muncă activă, rata de ocupare și fenomenul de îmbătrînire a populației;</w:t>
            </w:r>
          </w:p>
          <w:p w:rsidR="00577B84" w:rsidRPr="00776AC9" w:rsidRDefault="00577B84" w:rsidP="000C6A67">
            <w:pPr>
              <w:pStyle w:val="ListParagraph"/>
              <w:ind w:left="0"/>
              <w:contextualSpacing/>
              <w:rPr>
                <w:rFonts w:ascii="Arial" w:hAnsi="Arial" w:cs="Arial"/>
                <w:sz w:val="22"/>
                <w:szCs w:val="22"/>
              </w:rPr>
            </w:pPr>
            <w:r w:rsidRPr="00776AC9">
              <w:rPr>
                <w:rFonts w:ascii="Arial" w:hAnsi="Arial" w:cs="Arial"/>
                <w:sz w:val="22"/>
                <w:szCs w:val="22"/>
              </w:rPr>
              <w:t>Scăderea ratei de activitate a tinerilor, în special în cazul peroanelor de sex masculine;</w:t>
            </w:r>
          </w:p>
          <w:p w:rsidR="00577B84" w:rsidRPr="00776AC9" w:rsidRDefault="00577B84" w:rsidP="000C6A67">
            <w:pPr>
              <w:pStyle w:val="ListParagraph"/>
              <w:ind w:left="0"/>
              <w:contextualSpacing/>
              <w:rPr>
                <w:rFonts w:ascii="Arial" w:hAnsi="Arial" w:cs="Arial"/>
                <w:sz w:val="22"/>
                <w:szCs w:val="22"/>
              </w:rPr>
            </w:pPr>
            <w:r w:rsidRPr="00776AC9">
              <w:rPr>
                <w:rFonts w:ascii="Arial" w:hAnsi="Arial" w:cs="Arial"/>
                <w:sz w:val="22"/>
                <w:szCs w:val="22"/>
              </w:rPr>
              <w:t>-Tinerii din mediul rural renunță la continuarea studiilor pentru a intra pe piața muncii (pentru a-și gasi un loc de muncă);</w:t>
            </w:r>
          </w:p>
          <w:p w:rsidR="00577B84" w:rsidRPr="00776AC9" w:rsidRDefault="00577B84" w:rsidP="000C6A67">
            <w:pPr>
              <w:pStyle w:val="ListParagraph"/>
              <w:ind w:left="0"/>
              <w:contextualSpacing/>
              <w:rPr>
                <w:rFonts w:ascii="Arial" w:hAnsi="Arial" w:cs="Arial"/>
                <w:sz w:val="22"/>
                <w:szCs w:val="22"/>
              </w:rPr>
            </w:pPr>
            <w:r w:rsidRPr="00776AC9">
              <w:rPr>
                <w:rFonts w:ascii="Arial" w:hAnsi="Arial" w:cs="Arial"/>
                <w:sz w:val="22"/>
                <w:szCs w:val="22"/>
              </w:rPr>
              <w:t>Posibilități reduse de a ocupa un loc de muncă pentru populația cu nivel de pregătire scăzut (gimnazial sau fară școală absolvită);</w:t>
            </w:r>
          </w:p>
          <w:p w:rsidR="00577B84" w:rsidRPr="00776AC9" w:rsidRDefault="00577B84" w:rsidP="000C6A67">
            <w:pPr>
              <w:pStyle w:val="ListParagraph"/>
              <w:ind w:left="0"/>
              <w:contextualSpacing/>
              <w:rPr>
                <w:rFonts w:ascii="Arial" w:hAnsi="Arial" w:cs="Arial"/>
                <w:sz w:val="22"/>
                <w:szCs w:val="22"/>
              </w:rPr>
            </w:pPr>
            <w:r w:rsidRPr="00776AC9">
              <w:rPr>
                <w:rFonts w:ascii="Arial" w:hAnsi="Arial" w:cs="Arial"/>
                <w:bCs/>
                <w:sz w:val="22"/>
                <w:szCs w:val="22"/>
              </w:rPr>
              <w:t>-Șanse reduse de angajare sau opțiuni pentru pensionare anticipată 54-65 ani;</w:t>
            </w:r>
          </w:p>
          <w:p w:rsidR="00577B84" w:rsidRPr="00776AC9" w:rsidRDefault="00577B84" w:rsidP="000C6A67">
            <w:pPr>
              <w:pStyle w:val="ListParagraph"/>
              <w:ind w:left="0"/>
              <w:contextualSpacing/>
              <w:rPr>
                <w:rFonts w:ascii="Arial" w:hAnsi="Arial" w:cs="Arial"/>
                <w:sz w:val="22"/>
                <w:szCs w:val="22"/>
              </w:rPr>
            </w:pPr>
            <w:r w:rsidRPr="00776AC9">
              <w:rPr>
                <w:rFonts w:ascii="Arial" w:hAnsi="Arial" w:cs="Arial"/>
                <w:sz w:val="22"/>
                <w:szCs w:val="22"/>
              </w:rPr>
              <w:t>-Nerealizarea planului de școlarizare;</w:t>
            </w:r>
          </w:p>
          <w:p w:rsidR="00577B84" w:rsidRPr="00776AC9" w:rsidRDefault="00577B84" w:rsidP="000863FF">
            <w:pPr>
              <w:pStyle w:val="ListParagraph"/>
              <w:ind w:left="0"/>
              <w:contextualSpacing/>
              <w:rPr>
                <w:rFonts w:ascii="Arial" w:hAnsi="Arial" w:cs="Arial"/>
                <w:sz w:val="22"/>
                <w:szCs w:val="22"/>
              </w:rPr>
            </w:pPr>
            <w:r w:rsidRPr="00776AC9">
              <w:rPr>
                <w:rFonts w:ascii="Arial" w:hAnsi="Arial" w:cs="Arial"/>
                <w:sz w:val="22"/>
                <w:szCs w:val="22"/>
              </w:rPr>
              <w:t xml:space="preserve">-Părăsirea timpurie a </w:t>
            </w:r>
            <w:r w:rsidR="000863FF">
              <w:rPr>
                <w:rFonts w:ascii="Arial" w:hAnsi="Arial" w:cs="Arial"/>
                <w:sz w:val="22"/>
                <w:szCs w:val="22"/>
              </w:rPr>
              <w:t>ș</w:t>
            </w:r>
            <w:r w:rsidRPr="00776AC9">
              <w:rPr>
                <w:rFonts w:ascii="Arial" w:hAnsi="Arial" w:cs="Arial"/>
                <w:sz w:val="22"/>
                <w:szCs w:val="22"/>
              </w:rPr>
              <w:t xml:space="preserve">colii – cu aprox 20% </w:t>
            </w:r>
            <w:r w:rsidR="000863FF">
              <w:rPr>
                <w:rFonts w:ascii="Arial" w:hAnsi="Arial" w:cs="Arial"/>
                <w:sz w:val="22"/>
                <w:szCs w:val="22"/>
              </w:rPr>
              <w:t>î</w:t>
            </w:r>
            <w:r w:rsidRPr="00776AC9">
              <w:rPr>
                <w:rFonts w:ascii="Arial" w:hAnsi="Arial" w:cs="Arial"/>
                <w:sz w:val="22"/>
                <w:szCs w:val="22"/>
              </w:rPr>
              <w:t>n ultimii 10 ani.</w:t>
            </w:r>
          </w:p>
        </w:tc>
      </w:tr>
    </w:tbl>
    <w:p w:rsidR="00597FB2" w:rsidRDefault="00597FB2" w:rsidP="000C6A67">
      <w:pPr>
        <w:spacing w:after="0" w:line="240" w:lineRule="auto"/>
        <w:jc w:val="both"/>
        <w:rPr>
          <w:rFonts w:ascii="Arial" w:hAnsi="Arial" w:cs="Arial"/>
          <w:sz w:val="24"/>
          <w:szCs w:val="24"/>
          <w:lang w:eastAsia="ro-RO"/>
        </w:rPr>
      </w:pPr>
    </w:p>
    <w:p w:rsidR="00597FB2" w:rsidRDefault="00597FB2" w:rsidP="000C6A67">
      <w:pPr>
        <w:spacing w:after="0" w:line="240" w:lineRule="auto"/>
        <w:rPr>
          <w:rFonts w:ascii="Arial" w:hAnsi="Arial" w:cs="Arial"/>
          <w:sz w:val="24"/>
          <w:szCs w:val="24"/>
          <w:lang w:eastAsia="ro-RO"/>
        </w:rPr>
      </w:pPr>
      <w:r>
        <w:rPr>
          <w:rFonts w:ascii="Arial" w:hAnsi="Arial" w:cs="Arial"/>
          <w:sz w:val="24"/>
          <w:szCs w:val="24"/>
          <w:lang w:eastAsia="ro-RO"/>
        </w:rPr>
        <w:br w:type="page"/>
      </w:r>
    </w:p>
    <w:p w:rsidR="001937AF" w:rsidRDefault="001937AF" w:rsidP="000C6A67">
      <w:pPr>
        <w:spacing w:after="0" w:line="240" w:lineRule="auto"/>
        <w:jc w:val="both"/>
        <w:rPr>
          <w:rFonts w:ascii="Arial" w:hAnsi="Arial" w:cs="Arial"/>
          <w:sz w:val="24"/>
          <w:szCs w:val="24"/>
          <w:lang w:eastAsia="ro-RO"/>
        </w:rPr>
      </w:pPr>
    </w:p>
    <w:p w:rsidR="001937AF" w:rsidRPr="001937AF" w:rsidRDefault="001937AF" w:rsidP="000C6A67">
      <w:pPr>
        <w:spacing w:after="0" w:line="240" w:lineRule="auto"/>
        <w:jc w:val="both"/>
        <w:rPr>
          <w:rFonts w:ascii="Arial" w:hAnsi="Arial" w:cs="Arial"/>
          <w:sz w:val="24"/>
          <w:szCs w:val="24"/>
          <w:lang w:eastAsia="ro-RO"/>
        </w:rPr>
      </w:pPr>
    </w:p>
    <w:p w:rsidR="00406DCE" w:rsidRDefault="00FE3CCA" w:rsidP="000C6A67">
      <w:pPr>
        <w:pStyle w:val="Heading1"/>
        <w:spacing w:before="0" w:line="240" w:lineRule="auto"/>
        <w:jc w:val="center"/>
        <w:rPr>
          <w:rFonts w:ascii="Arial" w:hAnsi="Arial" w:cs="Arial"/>
          <w:color w:val="auto"/>
          <w:lang w:eastAsia="ro-RO"/>
        </w:rPr>
      </w:pPr>
      <w:bookmarkStart w:id="124" w:name="_Toc488066093"/>
      <w:r w:rsidRPr="00DD5F85">
        <w:rPr>
          <w:rFonts w:ascii="Arial" w:hAnsi="Arial" w:cs="Arial"/>
          <w:color w:val="auto"/>
          <w:lang w:eastAsia="ro-RO"/>
        </w:rPr>
        <w:t>9</w:t>
      </w:r>
      <w:r w:rsidR="00406DCE" w:rsidRPr="00DD5F85">
        <w:rPr>
          <w:rFonts w:ascii="Arial" w:hAnsi="Arial" w:cs="Arial"/>
          <w:color w:val="auto"/>
          <w:lang w:eastAsia="ro-RO"/>
        </w:rPr>
        <w:t>. Rezumatul principalelor concluzii şi recomandări pentru planul de măsuri</w:t>
      </w:r>
      <w:bookmarkEnd w:id="124"/>
    </w:p>
    <w:p w:rsidR="001937AF" w:rsidRDefault="001937AF" w:rsidP="000C6A67">
      <w:pPr>
        <w:spacing w:after="0" w:line="240" w:lineRule="auto"/>
        <w:jc w:val="both"/>
        <w:rPr>
          <w:rFonts w:ascii="Arial" w:hAnsi="Arial" w:cs="Arial"/>
          <w:sz w:val="28"/>
          <w:szCs w:val="28"/>
          <w:lang w:eastAsia="ro-RO"/>
        </w:rPr>
      </w:pPr>
    </w:p>
    <w:p w:rsidR="00FE7DCF" w:rsidRDefault="000062DA" w:rsidP="000C6A67">
      <w:pPr>
        <w:spacing w:after="0" w:line="240" w:lineRule="auto"/>
        <w:jc w:val="both"/>
        <w:rPr>
          <w:rFonts w:ascii="Arial" w:eastAsia="Arial Unicode MS" w:hAnsi="Arial" w:cs="Arial"/>
          <w:sz w:val="24"/>
          <w:szCs w:val="24"/>
        </w:rPr>
      </w:pPr>
      <w:r>
        <w:rPr>
          <w:rFonts w:ascii="Arial" w:eastAsia="Arial Unicode MS" w:hAnsi="Arial" w:cs="Arial"/>
          <w:sz w:val="24"/>
          <w:szCs w:val="24"/>
        </w:rPr>
        <w:t xml:space="preserve">Pe baza analizelor anterioare, </w:t>
      </w:r>
      <w:r w:rsidR="00FE7DCF" w:rsidRPr="00FF4C26">
        <w:rPr>
          <w:rFonts w:ascii="Arial" w:eastAsia="Arial Unicode MS" w:hAnsi="Arial" w:cs="Arial"/>
          <w:sz w:val="24"/>
          <w:szCs w:val="24"/>
        </w:rPr>
        <w:t xml:space="preserve">se pot formula următoarele concluzii și </w:t>
      </w:r>
      <w:r w:rsidR="00FE7DCF">
        <w:rPr>
          <w:rFonts w:ascii="Arial" w:eastAsia="Arial Unicode MS" w:hAnsi="Arial" w:cs="Arial"/>
          <w:sz w:val="24"/>
          <w:szCs w:val="24"/>
        </w:rPr>
        <w:t xml:space="preserve">recomandări generale, grupate </w:t>
      </w:r>
      <w:r w:rsidR="002B0DC2">
        <w:rPr>
          <w:rFonts w:ascii="Arial" w:eastAsia="Arial Unicode MS" w:hAnsi="Arial" w:cs="Arial"/>
          <w:sz w:val="24"/>
          <w:szCs w:val="24"/>
        </w:rPr>
        <w:t>î</w:t>
      </w:r>
      <w:r w:rsidR="00FE7DCF">
        <w:rPr>
          <w:rFonts w:ascii="Arial" w:eastAsia="Arial Unicode MS" w:hAnsi="Arial" w:cs="Arial"/>
          <w:sz w:val="24"/>
          <w:szCs w:val="24"/>
        </w:rPr>
        <w:t xml:space="preserve">n cinci categorii, </w:t>
      </w:r>
      <w:r w:rsidR="00FE7DCF" w:rsidRPr="00FF4C26">
        <w:rPr>
          <w:rFonts w:ascii="Arial" w:eastAsia="Arial Unicode MS" w:hAnsi="Arial" w:cs="Arial"/>
          <w:sz w:val="24"/>
          <w:szCs w:val="24"/>
        </w:rPr>
        <w:t>care urmează a fi dezvoltat</w:t>
      </w:r>
      <w:r w:rsidR="00FE7DCF">
        <w:rPr>
          <w:rFonts w:ascii="Arial" w:eastAsia="Arial Unicode MS" w:hAnsi="Arial" w:cs="Arial"/>
          <w:sz w:val="24"/>
          <w:szCs w:val="24"/>
        </w:rPr>
        <w:t>e în măsuri şi ţinte specifice.</w:t>
      </w:r>
    </w:p>
    <w:p w:rsidR="00866A1A" w:rsidRPr="00FF4C26" w:rsidRDefault="00866A1A" w:rsidP="000C6A67">
      <w:pPr>
        <w:spacing w:after="0" w:line="240" w:lineRule="auto"/>
        <w:jc w:val="both"/>
        <w:rPr>
          <w:rFonts w:ascii="Arial" w:eastAsia="Arial Unicode MS" w:hAnsi="Arial" w:cs="Arial"/>
          <w:sz w:val="24"/>
          <w:szCs w:val="24"/>
        </w:rPr>
      </w:pPr>
    </w:p>
    <w:p w:rsidR="00FE7DCF" w:rsidRPr="00A50F01" w:rsidRDefault="00FE7DCF" w:rsidP="000C6A67">
      <w:pPr>
        <w:shd w:val="clear" w:color="auto" w:fill="FFC000"/>
        <w:spacing w:after="0" w:line="240" w:lineRule="auto"/>
        <w:jc w:val="both"/>
        <w:rPr>
          <w:rFonts w:ascii="Arial" w:eastAsia="Arial Unicode MS" w:hAnsi="Arial" w:cs="Arial"/>
          <w:b/>
          <w:sz w:val="24"/>
          <w:szCs w:val="24"/>
        </w:rPr>
      </w:pPr>
      <w:r w:rsidRPr="00A50F01">
        <w:rPr>
          <w:rFonts w:ascii="Arial" w:eastAsia="Arial Unicode MS" w:hAnsi="Arial" w:cs="Arial"/>
          <w:b/>
          <w:sz w:val="24"/>
          <w:szCs w:val="24"/>
        </w:rPr>
        <w:t>RELEVANȚA OFERTEI</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Mecanismele de investigare a nevoilor pieței muncii sunt necesar a fi actualizate;</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Mecanismele bazate pe prognoze și tendințe analizate, sunt utile pentru elaborarea de politici în domeniul ÎPT;</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Pentru adecvarea ofertei unităților școlare, sunt necesare mecanisme de cooperare locală, bazate pe un parteneriat fun</w:t>
      </w:r>
      <w:r w:rsidR="00263CFB">
        <w:rPr>
          <w:rFonts w:ascii="Arial" w:eastAsia="Arial Unicode MS" w:hAnsi="Arial" w:cs="Arial"/>
          <w:sz w:val="24"/>
          <w:szCs w:val="24"/>
        </w:rPr>
        <w:t>c</w:t>
      </w:r>
      <w:r w:rsidRPr="00A50F01">
        <w:rPr>
          <w:rFonts w:ascii="Arial" w:eastAsia="Arial Unicode MS" w:hAnsi="Arial" w:cs="Arial"/>
          <w:sz w:val="24"/>
          <w:szCs w:val="24"/>
        </w:rPr>
        <w:t xml:space="preserve">țional între unitatea școlară și operatorii economici; </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 xml:space="preserve">Cele doua categorii de mecanisme de corelare a ofertei cu cererea sunt necesar a fi abordate simultan, la nivel regional; </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 xml:space="preserve">Corelarea ofertei cu cererea este necesar să fie abordată distinct, pe termen scurt, mediu și lung; </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Ținta de 60% a ponderii p</w:t>
      </w:r>
      <w:r w:rsidR="0095004F">
        <w:rPr>
          <w:rFonts w:ascii="Arial" w:eastAsia="Arial Unicode MS" w:hAnsi="Arial" w:cs="Arial"/>
          <w:sz w:val="24"/>
          <w:szCs w:val="24"/>
        </w:rPr>
        <w:t>en</w:t>
      </w:r>
      <w:r w:rsidRPr="00A50F01">
        <w:rPr>
          <w:rFonts w:ascii="Arial" w:eastAsia="Arial Unicode MS" w:hAnsi="Arial" w:cs="Arial"/>
          <w:sz w:val="24"/>
          <w:szCs w:val="24"/>
        </w:rPr>
        <w:t>t</w:t>
      </w:r>
      <w:r w:rsidR="0095004F">
        <w:rPr>
          <w:rFonts w:ascii="Arial" w:eastAsia="Arial Unicode MS" w:hAnsi="Arial" w:cs="Arial"/>
          <w:sz w:val="24"/>
          <w:szCs w:val="24"/>
        </w:rPr>
        <w:t>ru</w:t>
      </w:r>
      <w:r w:rsidRPr="00A50F01">
        <w:rPr>
          <w:rFonts w:ascii="Arial" w:eastAsia="Arial Unicode MS" w:hAnsi="Arial" w:cs="Arial"/>
          <w:sz w:val="24"/>
          <w:szCs w:val="24"/>
        </w:rPr>
        <w:t xml:space="preserve"> ÎPT, trebuie analizată din perspectiva tendițelor din ultimii 10 ani, și procesul de diminuare a ofertei ÎPT este necesar să fie oprit; în 10 ani au fost pierdute în jur de 50% din capacitățile de formare ÎPT (însemn</w:t>
      </w:r>
      <w:r w:rsidR="00BF2C4C">
        <w:rPr>
          <w:rFonts w:ascii="Arial" w:eastAsia="Arial Unicode MS" w:hAnsi="Arial" w:cs="Arial"/>
          <w:sz w:val="24"/>
          <w:szCs w:val="24"/>
        </w:rPr>
        <w:t>â</w:t>
      </w:r>
      <w:r w:rsidRPr="00A50F01">
        <w:rPr>
          <w:rFonts w:ascii="Arial" w:eastAsia="Arial Unicode MS" w:hAnsi="Arial" w:cs="Arial"/>
          <w:sz w:val="24"/>
          <w:szCs w:val="24"/>
        </w:rPr>
        <w:t xml:space="preserve">nd școli, dotări, personal, calificări); </w:t>
      </w:r>
    </w:p>
    <w:p w:rsidR="00FE7DCF"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Rata de succes a absolvenților ÎPT – poate fi m</w:t>
      </w:r>
      <w:r w:rsidR="00F85676">
        <w:rPr>
          <w:rFonts w:ascii="Arial" w:eastAsia="Arial Unicode MS" w:hAnsi="Arial" w:cs="Arial"/>
          <w:sz w:val="24"/>
          <w:szCs w:val="24"/>
        </w:rPr>
        <w:t>ă</w:t>
      </w:r>
      <w:r w:rsidRPr="00A50F01">
        <w:rPr>
          <w:rFonts w:ascii="Arial" w:eastAsia="Arial Unicode MS" w:hAnsi="Arial" w:cs="Arial"/>
          <w:sz w:val="24"/>
          <w:szCs w:val="24"/>
        </w:rPr>
        <w:t xml:space="preserve">surată prin mai mulți indicatori; rata de  angajare, rata de continuare a studiilor, rata de succes la examenul de bacalaureat; de promovat intervențiile prin programul ROSE; </w:t>
      </w:r>
    </w:p>
    <w:p w:rsidR="00866A1A" w:rsidRPr="00A50F01" w:rsidRDefault="00866A1A" w:rsidP="00866A1A">
      <w:pPr>
        <w:pStyle w:val="ListParagraph"/>
        <w:ind w:left="360"/>
        <w:contextualSpacing/>
        <w:jc w:val="both"/>
        <w:rPr>
          <w:rFonts w:ascii="Arial" w:eastAsia="Arial Unicode MS" w:hAnsi="Arial" w:cs="Arial"/>
          <w:sz w:val="24"/>
          <w:szCs w:val="24"/>
        </w:rPr>
      </w:pPr>
    </w:p>
    <w:p w:rsidR="00FE7DCF" w:rsidRPr="00A50F01" w:rsidRDefault="00FE7DCF" w:rsidP="000C6A67">
      <w:pPr>
        <w:shd w:val="clear" w:color="auto" w:fill="92CDDC" w:themeFill="accent5" w:themeFillTint="99"/>
        <w:spacing w:after="0" w:line="240" w:lineRule="auto"/>
        <w:jc w:val="both"/>
        <w:rPr>
          <w:rFonts w:ascii="Arial" w:eastAsia="Arial Unicode MS" w:hAnsi="Arial" w:cs="Arial"/>
          <w:b/>
          <w:sz w:val="24"/>
          <w:szCs w:val="24"/>
        </w:rPr>
      </w:pPr>
      <w:r w:rsidRPr="00A50F01">
        <w:rPr>
          <w:rFonts w:ascii="Arial" w:eastAsia="Arial Unicode MS" w:hAnsi="Arial" w:cs="Arial"/>
          <w:b/>
          <w:sz w:val="24"/>
          <w:szCs w:val="24"/>
        </w:rPr>
        <w:t xml:space="preserve">DIVERSIFICAREA OFERTEI </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Opțiunile elevilor arată o mare diversitate, care trebuie să fie investigată;</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Adecvarea ofertei pentru a acoperi diversitatea op</w:t>
      </w:r>
      <w:r w:rsidR="00FD3C72">
        <w:rPr>
          <w:rFonts w:ascii="Arial" w:eastAsia="Arial Unicode MS" w:hAnsi="Arial" w:cs="Arial"/>
          <w:sz w:val="24"/>
          <w:szCs w:val="24"/>
        </w:rPr>
        <w:t>ț</w:t>
      </w:r>
      <w:r w:rsidRPr="00A50F01">
        <w:rPr>
          <w:rFonts w:ascii="Arial" w:eastAsia="Arial Unicode MS" w:hAnsi="Arial" w:cs="Arial"/>
          <w:sz w:val="24"/>
          <w:szCs w:val="24"/>
        </w:rPr>
        <w:t>iunilor este necesară pentru a crește atractivitatea traseului educațional ÎPT; Rutele de formare care nu corespund cu aspirațiile elevilor, nu pot fi atractive;</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 xml:space="preserve">Analiza capacității ofertei regionale de adecvare la cerințe de diversitate – limite de ordin logistic, al dotării și al resurselor umane, respectiv de acreditare; </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Este necesară o analiză a ofertei existente în raport cu întreaga paletă de calificări din nomenclator, pentru a identifica cele mai relevante calificări dar și cele care lipsesc din oferta regională (deși exista în nomenclator);</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Este recomandat</w:t>
      </w:r>
      <w:r w:rsidR="00AE11FF">
        <w:rPr>
          <w:rFonts w:ascii="Arial" w:eastAsia="Arial Unicode MS" w:hAnsi="Arial" w:cs="Arial"/>
          <w:sz w:val="24"/>
          <w:szCs w:val="24"/>
        </w:rPr>
        <w:t>ă</w:t>
      </w:r>
      <w:r w:rsidRPr="00A50F01">
        <w:rPr>
          <w:rFonts w:ascii="Arial" w:eastAsia="Arial Unicode MS" w:hAnsi="Arial" w:cs="Arial"/>
          <w:sz w:val="24"/>
          <w:szCs w:val="24"/>
        </w:rPr>
        <w:t xml:space="preserve"> identificarea unor calificari noi, care pot fi importante pentru piața locală / regională; ( sau unități de competențe pentru actualizarea calificărilor existente); </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 xml:space="preserve">Diversificarea ofertei </w:t>
      </w:r>
      <w:r w:rsidR="00DE389C">
        <w:rPr>
          <w:rFonts w:ascii="Arial" w:eastAsia="Arial Unicode MS" w:hAnsi="Arial" w:cs="Arial"/>
          <w:sz w:val="24"/>
          <w:szCs w:val="24"/>
        </w:rPr>
        <w:t>l</w:t>
      </w:r>
      <w:r w:rsidRPr="00A50F01">
        <w:rPr>
          <w:rFonts w:ascii="Arial" w:eastAsia="Arial Unicode MS" w:hAnsi="Arial" w:cs="Arial"/>
          <w:sz w:val="24"/>
          <w:szCs w:val="24"/>
        </w:rPr>
        <w:t>a nivel județean are limite clare, din cauza numărulu</w:t>
      </w:r>
      <w:r w:rsidR="00866A1A">
        <w:rPr>
          <w:rFonts w:ascii="Arial" w:eastAsia="Arial Unicode MS" w:hAnsi="Arial" w:cs="Arial"/>
          <w:sz w:val="24"/>
          <w:szCs w:val="24"/>
        </w:rPr>
        <w:t>i de clase în contină scădere (</w:t>
      </w:r>
      <w:r w:rsidRPr="00A50F01">
        <w:rPr>
          <w:rFonts w:ascii="Arial" w:eastAsia="Arial Unicode MS" w:hAnsi="Arial" w:cs="Arial"/>
          <w:sz w:val="24"/>
          <w:szCs w:val="24"/>
        </w:rPr>
        <w:t xml:space="preserve">din motive demografice); în acest context devine urgentă analiza portofoliului de calificări la nivel regional, și studiul oportunităților de a oferi calificări unice la nivel regional; </w:t>
      </w:r>
    </w:p>
    <w:p w:rsidR="00FE7DCF"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 xml:space="preserve">Pentru a trece la cuprinderea în oferte a unor calificări </w:t>
      </w:r>
      <w:r w:rsidR="00AE11FF" w:rsidRPr="00AE11FF">
        <w:rPr>
          <w:rFonts w:ascii="Arial" w:eastAsia="Arial Unicode MS" w:hAnsi="Arial" w:cs="Arial"/>
          <w:i/>
          <w:sz w:val="24"/>
          <w:szCs w:val="24"/>
        </w:rPr>
        <w:t xml:space="preserve">de </w:t>
      </w:r>
      <w:r w:rsidR="00AE11FF" w:rsidRPr="00AE11FF">
        <w:rPr>
          <w:rFonts w:ascii="Arial" w:eastAsia="Arial Unicode MS" w:hAnsi="Arial" w:cs="Arial"/>
          <w:b/>
          <w:i/>
          <w:sz w:val="24"/>
          <w:szCs w:val="24"/>
        </w:rPr>
        <w:t>interes regional</w:t>
      </w:r>
      <w:r w:rsidRPr="00A50F01">
        <w:rPr>
          <w:rFonts w:ascii="Arial" w:eastAsia="Arial Unicode MS" w:hAnsi="Arial" w:cs="Arial"/>
          <w:sz w:val="24"/>
          <w:szCs w:val="24"/>
        </w:rPr>
        <w:t xml:space="preserve">, oferte unice </w:t>
      </w:r>
      <w:r w:rsidR="00AE11FF">
        <w:rPr>
          <w:rFonts w:ascii="Arial" w:eastAsia="Arial Unicode MS" w:hAnsi="Arial" w:cs="Arial"/>
          <w:sz w:val="24"/>
          <w:szCs w:val="24"/>
        </w:rPr>
        <w:t>î</w:t>
      </w:r>
      <w:r w:rsidRPr="00A50F01">
        <w:rPr>
          <w:rFonts w:ascii="Arial" w:eastAsia="Arial Unicode MS" w:hAnsi="Arial" w:cs="Arial"/>
          <w:sz w:val="24"/>
          <w:szCs w:val="24"/>
        </w:rPr>
        <w:t xml:space="preserve">n regiune, este necesar asigurarea condițiilor de acces pentru aceste calificări, prin suport integral al costurilor de transport, cazare și masă pentru fiecare participant; </w:t>
      </w:r>
    </w:p>
    <w:p w:rsidR="00866A1A" w:rsidRDefault="00866A1A" w:rsidP="00866A1A">
      <w:pPr>
        <w:pStyle w:val="ListParagraph"/>
        <w:ind w:left="360"/>
        <w:contextualSpacing/>
        <w:jc w:val="both"/>
        <w:rPr>
          <w:rFonts w:ascii="Arial" w:eastAsia="Arial Unicode MS" w:hAnsi="Arial" w:cs="Arial"/>
          <w:sz w:val="24"/>
          <w:szCs w:val="24"/>
        </w:rPr>
      </w:pPr>
    </w:p>
    <w:p w:rsidR="00866A1A" w:rsidRDefault="00866A1A" w:rsidP="00866A1A">
      <w:pPr>
        <w:pStyle w:val="ListParagraph"/>
        <w:ind w:left="360"/>
        <w:contextualSpacing/>
        <w:jc w:val="both"/>
        <w:rPr>
          <w:rFonts w:ascii="Arial" w:eastAsia="Arial Unicode MS" w:hAnsi="Arial" w:cs="Arial"/>
          <w:sz w:val="24"/>
          <w:szCs w:val="24"/>
        </w:rPr>
      </w:pPr>
    </w:p>
    <w:p w:rsidR="002E2085" w:rsidRPr="00A50F01" w:rsidRDefault="002E2085" w:rsidP="00866A1A">
      <w:pPr>
        <w:pStyle w:val="ListParagraph"/>
        <w:ind w:left="360"/>
        <w:contextualSpacing/>
        <w:jc w:val="both"/>
        <w:rPr>
          <w:rFonts w:ascii="Arial" w:eastAsia="Arial Unicode MS" w:hAnsi="Arial" w:cs="Arial"/>
          <w:sz w:val="24"/>
          <w:szCs w:val="24"/>
        </w:rPr>
      </w:pPr>
    </w:p>
    <w:p w:rsidR="00FE7DCF" w:rsidRPr="00A50F01" w:rsidRDefault="00FE7DCF" w:rsidP="000C6A67">
      <w:pPr>
        <w:shd w:val="clear" w:color="auto" w:fill="FF5050"/>
        <w:spacing w:after="0" w:line="240" w:lineRule="auto"/>
        <w:jc w:val="both"/>
        <w:rPr>
          <w:rFonts w:ascii="Arial" w:eastAsia="Arial Unicode MS" w:hAnsi="Arial" w:cs="Arial"/>
          <w:b/>
          <w:color w:val="FFFFFF" w:themeColor="background1"/>
          <w:sz w:val="24"/>
          <w:szCs w:val="24"/>
        </w:rPr>
      </w:pPr>
      <w:r w:rsidRPr="00A50F01">
        <w:rPr>
          <w:rFonts w:ascii="Arial" w:eastAsia="Arial Unicode MS" w:hAnsi="Arial" w:cs="Arial"/>
          <w:b/>
          <w:color w:val="FFFFFF" w:themeColor="background1"/>
          <w:sz w:val="24"/>
          <w:szCs w:val="24"/>
        </w:rPr>
        <w:lastRenderedPageBreak/>
        <w:t xml:space="preserve">DECIZII INFORMATE SI FUNDAMENTATE – PROMOVAREA OFERTEI </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Pentru ca elevii și părinții acestora să fie pregătiți pentru a lua decizii bine informate și fundamentate, este necesar un întreg proces de promovare a ofertei existente, a oportunităților viitoare de carieră;</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Trebuie avut în vedere faptul că deciziile pentru continuarea studiilor dup</w:t>
      </w:r>
      <w:r w:rsidR="00AE11FF">
        <w:rPr>
          <w:rFonts w:ascii="Arial" w:eastAsia="Arial Unicode MS" w:hAnsi="Arial" w:cs="Arial"/>
          <w:sz w:val="24"/>
          <w:szCs w:val="24"/>
        </w:rPr>
        <w:t>ă</w:t>
      </w:r>
      <w:r w:rsidRPr="00A50F01">
        <w:rPr>
          <w:rFonts w:ascii="Arial" w:eastAsia="Arial Unicode MS" w:hAnsi="Arial" w:cs="Arial"/>
          <w:sz w:val="24"/>
          <w:szCs w:val="24"/>
        </w:rPr>
        <w:t xml:space="preserve"> finalizarea clasei a VIII-a se iau </w:t>
      </w:r>
      <w:r w:rsidR="00AE11FF">
        <w:rPr>
          <w:rFonts w:ascii="Arial" w:eastAsia="Arial Unicode MS" w:hAnsi="Arial" w:cs="Arial"/>
          <w:sz w:val="24"/>
          <w:szCs w:val="24"/>
        </w:rPr>
        <w:t>î</w:t>
      </w:r>
      <w:r w:rsidRPr="00A50F01">
        <w:rPr>
          <w:rFonts w:ascii="Arial" w:eastAsia="Arial Unicode MS" w:hAnsi="Arial" w:cs="Arial"/>
          <w:sz w:val="24"/>
          <w:szCs w:val="24"/>
        </w:rPr>
        <w:t>n familie, sun</w:t>
      </w:r>
      <w:r w:rsidR="00AE11FF">
        <w:rPr>
          <w:rFonts w:ascii="Arial" w:eastAsia="Arial Unicode MS" w:hAnsi="Arial" w:cs="Arial"/>
          <w:sz w:val="24"/>
          <w:szCs w:val="24"/>
        </w:rPr>
        <w:t>t</w:t>
      </w:r>
      <w:r w:rsidRPr="00A50F01">
        <w:rPr>
          <w:rFonts w:ascii="Arial" w:eastAsia="Arial Unicode MS" w:hAnsi="Arial" w:cs="Arial"/>
          <w:sz w:val="24"/>
          <w:szCs w:val="24"/>
        </w:rPr>
        <w:t xml:space="preserve"> influențe multiple;</w:t>
      </w:r>
    </w:p>
    <w:p w:rsidR="00FE7DCF" w:rsidRPr="00A50F01" w:rsidRDefault="00FE7DCF" w:rsidP="00A827CF">
      <w:pPr>
        <w:pStyle w:val="ListParagraph"/>
        <w:numPr>
          <w:ilvl w:val="0"/>
          <w:numId w:val="5"/>
        </w:numPr>
        <w:ind w:left="357" w:hanging="357"/>
        <w:contextualSpacing/>
        <w:jc w:val="both"/>
        <w:rPr>
          <w:rFonts w:ascii="Arial" w:eastAsia="Arial Unicode MS" w:hAnsi="Arial" w:cs="Arial"/>
          <w:sz w:val="24"/>
          <w:szCs w:val="24"/>
        </w:rPr>
      </w:pPr>
      <w:r w:rsidRPr="00A50F01">
        <w:rPr>
          <w:rFonts w:ascii="Arial" w:eastAsia="Arial Unicode MS" w:hAnsi="Arial" w:cs="Arial"/>
          <w:sz w:val="24"/>
          <w:szCs w:val="24"/>
        </w:rPr>
        <w:t xml:space="preserve">Promovarea oportunităților de carieră nu trebuie să se reducă la Târgul ofertelor, organizate prea târziu, față de momentul deciziilor; </w:t>
      </w:r>
    </w:p>
    <w:p w:rsidR="00FE7DCF" w:rsidRPr="00A50F01" w:rsidRDefault="00FE7DCF" w:rsidP="00A827CF">
      <w:pPr>
        <w:pStyle w:val="ListParagraph"/>
        <w:numPr>
          <w:ilvl w:val="0"/>
          <w:numId w:val="5"/>
        </w:numPr>
        <w:ind w:left="357" w:hanging="357"/>
        <w:contextualSpacing/>
        <w:jc w:val="both"/>
        <w:rPr>
          <w:rFonts w:ascii="Arial" w:eastAsia="Arial Unicode MS" w:hAnsi="Arial" w:cs="Arial"/>
          <w:sz w:val="24"/>
          <w:szCs w:val="24"/>
        </w:rPr>
      </w:pPr>
      <w:r w:rsidRPr="00A50F01">
        <w:rPr>
          <w:rFonts w:ascii="Arial" w:eastAsia="Arial Unicode MS" w:hAnsi="Arial" w:cs="Arial"/>
          <w:sz w:val="24"/>
          <w:szCs w:val="24"/>
        </w:rPr>
        <w:t>Promovarea oportunităților este necesar să fie un proces alcătuit din evenimente, periodice, pe toată durata anului, vizân</w:t>
      </w:r>
      <w:r w:rsidR="00127207">
        <w:rPr>
          <w:rFonts w:ascii="Arial" w:eastAsia="Arial Unicode MS" w:hAnsi="Arial" w:cs="Arial"/>
          <w:sz w:val="24"/>
          <w:szCs w:val="24"/>
        </w:rPr>
        <w:t>d</w:t>
      </w:r>
      <w:r w:rsidRPr="00A50F01">
        <w:rPr>
          <w:rFonts w:ascii="Arial" w:eastAsia="Arial Unicode MS" w:hAnsi="Arial" w:cs="Arial"/>
          <w:sz w:val="24"/>
          <w:szCs w:val="24"/>
        </w:rPr>
        <w:t xml:space="preserve"> nu doar absolvenții din anul curent; </w:t>
      </w:r>
    </w:p>
    <w:p w:rsidR="00FE7DCF" w:rsidRPr="00A50F01" w:rsidRDefault="00FE7DCF" w:rsidP="00A827CF">
      <w:pPr>
        <w:pStyle w:val="ListParagraph"/>
        <w:numPr>
          <w:ilvl w:val="0"/>
          <w:numId w:val="5"/>
        </w:numPr>
        <w:ind w:left="357" w:hanging="357"/>
        <w:contextualSpacing/>
        <w:jc w:val="both"/>
        <w:rPr>
          <w:rFonts w:ascii="Arial" w:eastAsia="Arial Unicode MS" w:hAnsi="Arial" w:cs="Arial"/>
          <w:sz w:val="24"/>
          <w:szCs w:val="24"/>
        </w:rPr>
      </w:pPr>
      <w:r w:rsidRPr="00A50F01">
        <w:rPr>
          <w:rFonts w:ascii="Arial" w:eastAsia="Arial Unicode MS" w:hAnsi="Arial" w:cs="Arial"/>
          <w:sz w:val="24"/>
          <w:szCs w:val="24"/>
        </w:rPr>
        <w:t xml:space="preserve">Promovarea de tip campanie – presupune un mesaj coerent </w:t>
      </w:r>
      <w:r w:rsidR="00127207">
        <w:rPr>
          <w:rFonts w:ascii="Arial" w:eastAsia="Arial Unicode MS" w:hAnsi="Arial" w:cs="Arial"/>
          <w:sz w:val="24"/>
          <w:szCs w:val="24"/>
        </w:rPr>
        <w:t>ș</w:t>
      </w:r>
      <w:r w:rsidRPr="00A50F01">
        <w:rPr>
          <w:rFonts w:ascii="Arial" w:eastAsia="Arial Unicode MS" w:hAnsi="Arial" w:cs="Arial"/>
          <w:sz w:val="24"/>
          <w:szCs w:val="24"/>
        </w:rPr>
        <w:t>i revenirea prin mai multe canale și mijloace la mesaje cu impact dorit la nivel de mentalitate comunitară;</w:t>
      </w:r>
    </w:p>
    <w:p w:rsidR="00FE7DCF" w:rsidRPr="00A50F01" w:rsidRDefault="00FE7DCF" w:rsidP="00A827CF">
      <w:pPr>
        <w:pStyle w:val="ListParagraph"/>
        <w:numPr>
          <w:ilvl w:val="0"/>
          <w:numId w:val="5"/>
        </w:numPr>
        <w:ind w:left="357" w:hanging="357"/>
        <w:contextualSpacing/>
        <w:jc w:val="both"/>
        <w:rPr>
          <w:rFonts w:ascii="Arial" w:eastAsia="Arial Unicode MS" w:hAnsi="Arial" w:cs="Arial"/>
          <w:sz w:val="24"/>
          <w:szCs w:val="24"/>
        </w:rPr>
      </w:pPr>
      <w:r w:rsidRPr="00A50F01">
        <w:rPr>
          <w:rFonts w:ascii="Arial" w:eastAsia="Arial Unicode MS" w:hAnsi="Arial" w:cs="Arial"/>
          <w:sz w:val="24"/>
          <w:szCs w:val="24"/>
        </w:rPr>
        <w:t xml:space="preserve">Mesajele de </w:t>
      </w:r>
      <w:r w:rsidR="00127207">
        <w:rPr>
          <w:rFonts w:ascii="Arial" w:eastAsia="Arial Unicode MS" w:hAnsi="Arial" w:cs="Arial"/>
          <w:sz w:val="24"/>
          <w:szCs w:val="24"/>
        </w:rPr>
        <w:t>î</w:t>
      </w:r>
      <w:r w:rsidRPr="00A50F01">
        <w:rPr>
          <w:rFonts w:ascii="Arial" w:eastAsia="Arial Unicode MS" w:hAnsi="Arial" w:cs="Arial"/>
          <w:sz w:val="24"/>
          <w:szCs w:val="24"/>
        </w:rPr>
        <w:t>ncurajare, de tip exemple de succes – pot fi eficiente;</w:t>
      </w:r>
    </w:p>
    <w:p w:rsidR="00FE7DCF" w:rsidRPr="00A50F01" w:rsidRDefault="00FE7DCF" w:rsidP="00A827CF">
      <w:pPr>
        <w:pStyle w:val="ListParagraph"/>
        <w:numPr>
          <w:ilvl w:val="0"/>
          <w:numId w:val="5"/>
        </w:numPr>
        <w:ind w:left="357" w:hanging="357"/>
        <w:contextualSpacing/>
        <w:jc w:val="both"/>
        <w:rPr>
          <w:rFonts w:ascii="Arial" w:eastAsia="Arial Unicode MS" w:hAnsi="Arial" w:cs="Arial"/>
          <w:sz w:val="24"/>
          <w:szCs w:val="24"/>
        </w:rPr>
      </w:pPr>
      <w:r w:rsidRPr="00A50F01">
        <w:rPr>
          <w:rFonts w:ascii="Arial" w:eastAsia="Arial Unicode MS" w:hAnsi="Arial" w:cs="Arial"/>
          <w:sz w:val="24"/>
          <w:szCs w:val="24"/>
        </w:rPr>
        <w:t>Pentru promovare sunt necesare abordarea distinct</w:t>
      </w:r>
      <w:r w:rsidR="00127207">
        <w:rPr>
          <w:rFonts w:ascii="Arial" w:eastAsia="Arial Unicode MS" w:hAnsi="Arial" w:cs="Arial"/>
          <w:sz w:val="24"/>
          <w:szCs w:val="24"/>
        </w:rPr>
        <w:t>ă</w:t>
      </w:r>
      <w:r w:rsidRPr="00A50F01">
        <w:rPr>
          <w:rFonts w:ascii="Arial" w:eastAsia="Arial Unicode MS" w:hAnsi="Arial" w:cs="Arial"/>
          <w:sz w:val="24"/>
          <w:szCs w:val="24"/>
        </w:rPr>
        <w:t xml:space="preserve"> a etapelor de Realizarea unui plan de promovare, Identificarea și atragerea resurselor și Implementarea planului; </w:t>
      </w:r>
    </w:p>
    <w:p w:rsidR="00FE7DCF" w:rsidRPr="00A50F01" w:rsidRDefault="00FE7DCF" w:rsidP="00A827CF">
      <w:pPr>
        <w:pStyle w:val="ListParagraph"/>
        <w:numPr>
          <w:ilvl w:val="0"/>
          <w:numId w:val="5"/>
        </w:numPr>
        <w:ind w:left="357" w:hanging="357"/>
        <w:contextualSpacing/>
        <w:jc w:val="both"/>
        <w:rPr>
          <w:rFonts w:ascii="Arial" w:eastAsia="Arial Unicode MS" w:hAnsi="Arial" w:cs="Arial"/>
          <w:sz w:val="24"/>
          <w:szCs w:val="24"/>
        </w:rPr>
      </w:pPr>
      <w:r w:rsidRPr="00A50F01">
        <w:rPr>
          <w:rFonts w:ascii="Arial" w:eastAsia="Arial Unicode MS" w:hAnsi="Arial" w:cs="Arial"/>
          <w:sz w:val="24"/>
          <w:szCs w:val="24"/>
        </w:rPr>
        <w:t xml:space="preserve">Planul regional de promovare trebuie să fie armonizat cu cele județene, locale și cel național; </w:t>
      </w:r>
    </w:p>
    <w:p w:rsidR="00FE7DCF" w:rsidRPr="00FF4C26"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 xml:space="preserve">Promovarea poate fi credibilă doar prin implicarea tuturor factorilor interesați – școli, ISJ; companii, autorități locale și județene, CCI, CJRAE etc. </w:t>
      </w:r>
    </w:p>
    <w:p w:rsidR="00FE7DCF" w:rsidRPr="00A50F01" w:rsidRDefault="00FE7DCF" w:rsidP="000C6A67">
      <w:pPr>
        <w:pStyle w:val="ListParagraph"/>
        <w:ind w:left="360"/>
        <w:jc w:val="both"/>
        <w:rPr>
          <w:rFonts w:ascii="Arial" w:eastAsia="Arial Unicode MS" w:hAnsi="Arial" w:cs="Arial"/>
          <w:sz w:val="24"/>
          <w:szCs w:val="24"/>
        </w:rPr>
      </w:pPr>
    </w:p>
    <w:p w:rsidR="00FE7DCF" w:rsidRPr="00866A1A" w:rsidRDefault="00FE7DCF" w:rsidP="00866A1A">
      <w:pPr>
        <w:pStyle w:val="ListParagraph"/>
        <w:shd w:val="clear" w:color="auto" w:fill="76923C" w:themeFill="accent3" w:themeFillShade="BF"/>
        <w:ind w:left="360"/>
        <w:jc w:val="both"/>
        <w:rPr>
          <w:rFonts w:ascii="Arial" w:eastAsia="Arial Unicode MS" w:hAnsi="Arial" w:cs="Arial"/>
          <w:b/>
          <w:color w:val="FFFFFF" w:themeColor="background1"/>
          <w:sz w:val="24"/>
          <w:szCs w:val="24"/>
        </w:rPr>
      </w:pPr>
      <w:r w:rsidRPr="00A50F01">
        <w:rPr>
          <w:rFonts w:ascii="Arial" w:eastAsia="Arial Unicode MS" w:hAnsi="Arial" w:cs="Arial"/>
          <w:b/>
          <w:color w:val="FFFFFF" w:themeColor="background1"/>
          <w:sz w:val="24"/>
          <w:szCs w:val="24"/>
        </w:rPr>
        <w:t xml:space="preserve">RESURSE PENTRU ÎPT </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 xml:space="preserve">Resursele existente pentru ÎPT – necesită o analiză reală, în raport cu cerințele unei formări de calitate; </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 xml:space="preserve">Sunt necesar a fi monitorizate din perspectiva relevanței Contractele de parteneriat, raportate pentru ÎPT, școala profesională; </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Contractele pentru ÎPT dual – vor fi monitorizate pentru prima generație de elevi;</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Inventarul resurselor necesare unităților școlare – vor fi publicate, pentru a fundamenta atractivitate ofertelor;</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 xml:space="preserve">O analiză a ofertelor de ÎPT fără condiții pentru dobândirea competențelor prgramelor de formare stabilite prin standarde, vor fi analizate; aceste situatii în care formarea se bazeaza pe resursele școlii, fără angajator, vor fi analizate pentru a găsi soluții de tip „consorții școlare„, în care dotările pot fi utilizate în comun; </w:t>
      </w:r>
    </w:p>
    <w:p w:rsidR="00FE7DCF"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O analiză dedicată poate fi realizată pentru școlile din mediul rural, sau orașe mici, în care nu exista un potențial diversificat de angajatori, și oferta pe de o parte nu este diversificată (având un număr redus de clase, 1-2 pe nivel, dar nu ex</w:t>
      </w:r>
      <w:r w:rsidR="00AA0D01">
        <w:rPr>
          <w:rFonts w:ascii="Arial" w:eastAsia="Arial Unicode MS" w:hAnsi="Arial" w:cs="Arial"/>
          <w:sz w:val="24"/>
          <w:szCs w:val="24"/>
        </w:rPr>
        <w:t>i</w:t>
      </w:r>
      <w:r w:rsidRPr="00A50F01">
        <w:rPr>
          <w:rFonts w:ascii="Arial" w:eastAsia="Arial Unicode MS" w:hAnsi="Arial" w:cs="Arial"/>
          <w:sz w:val="24"/>
          <w:szCs w:val="24"/>
        </w:rPr>
        <w:t>st</w:t>
      </w:r>
      <w:r w:rsidR="00AA0D01">
        <w:rPr>
          <w:rFonts w:ascii="Arial" w:eastAsia="Arial Unicode MS" w:hAnsi="Arial" w:cs="Arial"/>
          <w:sz w:val="24"/>
          <w:szCs w:val="24"/>
        </w:rPr>
        <w:t xml:space="preserve">ă </w:t>
      </w:r>
      <w:r w:rsidRPr="00A50F01">
        <w:rPr>
          <w:rFonts w:ascii="Arial" w:eastAsia="Arial Unicode MS" w:hAnsi="Arial" w:cs="Arial"/>
          <w:sz w:val="24"/>
          <w:szCs w:val="24"/>
        </w:rPr>
        <w:t xml:space="preserve">diversificare nici de la un an la altul), și nu sunt asigurate nici condiții pentru </w:t>
      </w:r>
      <w:r w:rsidR="004649D1">
        <w:rPr>
          <w:rFonts w:ascii="Arial" w:eastAsia="Arial Unicode MS" w:hAnsi="Arial" w:cs="Arial"/>
          <w:sz w:val="24"/>
          <w:szCs w:val="24"/>
        </w:rPr>
        <w:t>obținerea</w:t>
      </w:r>
      <w:r w:rsidRPr="00A50F01">
        <w:rPr>
          <w:rFonts w:ascii="Arial" w:eastAsia="Arial Unicode MS" w:hAnsi="Arial" w:cs="Arial"/>
          <w:sz w:val="24"/>
          <w:szCs w:val="24"/>
        </w:rPr>
        <w:t xml:space="preserve"> de competențe relevante; Soluții pot fi generate la nivel regional; </w:t>
      </w:r>
    </w:p>
    <w:p w:rsidR="00B47B30" w:rsidRPr="00B47B30" w:rsidRDefault="00B47B30" w:rsidP="000C6A67">
      <w:pPr>
        <w:pStyle w:val="ListParagraph"/>
        <w:ind w:left="360"/>
        <w:contextualSpacing/>
        <w:jc w:val="both"/>
        <w:rPr>
          <w:rFonts w:ascii="Arial" w:eastAsia="Arial Unicode MS" w:hAnsi="Arial" w:cs="Arial"/>
          <w:sz w:val="24"/>
          <w:szCs w:val="24"/>
        </w:rPr>
      </w:pPr>
    </w:p>
    <w:p w:rsidR="00FE7DCF" w:rsidRPr="00866A1A" w:rsidRDefault="00FE7DCF" w:rsidP="00866A1A">
      <w:pPr>
        <w:pStyle w:val="ListParagraph"/>
        <w:shd w:val="clear" w:color="auto" w:fill="CC00CC"/>
        <w:ind w:left="360"/>
        <w:jc w:val="both"/>
        <w:rPr>
          <w:rFonts w:ascii="Arial" w:eastAsia="Arial Unicode MS" w:hAnsi="Arial" w:cs="Arial"/>
          <w:b/>
          <w:color w:val="FFFFFF" w:themeColor="background1"/>
          <w:sz w:val="24"/>
          <w:szCs w:val="24"/>
        </w:rPr>
      </w:pPr>
      <w:r w:rsidRPr="00A50F01">
        <w:rPr>
          <w:rFonts w:ascii="Arial" w:eastAsia="Arial Unicode MS" w:hAnsi="Arial" w:cs="Arial"/>
          <w:b/>
          <w:color w:val="FFFFFF" w:themeColor="background1"/>
          <w:sz w:val="24"/>
          <w:szCs w:val="24"/>
        </w:rPr>
        <w:t xml:space="preserve">ACTUALIZAREA COMPETENȚELOR RU din ÎPT </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 xml:space="preserve">Este necesară o analiză a resurselor umane din ÎPT, în ceea ce privește nivelul de competențe, vârsta medie a personalului, disponibilitatea pentru perfecționare, actualizarea competențelor; </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Exista inițiative interesante locale de actualizare de competențe, prin mobilități Erasmus+ și alte proiecte, care pot fi promovate și multiplicate la nivel regional;</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 xml:space="preserve">Proiectele în curs de derulare ( de ex. Learning by Doing), pot fi promovate pentru a </w:t>
      </w:r>
      <w:r w:rsidR="003E125A">
        <w:rPr>
          <w:rFonts w:ascii="Arial" w:eastAsia="Arial Unicode MS" w:hAnsi="Arial" w:cs="Arial"/>
          <w:sz w:val="24"/>
          <w:szCs w:val="24"/>
        </w:rPr>
        <w:t>î</w:t>
      </w:r>
      <w:r w:rsidRPr="00A50F01">
        <w:rPr>
          <w:rFonts w:ascii="Arial" w:eastAsia="Arial Unicode MS" w:hAnsi="Arial" w:cs="Arial"/>
          <w:sz w:val="24"/>
          <w:szCs w:val="24"/>
        </w:rPr>
        <w:t xml:space="preserve">ncuraja acțiuni similare, sau inclusiv preluarea unor rezltate intermediare sau finale; </w:t>
      </w:r>
    </w:p>
    <w:p w:rsidR="00FE7DCF" w:rsidRPr="00A50F01" w:rsidRDefault="00FE7DCF" w:rsidP="00A827CF">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CR poate oferi un suport specializat pentru designul și implementarea de proiecte cu finanțare comunitară;</w:t>
      </w:r>
    </w:p>
    <w:p w:rsidR="00FE7DCF" w:rsidRDefault="00FE7DCF" w:rsidP="000C6A67">
      <w:pPr>
        <w:pStyle w:val="ListParagraph"/>
        <w:numPr>
          <w:ilvl w:val="0"/>
          <w:numId w:val="5"/>
        </w:numPr>
        <w:contextualSpacing/>
        <w:jc w:val="both"/>
        <w:rPr>
          <w:rFonts w:ascii="Arial" w:eastAsia="Arial Unicode MS" w:hAnsi="Arial" w:cs="Arial"/>
          <w:sz w:val="24"/>
          <w:szCs w:val="24"/>
        </w:rPr>
      </w:pPr>
      <w:r w:rsidRPr="00A50F01">
        <w:rPr>
          <w:rFonts w:ascii="Arial" w:eastAsia="Arial Unicode MS" w:hAnsi="Arial" w:cs="Arial"/>
          <w:sz w:val="24"/>
          <w:szCs w:val="24"/>
        </w:rPr>
        <w:t xml:space="preserve">Resulsele locale de finanțare pot fi accesate și incurajate la nivel județean și regional; </w:t>
      </w:r>
    </w:p>
    <w:p w:rsidR="00866A1A" w:rsidRDefault="00866A1A" w:rsidP="00866A1A">
      <w:pPr>
        <w:pStyle w:val="ListParagraph"/>
        <w:ind w:left="360"/>
        <w:contextualSpacing/>
        <w:jc w:val="both"/>
        <w:rPr>
          <w:rFonts w:ascii="Arial" w:eastAsia="Arial Unicode MS" w:hAnsi="Arial" w:cs="Arial"/>
          <w:sz w:val="24"/>
          <w:szCs w:val="24"/>
        </w:rPr>
      </w:pPr>
    </w:p>
    <w:p w:rsidR="00866A1A" w:rsidRPr="00866A1A" w:rsidRDefault="00866A1A" w:rsidP="00866A1A">
      <w:pPr>
        <w:pStyle w:val="ListParagraph"/>
        <w:ind w:left="360"/>
        <w:contextualSpacing/>
        <w:jc w:val="both"/>
        <w:rPr>
          <w:rFonts w:ascii="Arial" w:eastAsia="Arial Unicode MS" w:hAnsi="Arial" w:cs="Arial"/>
          <w:sz w:val="24"/>
          <w:szCs w:val="24"/>
        </w:rPr>
      </w:pPr>
    </w:p>
    <w:p w:rsidR="00583A5B" w:rsidRDefault="00583A5B" w:rsidP="000C6A67">
      <w:pPr>
        <w:spacing w:after="0" w:line="240" w:lineRule="auto"/>
        <w:jc w:val="center"/>
        <w:rPr>
          <w:rFonts w:ascii="Arial" w:hAnsi="Arial" w:cs="Arial"/>
          <w:b/>
          <w:sz w:val="24"/>
          <w:szCs w:val="24"/>
        </w:rPr>
      </w:pPr>
    </w:p>
    <w:p w:rsidR="00FE7DCF" w:rsidRPr="00A50F01" w:rsidRDefault="00FE7DCF" w:rsidP="000C6A67">
      <w:pPr>
        <w:spacing w:after="0" w:line="240" w:lineRule="auto"/>
        <w:jc w:val="center"/>
        <w:rPr>
          <w:rFonts w:ascii="Arial" w:hAnsi="Arial" w:cs="Arial"/>
          <w:b/>
          <w:sz w:val="24"/>
          <w:szCs w:val="24"/>
        </w:rPr>
      </w:pPr>
      <w:r w:rsidRPr="00A50F01">
        <w:rPr>
          <w:rFonts w:ascii="Arial" w:hAnsi="Arial" w:cs="Arial"/>
          <w:b/>
          <w:sz w:val="24"/>
          <w:szCs w:val="24"/>
        </w:rPr>
        <w:t>ACŢIUNI PROPUSE PENTRU REALIZAREA OBIECTIVELOR DEZVOLTĂRII IPT</w:t>
      </w:r>
    </w:p>
    <w:p w:rsidR="00866A1A" w:rsidRDefault="00866A1A" w:rsidP="000C6A67">
      <w:pPr>
        <w:pStyle w:val="BodyText"/>
        <w:spacing w:after="0" w:line="240" w:lineRule="auto"/>
        <w:rPr>
          <w:rFonts w:ascii="Arial" w:hAnsi="Arial" w:cs="Arial"/>
          <w:b/>
          <w:i/>
          <w:sz w:val="24"/>
          <w:szCs w:val="24"/>
          <w:u w:val="single"/>
        </w:rPr>
      </w:pPr>
    </w:p>
    <w:p w:rsidR="00FE7DCF" w:rsidRPr="00A50F01" w:rsidRDefault="00FE7DCF" w:rsidP="00866A1A">
      <w:pPr>
        <w:pStyle w:val="BodyText"/>
        <w:spacing w:after="0" w:line="240" w:lineRule="auto"/>
        <w:ind w:left="720"/>
        <w:rPr>
          <w:rFonts w:ascii="Arial" w:hAnsi="Arial" w:cs="Arial"/>
          <w:b/>
          <w:i/>
          <w:sz w:val="24"/>
          <w:szCs w:val="24"/>
          <w:u w:val="single"/>
        </w:rPr>
      </w:pPr>
      <w:r w:rsidRPr="00A50F01">
        <w:rPr>
          <w:rFonts w:ascii="Arial" w:hAnsi="Arial" w:cs="Arial"/>
          <w:b/>
          <w:i/>
          <w:sz w:val="24"/>
          <w:szCs w:val="24"/>
          <w:u w:val="single"/>
        </w:rPr>
        <w:t>Obiectivul general</w:t>
      </w:r>
    </w:p>
    <w:p w:rsidR="00FE7DCF" w:rsidRPr="00A50F01" w:rsidRDefault="00FE7DCF" w:rsidP="00866A1A">
      <w:pPr>
        <w:pStyle w:val="BodyText"/>
        <w:spacing w:after="0" w:line="240" w:lineRule="auto"/>
        <w:ind w:left="720"/>
        <w:rPr>
          <w:rFonts w:ascii="Arial" w:eastAsia="Arial Unicode MS" w:hAnsi="Arial" w:cs="Arial"/>
          <w:sz w:val="24"/>
          <w:szCs w:val="24"/>
        </w:rPr>
      </w:pPr>
      <w:r w:rsidRPr="00A50F01">
        <w:rPr>
          <w:rFonts w:ascii="Arial" w:eastAsia="Arial Unicode MS" w:hAnsi="Arial" w:cs="Arial"/>
          <w:sz w:val="24"/>
          <w:szCs w:val="24"/>
        </w:rPr>
        <w:t xml:space="preserve">Dezvoltarea și promovarea unei oferte ÎPT cu relevanță regională, adecvată nevoilor operatoilor economici și corelată cu aspirațiile de realizare a potențialului personal al tinerilor. </w:t>
      </w:r>
    </w:p>
    <w:p w:rsidR="00FE7DCF" w:rsidRPr="00A50F01" w:rsidRDefault="00FE7DCF" w:rsidP="00866A1A">
      <w:pPr>
        <w:pStyle w:val="BodyText"/>
        <w:spacing w:after="0" w:line="240" w:lineRule="auto"/>
        <w:ind w:left="720"/>
        <w:rPr>
          <w:rFonts w:ascii="Arial" w:hAnsi="Arial" w:cs="Arial"/>
          <w:b/>
          <w:i/>
          <w:sz w:val="24"/>
          <w:szCs w:val="24"/>
          <w:u w:val="single"/>
        </w:rPr>
      </w:pPr>
      <w:r w:rsidRPr="00A50F01">
        <w:rPr>
          <w:rFonts w:ascii="Arial" w:hAnsi="Arial" w:cs="Arial"/>
          <w:b/>
          <w:i/>
          <w:sz w:val="24"/>
          <w:szCs w:val="24"/>
          <w:u w:val="single"/>
        </w:rPr>
        <w:t>Obiective specifice:</w:t>
      </w:r>
    </w:p>
    <w:p w:rsidR="00FE7DCF" w:rsidRPr="00A50F01" w:rsidRDefault="00FE7DCF" w:rsidP="00A827CF">
      <w:pPr>
        <w:numPr>
          <w:ilvl w:val="0"/>
          <w:numId w:val="4"/>
        </w:numPr>
        <w:spacing w:after="0" w:line="240" w:lineRule="auto"/>
        <w:jc w:val="both"/>
        <w:rPr>
          <w:rFonts w:ascii="Arial" w:eastAsia="Arial Unicode MS" w:hAnsi="Arial" w:cs="Arial"/>
          <w:sz w:val="24"/>
          <w:szCs w:val="24"/>
        </w:rPr>
      </w:pPr>
      <w:r w:rsidRPr="00A50F01">
        <w:rPr>
          <w:rFonts w:ascii="Arial" w:eastAsia="Arial Unicode MS" w:hAnsi="Arial" w:cs="Arial"/>
          <w:sz w:val="24"/>
          <w:szCs w:val="24"/>
        </w:rPr>
        <w:t xml:space="preserve">Creșterea gradului de relevanță a ofertei regionale ÎPT la cerințele pieței muncii regionale, pe termen scurt și mediu </w:t>
      </w:r>
    </w:p>
    <w:p w:rsidR="00FE7DCF" w:rsidRPr="00A50F01" w:rsidRDefault="00FE7DCF" w:rsidP="00A827CF">
      <w:pPr>
        <w:numPr>
          <w:ilvl w:val="0"/>
          <w:numId w:val="4"/>
        </w:numPr>
        <w:spacing w:after="0" w:line="240" w:lineRule="auto"/>
        <w:jc w:val="both"/>
        <w:rPr>
          <w:rFonts w:ascii="Arial" w:eastAsia="Arial Unicode MS" w:hAnsi="Arial" w:cs="Arial"/>
          <w:sz w:val="24"/>
          <w:szCs w:val="24"/>
        </w:rPr>
      </w:pPr>
      <w:r w:rsidRPr="00A50F01">
        <w:rPr>
          <w:rFonts w:ascii="Arial" w:eastAsia="Arial Unicode MS" w:hAnsi="Arial" w:cs="Arial"/>
          <w:sz w:val="24"/>
          <w:szCs w:val="24"/>
        </w:rPr>
        <w:t xml:space="preserve">Diversificarea ofertei regionale ÎPT pentru o mai buna acoperire a diversității opțiunilor elevilor </w:t>
      </w:r>
    </w:p>
    <w:p w:rsidR="00FE7DCF" w:rsidRPr="00A50F01" w:rsidRDefault="00FE7DCF" w:rsidP="00A827CF">
      <w:pPr>
        <w:numPr>
          <w:ilvl w:val="0"/>
          <w:numId w:val="4"/>
        </w:numPr>
        <w:spacing w:after="0" w:line="240" w:lineRule="auto"/>
        <w:jc w:val="both"/>
        <w:rPr>
          <w:rFonts w:ascii="Arial" w:eastAsia="Arial Unicode MS" w:hAnsi="Arial" w:cs="Arial"/>
          <w:sz w:val="24"/>
          <w:szCs w:val="24"/>
        </w:rPr>
      </w:pPr>
      <w:r w:rsidRPr="00A50F01">
        <w:rPr>
          <w:rFonts w:ascii="Arial" w:eastAsia="Arial Unicode MS" w:hAnsi="Arial" w:cs="Arial"/>
          <w:sz w:val="24"/>
          <w:szCs w:val="24"/>
        </w:rPr>
        <w:t xml:space="preserve">Promovarea la nivel regional a ofertei cu relevanță regională, pentru a permite opțiunea bine informată și fundamentată a elevilor </w:t>
      </w:r>
    </w:p>
    <w:p w:rsidR="00FE7DCF" w:rsidRPr="00A50F01" w:rsidRDefault="00FE7DCF" w:rsidP="00A827CF">
      <w:pPr>
        <w:numPr>
          <w:ilvl w:val="0"/>
          <w:numId w:val="4"/>
        </w:numPr>
        <w:spacing w:after="0" w:line="240" w:lineRule="auto"/>
        <w:jc w:val="both"/>
        <w:rPr>
          <w:rFonts w:ascii="Arial" w:eastAsia="Arial Unicode MS" w:hAnsi="Arial" w:cs="Arial"/>
          <w:sz w:val="24"/>
          <w:szCs w:val="24"/>
        </w:rPr>
      </w:pPr>
      <w:r w:rsidRPr="00A50F01">
        <w:rPr>
          <w:rFonts w:ascii="Arial" w:eastAsia="Arial Unicode MS" w:hAnsi="Arial" w:cs="Arial"/>
          <w:sz w:val="24"/>
          <w:szCs w:val="24"/>
        </w:rPr>
        <w:t xml:space="preserve">Optimizarea utilizării resurselor aferente ÎPT și atragerea unor surse suplimentare pentru finanțarea unei oferte moderne </w:t>
      </w:r>
    </w:p>
    <w:p w:rsidR="00FE7DCF" w:rsidRPr="00A50F01" w:rsidRDefault="00FE7DCF" w:rsidP="00A827CF">
      <w:pPr>
        <w:numPr>
          <w:ilvl w:val="0"/>
          <w:numId w:val="4"/>
        </w:numPr>
        <w:spacing w:after="0" w:line="240" w:lineRule="auto"/>
        <w:jc w:val="both"/>
        <w:rPr>
          <w:rFonts w:ascii="Arial" w:eastAsia="Arial Unicode MS" w:hAnsi="Arial" w:cs="Arial"/>
          <w:sz w:val="24"/>
          <w:szCs w:val="24"/>
        </w:rPr>
      </w:pPr>
      <w:r w:rsidRPr="00A50F01">
        <w:rPr>
          <w:rFonts w:ascii="Arial" w:eastAsia="Arial Unicode MS" w:hAnsi="Arial" w:cs="Arial"/>
          <w:sz w:val="24"/>
          <w:szCs w:val="24"/>
        </w:rPr>
        <w:t>Imbunătățirea capacității de actualizare a competențelor resurselor umane din ÎPT</w:t>
      </w:r>
    </w:p>
    <w:p w:rsidR="00FE7DCF" w:rsidRPr="00A50F01" w:rsidRDefault="00FE7DCF" w:rsidP="000C6A67">
      <w:pPr>
        <w:spacing w:after="0" w:line="240" w:lineRule="auto"/>
        <w:ind w:left="900"/>
        <w:jc w:val="both"/>
        <w:rPr>
          <w:rFonts w:ascii="Arial" w:eastAsia="Arial Unicode MS" w:hAnsi="Arial" w:cs="Arial"/>
          <w:sz w:val="24"/>
          <w:szCs w:val="24"/>
        </w:rPr>
      </w:pPr>
    </w:p>
    <w:p w:rsidR="00FE7DCF" w:rsidRPr="00FE7DCF" w:rsidRDefault="00FE7DCF" w:rsidP="00577C63">
      <w:pPr>
        <w:spacing w:after="0" w:line="240" w:lineRule="auto"/>
        <w:rPr>
          <w:rFonts w:ascii="Arial" w:eastAsia="Arial Unicode MS" w:hAnsi="Arial" w:cs="Arial"/>
          <w:sz w:val="24"/>
          <w:szCs w:val="24"/>
        </w:rPr>
        <w:sectPr w:rsidR="00FE7DCF" w:rsidRPr="00FE7DCF" w:rsidSect="00FE7DCF">
          <w:type w:val="continuous"/>
          <w:pgSz w:w="11907" w:h="16840" w:code="9"/>
          <w:pgMar w:top="1138" w:right="1138" w:bottom="1138" w:left="1411" w:header="720" w:footer="720" w:gutter="0"/>
          <w:cols w:space="720"/>
          <w:docGrid w:linePitch="360"/>
        </w:sectPr>
      </w:pPr>
      <w:r w:rsidRPr="00A50F01">
        <w:rPr>
          <w:rFonts w:ascii="Arial" w:eastAsia="Arial Unicode MS" w:hAnsi="Arial" w:cs="Arial"/>
          <w:sz w:val="24"/>
          <w:szCs w:val="24"/>
        </w:rPr>
        <w:t>Acest set de obiective este generat din analiza SW</w:t>
      </w:r>
      <w:r w:rsidR="00577C63">
        <w:rPr>
          <w:rFonts w:ascii="Arial" w:eastAsia="Arial Unicode MS" w:hAnsi="Arial" w:cs="Arial"/>
          <w:sz w:val="24"/>
          <w:szCs w:val="24"/>
        </w:rPr>
        <w:t xml:space="preserve">OT, și constituie cadrul pentru </w:t>
      </w:r>
      <w:r w:rsidRPr="00A50F01">
        <w:rPr>
          <w:rFonts w:ascii="Arial" w:eastAsia="Arial Unicode MS" w:hAnsi="Arial" w:cs="Arial"/>
          <w:sz w:val="24"/>
          <w:szCs w:val="24"/>
        </w:rPr>
        <w:t xml:space="preserve">activitățile care vizeaza punctele slabe identificate, prin valorificarea oportunităților și a punctelor tari existente. </w:t>
      </w:r>
    </w:p>
    <w:p w:rsidR="00272CA6" w:rsidRDefault="00272CA6" w:rsidP="00577C63">
      <w:pPr>
        <w:pStyle w:val="Heading1"/>
        <w:spacing w:before="0" w:line="240" w:lineRule="auto"/>
        <w:rPr>
          <w:rFonts w:ascii="Arial" w:hAnsi="Arial" w:cs="Arial"/>
          <w:color w:val="auto"/>
          <w:lang w:eastAsia="ro-RO"/>
        </w:rPr>
        <w:sectPr w:rsidR="00272CA6" w:rsidSect="00DD5F85">
          <w:type w:val="continuous"/>
          <w:pgSz w:w="11907" w:h="16840" w:code="9"/>
          <w:pgMar w:top="1134" w:right="1134" w:bottom="1134" w:left="1418" w:header="720" w:footer="720" w:gutter="0"/>
          <w:cols w:space="720"/>
          <w:docGrid w:linePitch="360"/>
        </w:sectPr>
      </w:pPr>
    </w:p>
    <w:p w:rsidR="00DD5F85" w:rsidRDefault="00FE3CCA" w:rsidP="000C6A67">
      <w:pPr>
        <w:pStyle w:val="Heading1"/>
        <w:spacing w:before="0" w:line="240" w:lineRule="auto"/>
        <w:jc w:val="center"/>
        <w:rPr>
          <w:rFonts w:ascii="Arial" w:hAnsi="Arial" w:cs="Arial"/>
          <w:color w:val="auto"/>
          <w:lang w:eastAsia="ro-RO"/>
        </w:rPr>
      </w:pPr>
      <w:bookmarkStart w:id="125" w:name="_Toc488066094"/>
      <w:r w:rsidRPr="00DD5F85">
        <w:rPr>
          <w:rFonts w:ascii="Arial" w:hAnsi="Arial" w:cs="Arial"/>
          <w:color w:val="auto"/>
          <w:lang w:eastAsia="ro-RO"/>
        </w:rPr>
        <w:lastRenderedPageBreak/>
        <w:t>10</w:t>
      </w:r>
      <w:r w:rsidR="00406DCE" w:rsidRPr="00DD5F85">
        <w:rPr>
          <w:rFonts w:ascii="Arial" w:hAnsi="Arial" w:cs="Arial"/>
          <w:color w:val="auto"/>
          <w:lang w:eastAsia="ro-RO"/>
        </w:rPr>
        <w:t>. Planul de măsuri</w:t>
      </w:r>
      <w:bookmarkEnd w:id="125"/>
    </w:p>
    <w:p w:rsidR="00FE7DCF" w:rsidRDefault="00FE7DCF" w:rsidP="000C6A67">
      <w:pPr>
        <w:spacing w:after="0" w:line="240" w:lineRule="auto"/>
        <w:rPr>
          <w:rFonts w:ascii="Arial" w:hAnsi="Arial" w:cs="Arial"/>
          <w:sz w:val="24"/>
          <w:szCs w:val="24"/>
          <w:lang w:eastAsia="ro-RO"/>
        </w:rPr>
      </w:pPr>
    </w:p>
    <w:tbl>
      <w:tblPr>
        <w:tblW w:w="14695"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5732"/>
        <w:gridCol w:w="1843"/>
        <w:gridCol w:w="1418"/>
        <w:gridCol w:w="1559"/>
        <w:gridCol w:w="1701"/>
        <w:gridCol w:w="2442"/>
      </w:tblGrid>
      <w:tr w:rsidR="00FE7DCF" w:rsidRPr="00D12E97" w:rsidTr="002A61B3">
        <w:trPr>
          <w:trHeight w:val="314"/>
          <w:jc w:val="center"/>
        </w:trPr>
        <w:tc>
          <w:tcPr>
            <w:tcW w:w="14695" w:type="dxa"/>
            <w:gridSpan w:val="6"/>
            <w:tcBorders>
              <w:bottom w:val="single" w:sz="12" w:space="0" w:color="auto"/>
            </w:tcBorders>
            <w:shd w:val="clear" w:color="auto" w:fill="66CCFF"/>
          </w:tcPr>
          <w:p w:rsidR="00FE7DCF" w:rsidRPr="005674EB" w:rsidRDefault="00FE7DCF" w:rsidP="002A61B3">
            <w:pPr>
              <w:spacing w:after="0" w:line="240" w:lineRule="auto"/>
              <w:rPr>
                <w:rFonts w:ascii="Arial" w:hAnsi="Arial" w:cs="Arial"/>
                <w:b/>
              </w:rPr>
            </w:pPr>
            <w:r w:rsidRPr="005674EB">
              <w:rPr>
                <w:rFonts w:ascii="Arial" w:hAnsi="Arial" w:cs="Arial"/>
                <w:b/>
              </w:rPr>
              <w:t>PRIORITATEA 1</w:t>
            </w:r>
            <w:r w:rsidR="002A61B3">
              <w:rPr>
                <w:rFonts w:ascii="Arial" w:hAnsi="Arial" w:cs="Arial"/>
                <w:b/>
                <w:bCs/>
              </w:rPr>
              <w:t xml:space="preserve">: </w:t>
            </w:r>
            <w:r w:rsidRPr="005674EB">
              <w:rPr>
                <w:rFonts w:ascii="Arial" w:eastAsia="Arial Unicode MS" w:hAnsi="Arial" w:cs="Arial"/>
              </w:rPr>
              <w:t>Relevanță a ofertei regionale ÎPT</w:t>
            </w:r>
          </w:p>
        </w:tc>
      </w:tr>
      <w:tr w:rsidR="00FE7DCF" w:rsidRPr="00D12E97" w:rsidTr="002A61B3">
        <w:trPr>
          <w:trHeight w:val="314"/>
          <w:jc w:val="center"/>
        </w:trPr>
        <w:tc>
          <w:tcPr>
            <w:tcW w:w="14695" w:type="dxa"/>
            <w:gridSpan w:val="6"/>
            <w:tcBorders>
              <w:bottom w:val="single" w:sz="12" w:space="0" w:color="auto"/>
            </w:tcBorders>
            <w:shd w:val="clear" w:color="auto" w:fill="66CCFF"/>
          </w:tcPr>
          <w:p w:rsidR="00FE7DCF" w:rsidRPr="005674EB" w:rsidRDefault="00A95AD9" w:rsidP="000C6A67">
            <w:pPr>
              <w:spacing w:after="0" w:line="240" w:lineRule="auto"/>
              <w:rPr>
                <w:rFonts w:ascii="Arial" w:hAnsi="Arial" w:cs="Arial"/>
                <w:b/>
              </w:rPr>
            </w:pPr>
            <w:r w:rsidRPr="005674EB">
              <w:rPr>
                <w:rFonts w:ascii="Arial" w:hAnsi="Arial" w:cs="Arial"/>
                <w:b/>
              </w:rPr>
              <w:t xml:space="preserve">Obiectiv 1. </w:t>
            </w:r>
            <w:r w:rsidR="00FE7DCF" w:rsidRPr="005674EB">
              <w:rPr>
                <w:rFonts w:ascii="Arial" w:eastAsia="Arial Unicode MS" w:hAnsi="Arial" w:cs="Arial"/>
              </w:rPr>
              <w:t>Creșterea gradului de relevanță a ofertei regionale ÎPT la cerințele pieței muncii regionale, pe termen scurt și mediu</w:t>
            </w:r>
            <w:r w:rsidR="00FE7DCF" w:rsidRPr="005674EB">
              <w:rPr>
                <w:rFonts w:ascii="Arial" w:hAnsi="Arial" w:cs="Arial"/>
                <w:b/>
              </w:rPr>
              <w:t xml:space="preserve"> </w:t>
            </w:r>
          </w:p>
        </w:tc>
      </w:tr>
      <w:tr w:rsidR="00FE7DCF" w:rsidRPr="00D12E97" w:rsidTr="00A95AD9">
        <w:trPr>
          <w:trHeight w:val="698"/>
          <w:jc w:val="center"/>
        </w:trPr>
        <w:tc>
          <w:tcPr>
            <w:tcW w:w="14695" w:type="dxa"/>
            <w:gridSpan w:val="6"/>
            <w:shd w:val="clear" w:color="auto" w:fill="CCFFFF"/>
          </w:tcPr>
          <w:p w:rsidR="00FE7DCF" w:rsidRPr="005674EB" w:rsidRDefault="00FE7DCF" w:rsidP="000C6A67">
            <w:pPr>
              <w:spacing w:after="0" w:line="240" w:lineRule="auto"/>
              <w:jc w:val="both"/>
              <w:rPr>
                <w:rFonts w:ascii="Arial" w:eastAsia="Arial Unicode MS" w:hAnsi="Arial" w:cs="Arial"/>
              </w:rPr>
            </w:pPr>
            <w:r w:rsidRPr="005674EB">
              <w:rPr>
                <w:rFonts w:ascii="Arial" w:eastAsia="Arial Unicode MS" w:hAnsi="Arial" w:cs="Arial"/>
              </w:rPr>
              <w:t>Indicatori de impact:</w:t>
            </w:r>
          </w:p>
          <w:p w:rsidR="00FE7DCF" w:rsidRPr="005674EB" w:rsidRDefault="00FE7DCF" w:rsidP="000C6A67">
            <w:pPr>
              <w:spacing w:after="0" w:line="240" w:lineRule="auto"/>
              <w:jc w:val="both"/>
              <w:rPr>
                <w:rFonts w:ascii="Arial" w:eastAsia="Arial Unicode MS" w:hAnsi="Arial" w:cs="Arial"/>
              </w:rPr>
            </w:pPr>
            <w:r w:rsidRPr="005674EB">
              <w:rPr>
                <w:rFonts w:ascii="Arial" w:eastAsia="Arial Unicode MS" w:hAnsi="Arial" w:cs="Arial"/>
              </w:rPr>
              <w:t xml:space="preserve">Asigurarea unui grad ridicat de satisfacere a cerințelor operatorilor economici  - minim 95% </w:t>
            </w:r>
          </w:p>
          <w:p w:rsidR="00FE7DCF" w:rsidRPr="005674EB" w:rsidRDefault="00FE7DCF" w:rsidP="000C6A67">
            <w:pPr>
              <w:spacing w:after="0" w:line="240" w:lineRule="auto"/>
              <w:jc w:val="both"/>
              <w:rPr>
                <w:rFonts w:ascii="Arial" w:hAnsi="Arial" w:cs="Arial"/>
              </w:rPr>
            </w:pPr>
            <w:r w:rsidRPr="005674EB">
              <w:rPr>
                <w:rFonts w:ascii="Arial" w:eastAsia="Arial Unicode MS" w:hAnsi="Arial" w:cs="Arial"/>
              </w:rPr>
              <w:t>Creșterea ponderii ÎPT in oferta județelor, pentru a reduce decalajul față de ținta de 60%</w:t>
            </w:r>
          </w:p>
        </w:tc>
      </w:tr>
      <w:tr w:rsidR="00FE7DCF" w:rsidRPr="00D7649E" w:rsidTr="00567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jc w:val="center"/>
        </w:trPr>
        <w:tc>
          <w:tcPr>
            <w:tcW w:w="12253" w:type="dxa"/>
            <w:gridSpan w:val="5"/>
            <w:tcBorders>
              <w:top w:val="single" w:sz="12" w:space="0" w:color="auto"/>
              <w:left w:val="single" w:sz="12" w:space="0" w:color="auto"/>
              <w:bottom w:val="single" w:sz="12" w:space="0" w:color="auto"/>
            </w:tcBorders>
            <w:shd w:val="clear" w:color="auto" w:fill="CCFFFF"/>
          </w:tcPr>
          <w:p w:rsidR="00FE7DCF" w:rsidRPr="005674EB" w:rsidRDefault="00FE7DCF" w:rsidP="000C6A67">
            <w:pPr>
              <w:spacing w:after="0" w:line="240" w:lineRule="auto"/>
              <w:jc w:val="both"/>
              <w:rPr>
                <w:rFonts w:ascii="Arial" w:hAnsi="Arial" w:cs="Arial"/>
                <w:b/>
              </w:rPr>
            </w:pPr>
            <w:r w:rsidRPr="005674EB">
              <w:rPr>
                <w:rFonts w:ascii="Arial" w:hAnsi="Arial" w:cs="Arial"/>
                <w:b/>
                <w:u w:val="single"/>
              </w:rPr>
              <w:t xml:space="preserve">Obiectivul 1 </w:t>
            </w:r>
            <w:r w:rsidRPr="005674EB">
              <w:rPr>
                <w:rFonts w:ascii="Arial" w:hAnsi="Arial" w:cs="Arial"/>
                <w:b/>
              </w:rPr>
              <w:t xml:space="preserve"> : </w:t>
            </w:r>
            <w:r w:rsidRPr="005674EB">
              <w:rPr>
                <w:rFonts w:ascii="Arial" w:eastAsia="Arial Unicode MS" w:hAnsi="Arial" w:cs="Arial"/>
              </w:rPr>
              <w:t>Creșterea gradului de relevanță a ofertei regionale ÎPT la cerințele pieței muncii regionale, pe termen scurt și mediu</w:t>
            </w:r>
          </w:p>
          <w:p w:rsidR="00FE7DCF" w:rsidRPr="005674EB" w:rsidRDefault="00FE7DCF" w:rsidP="000C6A67">
            <w:pPr>
              <w:spacing w:after="0" w:line="240" w:lineRule="auto"/>
              <w:rPr>
                <w:rFonts w:ascii="Arial" w:hAnsi="Arial" w:cs="Arial"/>
                <w:b/>
                <w:u w:val="single"/>
              </w:rPr>
            </w:pPr>
            <w:r w:rsidRPr="005674EB">
              <w:rPr>
                <w:rFonts w:ascii="Arial" w:hAnsi="Arial" w:cs="Arial"/>
                <w:b/>
                <w:u w:val="single"/>
              </w:rPr>
              <w:t xml:space="preserve">Indicatori: </w:t>
            </w:r>
          </w:p>
          <w:p w:rsidR="00FE7DCF" w:rsidRPr="005674EB" w:rsidRDefault="00FE7DCF" w:rsidP="000C6A67">
            <w:pPr>
              <w:spacing w:after="0" w:line="240" w:lineRule="auto"/>
              <w:jc w:val="both"/>
              <w:rPr>
                <w:rFonts w:ascii="Arial" w:eastAsia="Arial Unicode MS" w:hAnsi="Arial" w:cs="Arial"/>
              </w:rPr>
            </w:pPr>
            <w:r w:rsidRPr="005674EB">
              <w:rPr>
                <w:rFonts w:ascii="Arial" w:eastAsia="Arial Unicode MS" w:hAnsi="Arial" w:cs="Arial"/>
              </w:rPr>
              <w:t xml:space="preserve">Asigurarea unui grad ridicat de satisfacere a cerințelor operatorilor economici  - minim 95% </w:t>
            </w:r>
          </w:p>
          <w:p w:rsidR="00FE7DCF" w:rsidRPr="005674EB" w:rsidRDefault="00FE7DCF" w:rsidP="000C6A67">
            <w:pPr>
              <w:spacing w:after="0" w:line="240" w:lineRule="auto"/>
              <w:rPr>
                <w:rFonts w:ascii="Arial" w:hAnsi="Arial" w:cs="Arial"/>
                <w:b/>
              </w:rPr>
            </w:pPr>
            <w:r w:rsidRPr="005674EB">
              <w:rPr>
                <w:rFonts w:ascii="Arial" w:eastAsia="Arial Unicode MS" w:hAnsi="Arial" w:cs="Arial"/>
              </w:rPr>
              <w:t>Creșterea ponderii ÎPT in oferta județelor, pentru a reduce decalajul față de ținta de 60%</w:t>
            </w:r>
          </w:p>
        </w:tc>
        <w:tc>
          <w:tcPr>
            <w:tcW w:w="2442" w:type="dxa"/>
            <w:tcBorders>
              <w:top w:val="single" w:sz="12" w:space="0" w:color="auto"/>
              <w:bottom w:val="single" w:sz="12" w:space="0" w:color="auto"/>
              <w:right w:val="single" w:sz="12" w:space="0" w:color="auto"/>
            </w:tcBorders>
            <w:shd w:val="clear" w:color="auto" w:fill="CCFFFF"/>
          </w:tcPr>
          <w:p w:rsidR="00FE7DCF" w:rsidRPr="005674EB" w:rsidRDefault="00FE7DCF" w:rsidP="000C6A67">
            <w:pPr>
              <w:spacing w:after="0" w:line="240" w:lineRule="auto"/>
              <w:rPr>
                <w:rFonts w:ascii="Arial" w:hAnsi="Arial" w:cs="Arial"/>
                <w:b/>
              </w:rPr>
            </w:pPr>
            <w:r w:rsidRPr="005674EB">
              <w:rPr>
                <w:rFonts w:ascii="Arial" w:eastAsia="Arial" w:hAnsi="Arial" w:cs="Arial"/>
                <w:b/>
                <w:bCs/>
                <w:color w:val="000000"/>
              </w:rPr>
              <w:t>Precondiţii şi riscuri:</w:t>
            </w:r>
          </w:p>
          <w:p w:rsidR="00A95AD9" w:rsidRPr="005674EB" w:rsidRDefault="00A95AD9" w:rsidP="000C6A67">
            <w:pPr>
              <w:spacing w:after="0" w:line="240" w:lineRule="auto"/>
              <w:rPr>
                <w:rFonts w:ascii="Arial" w:hAnsi="Arial" w:cs="Arial"/>
              </w:rPr>
            </w:pPr>
            <w:r w:rsidRPr="005674EB">
              <w:rPr>
                <w:rFonts w:ascii="Arial" w:hAnsi="Arial" w:cs="Arial"/>
              </w:rPr>
              <w:t xml:space="preserve">Păstrarea opțiunilor elevilor și a părinților cu prioritate pentru învățământ general </w:t>
            </w:r>
          </w:p>
        </w:tc>
      </w:tr>
      <w:tr w:rsidR="00FE7DCF" w:rsidRPr="00D7649E" w:rsidTr="00567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jc w:val="center"/>
        </w:trPr>
        <w:tc>
          <w:tcPr>
            <w:tcW w:w="5732" w:type="dxa"/>
            <w:tcBorders>
              <w:top w:val="single" w:sz="12" w:space="0" w:color="auto"/>
              <w:left w:val="single" w:sz="12" w:space="0" w:color="auto"/>
              <w:bottom w:val="single" w:sz="12" w:space="0" w:color="auto"/>
            </w:tcBorders>
            <w:shd w:val="clear" w:color="auto" w:fill="CCFFFF"/>
          </w:tcPr>
          <w:p w:rsidR="00FE7DCF" w:rsidRPr="00D7649E" w:rsidRDefault="00FE7DCF" w:rsidP="000C6A67">
            <w:pPr>
              <w:spacing w:after="0" w:line="240" w:lineRule="auto"/>
              <w:rPr>
                <w:rFonts w:ascii="Arial" w:hAnsi="Arial" w:cs="Arial"/>
                <w:b/>
                <w:sz w:val="20"/>
                <w:szCs w:val="20"/>
              </w:rPr>
            </w:pPr>
            <w:r w:rsidRPr="00D7649E">
              <w:rPr>
                <w:rFonts w:ascii="Arial" w:hAnsi="Arial" w:cs="Arial"/>
                <w:b/>
                <w:sz w:val="20"/>
                <w:szCs w:val="20"/>
              </w:rPr>
              <w:t>Acţiuni - Activităţi</w:t>
            </w:r>
          </w:p>
        </w:tc>
        <w:tc>
          <w:tcPr>
            <w:tcW w:w="1843" w:type="dxa"/>
            <w:tcBorders>
              <w:top w:val="single" w:sz="12" w:space="0" w:color="auto"/>
              <w:bottom w:val="single" w:sz="12" w:space="0" w:color="auto"/>
            </w:tcBorders>
            <w:shd w:val="clear" w:color="auto" w:fill="CCFFFF"/>
          </w:tcPr>
          <w:p w:rsidR="00FE7DCF" w:rsidRPr="00D7649E" w:rsidRDefault="00FE7DCF" w:rsidP="000C6A67">
            <w:pPr>
              <w:spacing w:after="0" w:line="240" w:lineRule="auto"/>
              <w:ind w:left="249"/>
              <w:rPr>
                <w:rFonts w:ascii="Arial" w:hAnsi="Arial" w:cs="Arial"/>
                <w:b/>
                <w:sz w:val="20"/>
                <w:szCs w:val="20"/>
              </w:rPr>
            </w:pPr>
            <w:r>
              <w:rPr>
                <w:rFonts w:ascii="Arial" w:hAnsi="Arial" w:cs="Arial"/>
                <w:b/>
                <w:sz w:val="20"/>
                <w:szCs w:val="20"/>
              </w:rPr>
              <w:t xml:space="preserve">Rezultate </w:t>
            </w:r>
          </w:p>
        </w:tc>
        <w:tc>
          <w:tcPr>
            <w:tcW w:w="1418" w:type="dxa"/>
            <w:tcBorders>
              <w:top w:val="single" w:sz="12" w:space="0" w:color="auto"/>
              <w:bottom w:val="single" w:sz="12" w:space="0" w:color="auto"/>
            </w:tcBorders>
            <w:shd w:val="clear" w:color="auto" w:fill="CCFFFF"/>
          </w:tcPr>
          <w:p w:rsidR="00FE7DCF" w:rsidRPr="00D7649E" w:rsidRDefault="00FE7DCF" w:rsidP="000C6A67">
            <w:pPr>
              <w:spacing w:after="0" w:line="240" w:lineRule="auto"/>
              <w:ind w:left="249"/>
              <w:rPr>
                <w:rFonts w:ascii="Arial" w:hAnsi="Arial" w:cs="Arial"/>
                <w:b/>
                <w:sz w:val="20"/>
                <w:szCs w:val="20"/>
              </w:rPr>
            </w:pPr>
            <w:r w:rsidRPr="00D7649E">
              <w:rPr>
                <w:rFonts w:ascii="Arial" w:hAnsi="Arial" w:cs="Arial"/>
                <w:b/>
                <w:sz w:val="20"/>
                <w:szCs w:val="20"/>
              </w:rPr>
              <w:t xml:space="preserve">Termene </w:t>
            </w:r>
          </w:p>
        </w:tc>
        <w:tc>
          <w:tcPr>
            <w:tcW w:w="1559" w:type="dxa"/>
            <w:tcBorders>
              <w:top w:val="single" w:sz="12" w:space="0" w:color="auto"/>
              <w:bottom w:val="single" w:sz="12" w:space="0" w:color="auto"/>
            </w:tcBorders>
            <w:shd w:val="clear" w:color="auto" w:fill="CCFFFF"/>
          </w:tcPr>
          <w:p w:rsidR="00FE7DCF" w:rsidRPr="00D7649E" w:rsidRDefault="00FE7DCF" w:rsidP="000C6A67">
            <w:pPr>
              <w:spacing w:after="0" w:line="240" w:lineRule="auto"/>
              <w:jc w:val="center"/>
              <w:rPr>
                <w:rFonts w:ascii="Arial" w:hAnsi="Arial" w:cs="Arial"/>
                <w:b/>
                <w:sz w:val="20"/>
                <w:szCs w:val="20"/>
              </w:rPr>
            </w:pPr>
            <w:r w:rsidRPr="00D7649E">
              <w:rPr>
                <w:rFonts w:ascii="Arial" w:hAnsi="Arial" w:cs="Arial"/>
                <w:b/>
                <w:sz w:val="20"/>
                <w:szCs w:val="20"/>
              </w:rPr>
              <w:t>Instituţii responsabile</w:t>
            </w:r>
          </w:p>
        </w:tc>
        <w:tc>
          <w:tcPr>
            <w:tcW w:w="1701" w:type="dxa"/>
            <w:tcBorders>
              <w:top w:val="single" w:sz="12" w:space="0" w:color="auto"/>
              <w:bottom w:val="single" w:sz="12" w:space="0" w:color="auto"/>
            </w:tcBorders>
            <w:shd w:val="clear" w:color="auto" w:fill="CCFFFF"/>
          </w:tcPr>
          <w:p w:rsidR="00FE7DCF" w:rsidRPr="00D7649E" w:rsidRDefault="00FE7DCF" w:rsidP="000C6A67">
            <w:pPr>
              <w:spacing w:after="0" w:line="240" w:lineRule="auto"/>
              <w:rPr>
                <w:rFonts w:ascii="Arial" w:hAnsi="Arial" w:cs="Arial"/>
                <w:b/>
                <w:sz w:val="20"/>
                <w:szCs w:val="20"/>
              </w:rPr>
            </w:pPr>
            <w:r>
              <w:rPr>
                <w:rFonts w:ascii="Arial" w:hAnsi="Arial" w:cs="Arial"/>
                <w:b/>
                <w:sz w:val="20"/>
                <w:szCs w:val="20"/>
              </w:rPr>
              <w:t>Indicatori</w:t>
            </w:r>
          </w:p>
        </w:tc>
        <w:tc>
          <w:tcPr>
            <w:tcW w:w="2442" w:type="dxa"/>
            <w:tcBorders>
              <w:top w:val="single" w:sz="12" w:space="0" w:color="auto"/>
              <w:bottom w:val="single" w:sz="12" w:space="0" w:color="auto"/>
              <w:right w:val="single" w:sz="12" w:space="0" w:color="auto"/>
            </w:tcBorders>
            <w:shd w:val="clear" w:color="auto" w:fill="CCFFFF"/>
          </w:tcPr>
          <w:p w:rsidR="00FE7DCF" w:rsidRPr="00D7649E" w:rsidRDefault="00FE7DCF" w:rsidP="000C6A67">
            <w:pPr>
              <w:spacing w:after="0" w:line="240" w:lineRule="auto"/>
              <w:rPr>
                <w:rFonts w:ascii="Arial" w:eastAsia="Arial" w:hAnsi="Arial" w:cs="Arial"/>
                <w:b/>
                <w:bCs/>
                <w:color w:val="000000"/>
                <w:sz w:val="20"/>
                <w:szCs w:val="20"/>
              </w:rPr>
            </w:pPr>
            <w:r w:rsidRPr="00D7649E">
              <w:rPr>
                <w:rFonts w:ascii="Arial" w:eastAsia="Arial" w:hAnsi="Arial" w:cs="Arial"/>
                <w:b/>
                <w:bCs/>
                <w:color w:val="000000"/>
                <w:sz w:val="20"/>
                <w:szCs w:val="20"/>
              </w:rPr>
              <w:t>Precondiţii şi riscuri</w:t>
            </w:r>
          </w:p>
          <w:p w:rsidR="00FE7DCF" w:rsidRPr="00D7649E" w:rsidRDefault="00FE7DCF" w:rsidP="000C6A67">
            <w:pPr>
              <w:spacing w:after="0" w:line="240" w:lineRule="auto"/>
              <w:rPr>
                <w:rFonts w:ascii="Arial" w:eastAsia="Arial Unicode MS" w:hAnsi="Arial" w:cs="Arial"/>
                <w:b/>
                <w:bCs/>
                <w:vanish/>
                <w:color w:val="000000"/>
                <w:sz w:val="20"/>
                <w:szCs w:val="20"/>
              </w:rPr>
            </w:pPr>
          </w:p>
          <w:p w:rsidR="00FE7DCF" w:rsidRPr="00D7649E" w:rsidRDefault="00FE7DCF" w:rsidP="000C6A67">
            <w:pPr>
              <w:spacing w:after="0" w:line="240" w:lineRule="auto"/>
              <w:rPr>
                <w:rFonts w:ascii="Arial" w:hAnsi="Arial" w:cs="Arial"/>
                <w:b/>
                <w:bCs/>
                <w:sz w:val="20"/>
                <w:szCs w:val="20"/>
              </w:rPr>
            </w:pPr>
          </w:p>
        </w:tc>
      </w:tr>
      <w:tr w:rsidR="00FE7DCF" w:rsidRPr="00D7649E" w:rsidTr="00567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88"/>
          <w:jc w:val="center"/>
        </w:trPr>
        <w:tc>
          <w:tcPr>
            <w:tcW w:w="5732" w:type="dxa"/>
            <w:tcBorders>
              <w:top w:val="single" w:sz="12" w:space="0" w:color="auto"/>
              <w:left w:val="single" w:sz="12" w:space="0" w:color="auto"/>
            </w:tcBorders>
          </w:tcPr>
          <w:p w:rsidR="00FE7DCF" w:rsidRPr="00E93C75" w:rsidRDefault="00FE7DCF" w:rsidP="000C6A67">
            <w:pPr>
              <w:spacing w:after="0" w:line="240" w:lineRule="auto"/>
              <w:jc w:val="both"/>
              <w:rPr>
                <w:rFonts w:ascii="Arial" w:eastAsia="Arial Unicode MS" w:hAnsi="Arial" w:cs="Arial"/>
                <w:b/>
                <w:sz w:val="20"/>
                <w:szCs w:val="20"/>
              </w:rPr>
            </w:pPr>
            <w:r w:rsidRPr="00E93C75">
              <w:rPr>
                <w:rFonts w:ascii="Arial" w:eastAsia="Arial Unicode MS" w:hAnsi="Arial" w:cs="Arial"/>
                <w:b/>
                <w:sz w:val="20"/>
                <w:szCs w:val="20"/>
              </w:rPr>
              <w:t xml:space="preserve">A.1.1. Informarea operatorilor economici cu privire la posibilitățile de cooperare pentru formarea profesională a tinerilor </w:t>
            </w:r>
          </w:p>
          <w:p w:rsidR="00FE7DCF" w:rsidRPr="00E93C75" w:rsidRDefault="00FE7DCF" w:rsidP="000C6A67">
            <w:pPr>
              <w:spacing w:after="0" w:line="240" w:lineRule="auto"/>
              <w:jc w:val="both"/>
              <w:rPr>
                <w:rFonts w:ascii="Arial" w:eastAsia="Arial Unicode MS" w:hAnsi="Arial" w:cs="Arial"/>
                <w:sz w:val="20"/>
                <w:szCs w:val="20"/>
              </w:rPr>
            </w:pPr>
            <w:r w:rsidRPr="00E93C75">
              <w:rPr>
                <w:rFonts w:ascii="Arial" w:eastAsia="Arial Unicode MS" w:hAnsi="Arial" w:cs="Arial"/>
                <w:sz w:val="20"/>
                <w:szCs w:val="20"/>
              </w:rPr>
              <w:t xml:space="preserve">- elaborare pachet de informare complet și actualizat privind rutele de profesionalizare si legislația care giverneaza IPT  </w:t>
            </w:r>
          </w:p>
          <w:p w:rsidR="00FE7DCF" w:rsidRPr="00E93C75" w:rsidRDefault="00A95AD9" w:rsidP="000C6A67">
            <w:pPr>
              <w:spacing w:after="0" w:line="240" w:lineRule="auto"/>
              <w:jc w:val="both"/>
              <w:rPr>
                <w:rFonts w:ascii="Arial" w:eastAsia="Arial Unicode MS" w:hAnsi="Arial" w:cs="Arial"/>
                <w:sz w:val="20"/>
                <w:szCs w:val="20"/>
              </w:rPr>
            </w:pPr>
            <w:r>
              <w:rPr>
                <w:rFonts w:ascii="Arial" w:eastAsia="Arial Unicode MS" w:hAnsi="Arial" w:cs="Arial"/>
                <w:sz w:val="20"/>
                <w:szCs w:val="20"/>
              </w:rPr>
              <w:t>- activități regionale, j</w:t>
            </w:r>
            <w:r w:rsidR="00FE7DCF" w:rsidRPr="00E93C75">
              <w:rPr>
                <w:rFonts w:ascii="Arial" w:eastAsia="Arial Unicode MS" w:hAnsi="Arial" w:cs="Arial"/>
                <w:sz w:val="20"/>
                <w:szCs w:val="20"/>
              </w:rPr>
              <w:t xml:space="preserve">udețene și locale de informare a operatorilor interesați, realizat cu implicarea partenerilor sociali – autorități locale, AJOFM, asociații profesionale </w:t>
            </w:r>
          </w:p>
          <w:p w:rsidR="00FE7DCF" w:rsidRPr="00E93C75" w:rsidRDefault="00A95AD9" w:rsidP="000C6A67">
            <w:pPr>
              <w:spacing w:after="0" w:line="240" w:lineRule="auto"/>
              <w:jc w:val="both"/>
              <w:rPr>
                <w:rFonts w:ascii="Arial" w:eastAsia="Arial Unicode MS" w:hAnsi="Arial" w:cs="Arial"/>
                <w:sz w:val="20"/>
                <w:szCs w:val="20"/>
              </w:rPr>
            </w:pPr>
            <w:r>
              <w:rPr>
                <w:rFonts w:ascii="Arial" w:eastAsia="Arial Unicode MS" w:hAnsi="Arial" w:cs="Arial"/>
                <w:sz w:val="20"/>
                <w:szCs w:val="20"/>
              </w:rPr>
              <w:t>- inven</w:t>
            </w:r>
            <w:r w:rsidR="00FE7DCF" w:rsidRPr="00E93C75">
              <w:rPr>
                <w:rFonts w:ascii="Arial" w:eastAsia="Arial Unicode MS" w:hAnsi="Arial" w:cs="Arial"/>
                <w:sz w:val="20"/>
                <w:szCs w:val="20"/>
              </w:rPr>
              <w:t xml:space="preserve">tarierea opțiunilor și a solicitărilor </w:t>
            </w:r>
            <w:r>
              <w:rPr>
                <w:rFonts w:ascii="Arial" w:eastAsia="Arial Unicode MS" w:hAnsi="Arial" w:cs="Arial"/>
                <w:sz w:val="20"/>
                <w:szCs w:val="20"/>
              </w:rPr>
              <w:t>de formare</w:t>
            </w:r>
            <w:r w:rsidR="00FE7DCF" w:rsidRPr="00E93C75">
              <w:rPr>
                <w:rFonts w:ascii="Arial" w:eastAsia="Arial Unicode MS" w:hAnsi="Arial" w:cs="Arial"/>
                <w:sz w:val="20"/>
                <w:szCs w:val="20"/>
              </w:rPr>
              <w:t xml:space="preserve"> ale operatorilor economici privind nevoile de forță de muncă care poate fi oferita prin ÎPT </w:t>
            </w:r>
          </w:p>
        </w:tc>
        <w:tc>
          <w:tcPr>
            <w:tcW w:w="1843" w:type="dxa"/>
            <w:tcBorders>
              <w:top w:val="single" w:sz="12" w:space="0" w:color="auto"/>
            </w:tcBorders>
          </w:tcPr>
          <w:p w:rsidR="00FE7DCF" w:rsidRPr="00A95AD9" w:rsidRDefault="00FE7DCF" w:rsidP="00A10005">
            <w:pPr>
              <w:spacing w:after="0" w:line="240" w:lineRule="auto"/>
              <w:rPr>
                <w:rFonts w:ascii="Arial" w:eastAsia="Arial Unicode MS" w:hAnsi="Arial" w:cs="Arial"/>
                <w:sz w:val="20"/>
                <w:szCs w:val="20"/>
              </w:rPr>
            </w:pPr>
            <w:r w:rsidRPr="00A95AD9">
              <w:rPr>
                <w:rFonts w:ascii="Arial" w:eastAsia="Arial Unicode MS" w:hAnsi="Arial" w:cs="Arial"/>
                <w:sz w:val="20"/>
                <w:szCs w:val="20"/>
              </w:rPr>
              <w:t xml:space="preserve">Identificarea solicitărilor angajatorilor pentru calificări prin ÎPT – prin organizarea a cel puțin 10 evenimente de informare la nivel regional/județean/local </w:t>
            </w:r>
          </w:p>
        </w:tc>
        <w:tc>
          <w:tcPr>
            <w:tcW w:w="1418" w:type="dxa"/>
            <w:tcBorders>
              <w:top w:val="single" w:sz="12" w:space="0" w:color="auto"/>
            </w:tcBorders>
          </w:tcPr>
          <w:p w:rsidR="00FE7DCF" w:rsidRDefault="00FE7DCF" w:rsidP="000C6A67">
            <w:pPr>
              <w:spacing w:after="0" w:line="240" w:lineRule="auto"/>
              <w:rPr>
                <w:rFonts w:ascii="Arial" w:hAnsi="Arial" w:cs="Arial"/>
                <w:sz w:val="20"/>
                <w:szCs w:val="20"/>
              </w:rPr>
            </w:pPr>
          </w:p>
          <w:p w:rsidR="00A95AD9" w:rsidRDefault="00A95AD9" w:rsidP="000C6A67">
            <w:pPr>
              <w:spacing w:after="0" w:line="240" w:lineRule="auto"/>
              <w:rPr>
                <w:rFonts w:ascii="Arial" w:hAnsi="Arial" w:cs="Arial"/>
                <w:sz w:val="20"/>
                <w:szCs w:val="20"/>
              </w:rPr>
            </w:pPr>
            <w:r>
              <w:rPr>
                <w:rFonts w:ascii="Arial" w:hAnsi="Arial" w:cs="Arial"/>
                <w:sz w:val="20"/>
                <w:szCs w:val="20"/>
              </w:rPr>
              <w:t xml:space="preserve">Septembrie - decembrie </w:t>
            </w:r>
          </w:p>
          <w:p w:rsidR="00A95AD9" w:rsidRPr="00D7649E" w:rsidRDefault="00A95AD9" w:rsidP="000C6A67">
            <w:pPr>
              <w:spacing w:after="0" w:line="240" w:lineRule="auto"/>
              <w:rPr>
                <w:rFonts w:ascii="Arial" w:hAnsi="Arial" w:cs="Arial"/>
                <w:sz w:val="20"/>
                <w:szCs w:val="20"/>
              </w:rPr>
            </w:pPr>
            <w:r>
              <w:rPr>
                <w:rFonts w:ascii="Arial" w:hAnsi="Arial" w:cs="Arial"/>
                <w:sz w:val="20"/>
                <w:szCs w:val="20"/>
              </w:rPr>
              <w:t xml:space="preserve"> anual</w:t>
            </w:r>
          </w:p>
        </w:tc>
        <w:tc>
          <w:tcPr>
            <w:tcW w:w="1559" w:type="dxa"/>
            <w:tcBorders>
              <w:top w:val="single" w:sz="12" w:space="0" w:color="auto"/>
            </w:tcBorders>
          </w:tcPr>
          <w:p w:rsidR="00FE7DCF" w:rsidRDefault="00FE7DCF" w:rsidP="000C6A67">
            <w:pPr>
              <w:spacing w:after="0" w:line="240" w:lineRule="auto"/>
              <w:rPr>
                <w:rFonts w:ascii="Arial" w:hAnsi="Arial" w:cs="Arial"/>
                <w:sz w:val="20"/>
                <w:szCs w:val="20"/>
              </w:rPr>
            </w:pPr>
          </w:p>
          <w:p w:rsidR="00611B20" w:rsidRDefault="00611B20" w:rsidP="000C6A67">
            <w:pPr>
              <w:spacing w:after="0" w:line="240" w:lineRule="auto"/>
              <w:rPr>
                <w:rFonts w:ascii="Arial" w:hAnsi="Arial" w:cs="Arial"/>
                <w:sz w:val="20"/>
                <w:szCs w:val="20"/>
              </w:rPr>
            </w:pPr>
            <w:r>
              <w:rPr>
                <w:rFonts w:ascii="Arial" w:hAnsi="Arial" w:cs="Arial"/>
                <w:sz w:val="20"/>
                <w:szCs w:val="20"/>
              </w:rPr>
              <w:t xml:space="preserve">AJOFM AR </w:t>
            </w:r>
          </w:p>
          <w:p w:rsidR="00293AAD" w:rsidRDefault="00293AAD" w:rsidP="000C6A67">
            <w:pPr>
              <w:spacing w:after="0" w:line="240" w:lineRule="auto"/>
              <w:rPr>
                <w:rFonts w:ascii="Arial" w:hAnsi="Arial" w:cs="Arial"/>
                <w:sz w:val="20"/>
                <w:szCs w:val="20"/>
              </w:rPr>
            </w:pPr>
            <w:r>
              <w:rPr>
                <w:rFonts w:ascii="Arial" w:hAnsi="Arial" w:cs="Arial"/>
                <w:sz w:val="20"/>
                <w:szCs w:val="20"/>
              </w:rPr>
              <w:t xml:space="preserve">SJ </w:t>
            </w:r>
          </w:p>
          <w:p w:rsidR="00293AAD" w:rsidRDefault="00293AAD" w:rsidP="000C6A67">
            <w:pPr>
              <w:spacing w:after="0" w:line="240" w:lineRule="auto"/>
              <w:rPr>
                <w:rFonts w:ascii="Arial" w:hAnsi="Arial" w:cs="Arial"/>
                <w:sz w:val="20"/>
                <w:szCs w:val="20"/>
              </w:rPr>
            </w:pPr>
            <w:r>
              <w:rPr>
                <w:rFonts w:ascii="Arial" w:hAnsi="Arial" w:cs="Arial"/>
                <w:sz w:val="20"/>
                <w:szCs w:val="20"/>
              </w:rPr>
              <w:t xml:space="preserve">CLDPS </w:t>
            </w:r>
          </w:p>
          <w:p w:rsidR="00293AAD" w:rsidRPr="00D7649E" w:rsidRDefault="00293AAD" w:rsidP="000C6A67">
            <w:pPr>
              <w:spacing w:after="0" w:line="240" w:lineRule="auto"/>
              <w:rPr>
                <w:rFonts w:ascii="Arial" w:hAnsi="Arial" w:cs="Arial"/>
                <w:sz w:val="20"/>
                <w:szCs w:val="20"/>
              </w:rPr>
            </w:pPr>
            <w:r>
              <w:rPr>
                <w:rFonts w:ascii="Arial" w:hAnsi="Arial" w:cs="Arial"/>
                <w:sz w:val="20"/>
                <w:szCs w:val="20"/>
              </w:rPr>
              <w:t xml:space="preserve">CNDIPT </w:t>
            </w:r>
          </w:p>
        </w:tc>
        <w:tc>
          <w:tcPr>
            <w:tcW w:w="1701" w:type="dxa"/>
            <w:tcBorders>
              <w:top w:val="single" w:sz="12" w:space="0" w:color="auto"/>
            </w:tcBorders>
          </w:tcPr>
          <w:p w:rsidR="00FE7DCF" w:rsidRDefault="00FE7DCF" w:rsidP="000C6A67">
            <w:pPr>
              <w:spacing w:after="0" w:line="240" w:lineRule="auto"/>
              <w:rPr>
                <w:rFonts w:ascii="Arial" w:hAnsi="Arial" w:cs="Arial"/>
                <w:sz w:val="20"/>
                <w:szCs w:val="20"/>
              </w:rPr>
            </w:pPr>
          </w:p>
          <w:p w:rsidR="00293AAD" w:rsidRPr="00D7649E" w:rsidRDefault="00293AAD" w:rsidP="00010BC9">
            <w:pPr>
              <w:spacing w:after="0" w:line="240" w:lineRule="auto"/>
              <w:rPr>
                <w:rFonts w:ascii="Arial" w:hAnsi="Arial" w:cs="Arial"/>
                <w:sz w:val="20"/>
                <w:szCs w:val="20"/>
              </w:rPr>
            </w:pPr>
            <w:r>
              <w:rPr>
                <w:rFonts w:ascii="Arial" w:hAnsi="Arial" w:cs="Arial"/>
                <w:sz w:val="20"/>
                <w:szCs w:val="20"/>
              </w:rPr>
              <w:t xml:space="preserve">Pachet de informare relevant pentru nevoile regiunii </w:t>
            </w:r>
            <w:r w:rsidR="00010BC9">
              <w:rPr>
                <w:rFonts w:ascii="Arial" w:hAnsi="Arial" w:cs="Arial"/>
                <w:sz w:val="20"/>
                <w:szCs w:val="20"/>
              </w:rPr>
              <w:t>ș</w:t>
            </w:r>
            <w:r>
              <w:rPr>
                <w:rFonts w:ascii="Arial" w:hAnsi="Arial" w:cs="Arial"/>
                <w:sz w:val="20"/>
                <w:szCs w:val="20"/>
              </w:rPr>
              <w:t xml:space="preserve">i distribuit </w:t>
            </w:r>
            <w:r w:rsidR="00010BC9">
              <w:rPr>
                <w:rFonts w:ascii="Arial" w:hAnsi="Arial" w:cs="Arial"/>
                <w:sz w:val="20"/>
                <w:szCs w:val="20"/>
              </w:rPr>
              <w:t>î</w:t>
            </w:r>
            <w:r>
              <w:rPr>
                <w:rFonts w:ascii="Arial" w:hAnsi="Arial" w:cs="Arial"/>
                <w:sz w:val="20"/>
                <w:szCs w:val="20"/>
              </w:rPr>
              <w:t>n timp</w:t>
            </w:r>
          </w:p>
        </w:tc>
        <w:tc>
          <w:tcPr>
            <w:tcW w:w="2442" w:type="dxa"/>
            <w:tcBorders>
              <w:top w:val="single" w:sz="12" w:space="0" w:color="auto"/>
              <w:right w:val="single" w:sz="12" w:space="0" w:color="auto"/>
            </w:tcBorders>
          </w:tcPr>
          <w:p w:rsidR="00FE7DCF" w:rsidRDefault="00FE7DCF" w:rsidP="000C6A67">
            <w:pPr>
              <w:pStyle w:val="BodyText"/>
              <w:spacing w:after="0" w:line="240" w:lineRule="auto"/>
              <w:rPr>
                <w:rFonts w:ascii="Arial" w:hAnsi="Arial" w:cs="Arial"/>
                <w:bCs/>
                <w:sz w:val="20"/>
                <w:szCs w:val="20"/>
              </w:rPr>
            </w:pPr>
          </w:p>
          <w:p w:rsidR="00293AAD" w:rsidRPr="00D7649E" w:rsidRDefault="00293AAD" w:rsidP="000C6A67">
            <w:pPr>
              <w:pStyle w:val="BodyText"/>
              <w:spacing w:after="0" w:line="240" w:lineRule="auto"/>
              <w:rPr>
                <w:rFonts w:ascii="Arial" w:hAnsi="Arial" w:cs="Arial"/>
                <w:bCs/>
                <w:sz w:val="20"/>
                <w:szCs w:val="20"/>
              </w:rPr>
            </w:pPr>
            <w:r>
              <w:rPr>
                <w:rFonts w:ascii="Arial" w:hAnsi="Arial" w:cs="Arial"/>
                <w:bCs/>
                <w:sz w:val="20"/>
                <w:szCs w:val="20"/>
              </w:rPr>
              <w:t xml:space="preserve">Resurse necesare pentru distribuirea pachetului de promovare, in cele mai eficiente medii (marketing educational) </w:t>
            </w:r>
          </w:p>
        </w:tc>
      </w:tr>
      <w:tr w:rsidR="00293AAD" w:rsidRPr="00D7649E" w:rsidTr="00567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jc w:val="center"/>
        </w:trPr>
        <w:tc>
          <w:tcPr>
            <w:tcW w:w="5732" w:type="dxa"/>
            <w:tcBorders>
              <w:left w:val="single" w:sz="12" w:space="0" w:color="auto"/>
            </w:tcBorders>
          </w:tcPr>
          <w:p w:rsidR="00293AAD" w:rsidRPr="00E93C75" w:rsidRDefault="00293AAD" w:rsidP="000C6A67">
            <w:pPr>
              <w:spacing w:after="0" w:line="240" w:lineRule="auto"/>
              <w:jc w:val="both"/>
              <w:rPr>
                <w:rFonts w:ascii="Arial" w:eastAsia="Arial Unicode MS" w:hAnsi="Arial" w:cs="Arial"/>
                <w:sz w:val="20"/>
                <w:szCs w:val="20"/>
              </w:rPr>
            </w:pPr>
            <w:r w:rsidRPr="00E93C75">
              <w:rPr>
                <w:rFonts w:ascii="Arial" w:eastAsia="Arial Unicode MS" w:hAnsi="Arial" w:cs="Arial"/>
                <w:b/>
                <w:sz w:val="20"/>
                <w:szCs w:val="20"/>
              </w:rPr>
              <w:t xml:space="preserve">A.1.2. Inventarul capacității unităților școlare </w:t>
            </w:r>
            <w:r w:rsidRPr="00E93C75">
              <w:rPr>
                <w:rFonts w:ascii="Arial" w:eastAsia="Arial Unicode MS" w:hAnsi="Arial" w:cs="Arial"/>
                <w:sz w:val="20"/>
                <w:szCs w:val="20"/>
              </w:rPr>
              <w:t xml:space="preserve">de asigurare a ofertei pentru domeniile de calificare din solicitările operatorilor economici </w:t>
            </w:r>
          </w:p>
          <w:p w:rsidR="00293AAD" w:rsidRPr="00E93C75" w:rsidRDefault="00293AAD" w:rsidP="000C6A67">
            <w:pPr>
              <w:spacing w:after="0" w:line="240" w:lineRule="auto"/>
              <w:jc w:val="both"/>
              <w:rPr>
                <w:rFonts w:ascii="Arial" w:eastAsia="Arial Unicode MS" w:hAnsi="Arial" w:cs="Arial"/>
                <w:sz w:val="20"/>
                <w:szCs w:val="20"/>
              </w:rPr>
            </w:pPr>
            <w:r w:rsidRPr="00E93C75">
              <w:rPr>
                <w:rFonts w:ascii="Arial" w:eastAsia="Arial Unicode MS" w:hAnsi="Arial" w:cs="Arial"/>
                <w:sz w:val="20"/>
                <w:szCs w:val="20"/>
              </w:rPr>
              <w:t xml:space="preserve">- realizarea unui studiu cu capacitatea școlilor de a livra programe de calificare adecvate; identificarea calificărilor pentru care nu exista autorizări valide; inventarul resurselor umane existente în școli pentru livrarea calificărilor prioritare; </w:t>
            </w:r>
          </w:p>
        </w:tc>
        <w:tc>
          <w:tcPr>
            <w:tcW w:w="1843" w:type="dxa"/>
          </w:tcPr>
          <w:p w:rsidR="00293AAD" w:rsidRDefault="00293AAD" w:rsidP="00A10005">
            <w:pPr>
              <w:spacing w:after="0" w:line="240" w:lineRule="auto"/>
              <w:rPr>
                <w:rFonts w:ascii="Arial" w:eastAsia="Arial Unicode MS" w:hAnsi="Arial" w:cs="Arial"/>
                <w:sz w:val="20"/>
                <w:szCs w:val="20"/>
              </w:rPr>
            </w:pPr>
          </w:p>
          <w:p w:rsidR="00293AAD" w:rsidRPr="00A95AD9" w:rsidRDefault="00293AAD" w:rsidP="00A10005">
            <w:pPr>
              <w:spacing w:after="0" w:line="240" w:lineRule="auto"/>
              <w:rPr>
                <w:rFonts w:ascii="Arial" w:eastAsia="Arial Unicode MS" w:hAnsi="Arial" w:cs="Arial"/>
                <w:sz w:val="20"/>
                <w:szCs w:val="20"/>
              </w:rPr>
            </w:pPr>
            <w:r w:rsidRPr="00A95AD9">
              <w:rPr>
                <w:rFonts w:ascii="Arial" w:eastAsia="Arial Unicode MS" w:hAnsi="Arial" w:cs="Arial"/>
                <w:sz w:val="20"/>
                <w:szCs w:val="20"/>
              </w:rPr>
              <w:t xml:space="preserve">Identificarea capacității unităților școlare pentru solicitările identificate  </w:t>
            </w:r>
          </w:p>
        </w:tc>
        <w:tc>
          <w:tcPr>
            <w:tcW w:w="1418" w:type="dxa"/>
          </w:tcPr>
          <w:p w:rsidR="00293AAD" w:rsidRDefault="00293AAD" w:rsidP="000C6A67">
            <w:pPr>
              <w:spacing w:after="0" w:line="240" w:lineRule="auto"/>
              <w:rPr>
                <w:rFonts w:ascii="Arial" w:hAnsi="Arial" w:cs="Arial"/>
                <w:sz w:val="20"/>
                <w:szCs w:val="20"/>
              </w:rPr>
            </w:pPr>
          </w:p>
          <w:p w:rsidR="00293AAD" w:rsidRDefault="00293AAD" w:rsidP="000C6A67">
            <w:pPr>
              <w:spacing w:after="0" w:line="240" w:lineRule="auto"/>
              <w:rPr>
                <w:rFonts w:ascii="Arial" w:hAnsi="Arial" w:cs="Arial"/>
                <w:sz w:val="20"/>
                <w:szCs w:val="20"/>
              </w:rPr>
            </w:pPr>
            <w:r>
              <w:rPr>
                <w:rFonts w:ascii="Arial" w:hAnsi="Arial" w:cs="Arial"/>
                <w:sz w:val="20"/>
                <w:szCs w:val="20"/>
              </w:rPr>
              <w:t xml:space="preserve">Septembrie - decembrie </w:t>
            </w:r>
          </w:p>
          <w:p w:rsidR="00293AAD" w:rsidRPr="00D7649E" w:rsidRDefault="00293AAD" w:rsidP="000C6A67">
            <w:pPr>
              <w:spacing w:after="0" w:line="240" w:lineRule="auto"/>
              <w:rPr>
                <w:rFonts w:ascii="Arial" w:hAnsi="Arial" w:cs="Arial"/>
                <w:sz w:val="20"/>
                <w:szCs w:val="20"/>
              </w:rPr>
            </w:pPr>
            <w:r>
              <w:rPr>
                <w:rFonts w:ascii="Arial" w:hAnsi="Arial" w:cs="Arial"/>
                <w:sz w:val="20"/>
                <w:szCs w:val="20"/>
              </w:rPr>
              <w:t xml:space="preserve"> anual</w:t>
            </w:r>
          </w:p>
        </w:tc>
        <w:tc>
          <w:tcPr>
            <w:tcW w:w="1559" w:type="dxa"/>
          </w:tcPr>
          <w:p w:rsidR="00293AAD" w:rsidRDefault="00293AAD" w:rsidP="000C6A67">
            <w:pPr>
              <w:spacing w:after="0" w:line="240" w:lineRule="auto"/>
              <w:rPr>
                <w:rFonts w:ascii="Arial" w:hAnsi="Arial" w:cs="Arial"/>
                <w:sz w:val="20"/>
                <w:szCs w:val="20"/>
              </w:rPr>
            </w:pPr>
          </w:p>
          <w:p w:rsidR="00293AAD" w:rsidRDefault="00293AAD" w:rsidP="000C6A67">
            <w:pPr>
              <w:spacing w:after="0" w:line="240" w:lineRule="auto"/>
              <w:rPr>
                <w:rFonts w:ascii="Arial" w:hAnsi="Arial" w:cs="Arial"/>
                <w:sz w:val="20"/>
                <w:szCs w:val="20"/>
              </w:rPr>
            </w:pPr>
            <w:r>
              <w:rPr>
                <w:rFonts w:ascii="Arial" w:hAnsi="Arial" w:cs="Arial"/>
                <w:sz w:val="20"/>
                <w:szCs w:val="20"/>
              </w:rPr>
              <w:t xml:space="preserve">ISJ </w:t>
            </w:r>
          </w:p>
          <w:p w:rsidR="00293AAD" w:rsidRDefault="00293AAD" w:rsidP="000C6A67">
            <w:pPr>
              <w:spacing w:after="0" w:line="240" w:lineRule="auto"/>
              <w:rPr>
                <w:rFonts w:ascii="Arial" w:hAnsi="Arial" w:cs="Arial"/>
                <w:sz w:val="20"/>
                <w:szCs w:val="20"/>
              </w:rPr>
            </w:pPr>
            <w:r>
              <w:rPr>
                <w:rFonts w:ascii="Arial" w:hAnsi="Arial" w:cs="Arial"/>
                <w:sz w:val="20"/>
                <w:szCs w:val="20"/>
              </w:rPr>
              <w:t xml:space="preserve">CLDPS </w:t>
            </w:r>
          </w:p>
          <w:p w:rsidR="00293AAD" w:rsidRPr="00D7649E" w:rsidRDefault="00293AAD" w:rsidP="000C6A67">
            <w:pPr>
              <w:spacing w:after="0" w:line="240" w:lineRule="auto"/>
              <w:rPr>
                <w:rFonts w:ascii="Arial" w:hAnsi="Arial" w:cs="Arial"/>
                <w:sz w:val="20"/>
                <w:szCs w:val="20"/>
              </w:rPr>
            </w:pPr>
            <w:r>
              <w:rPr>
                <w:rFonts w:ascii="Arial" w:hAnsi="Arial" w:cs="Arial"/>
                <w:sz w:val="20"/>
                <w:szCs w:val="20"/>
              </w:rPr>
              <w:t xml:space="preserve">CNDIPT </w:t>
            </w:r>
          </w:p>
        </w:tc>
        <w:tc>
          <w:tcPr>
            <w:tcW w:w="1701" w:type="dxa"/>
          </w:tcPr>
          <w:p w:rsidR="00293AAD" w:rsidRDefault="00293AAD" w:rsidP="000C6A67">
            <w:pPr>
              <w:spacing w:after="0" w:line="240" w:lineRule="auto"/>
              <w:rPr>
                <w:rFonts w:ascii="Arial" w:hAnsi="Arial" w:cs="Arial"/>
                <w:sz w:val="20"/>
                <w:szCs w:val="20"/>
              </w:rPr>
            </w:pPr>
          </w:p>
          <w:p w:rsidR="00293AAD" w:rsidRPr="00D7649E" w:rsidRDefault="00293AAD" w:rsidP="00010BC9">
            <w:pPr>
              <w:spacing w:after="0" w:line="240" w:lineRule="auto"/>
              <w:rPr>
                <w:rFonts w:ascii="Arial" w:hAnsi="Arial" w:cs="Arial"/>
                <w:sz w:val="20"/>
                <w:szCs w:val="20"/>
              </w:rPr>
            </w:pPr>
            <w:r>
              <w:rPr>
                <w:rFonts w:ascii="Arial" w:hAnsi="Arial" w:cs="Arial"/>
                <w:sz w:val="20"/>
                <w:szCs w:val="20"/>
              </w:rPr>
              <w:t xml:space="preserve">Inventar realizat </w:t>
            </w:r>
            <w:r w:rsidR="00010BC9">
              <w:rPr>
                <w:rFonts w:ascii="Arial" w:hAnsi="Arial" w:cs="Arial"/>
                <w:sz w:val="20"/>
                <w:szCs w:val="20"/>
              </w:rPr>
              <w:t>ș</w:t>
            </w:r>
            <w:r>
              <w:rPr>
                <w:rFonts w:ascii="Arial" w:hAnsi="Arial" w:cs="Arial"/>
                <w:sz w:val="20"/>
                <w:szCs w:val="20"/>
              </w:rPr>
              <w:t xml:space="preserve">i analizat de catre CR </w:t>
            </w:r>
            <w:r w:rsidR="00010BC9">
              <w:rPr>
                <w:rFonts w:ascii="Arial" w:hAnsi="Arial" w:cs="Arial"/>
                <w:sz w:val="20"/>
                <w:szCs w:val="20"/>
              </w:rPr>
              <w:t>ș</w:t>
            </w:r>
            <w:r>
              <w:rPr>
                <w:rFonts w:ascii="Arial" w:hAnsi="Arial" w:cs="Arial"/>
                <w:sz w:val="20"/>
                <w:szCs w:val="20"/>
              </w:rPr>
              <w:t xml:space="preserve">i CLDPS </w:t>
            </w:r>
          </w:p>
        </w:tc>
        <w:tc>
          <w:tcPr>
            <w:tcW w:w="2442" w:type="dxa"/>
            <w:tcBorders>
              <w:right w:val="single" w:sz="12" w:space="0" w:color="auto"/>
            </w:tcBorders>
          </w:tcPr>
          <w:p w:rsidR="00293AAD" w:rsidRDefault="00293AAD" w:rsidP="000C6A67">
            <w:pPr>
              <w:pStyle w:val="BodyText"/>
              <w:spacing w:after="0" w:line="240" w:lineRule="auto"/>
              <w:rPr>
                <w:rFonts w:ascii="Arial" w:hAnsi="Arial" w:cs="Arial"/>
                <w:bCs/>
                <w:sz w:val="20"/>
                <w:szCs w:val="20"/>
              </w:rPr>
            </w:pPr>
          </w:p>
          <w:p w:rsidR="00293AAD" w:rsidRPr="00D7649E" w:rsidRDefault="00293AAD" w:rsidP="000C6A67">
            <w:pPr>
              <w:pStyle w:val="BodyText"/>
              <w:spacing w:after="0" w:line="240" w:lineRule="auto"/>
              <w:rPr>
                <w:rFonts w:ascii="Arial" w:hAnsi="Arial" w:cs="Arial"/>
                <w:bCs/>
                <w:sz w:val="20"/>
                <w:szCs w:val="20"/>
              </w:rPr>
            </w:pPr>
            <w:r>
              <w:rPr>
                <w:rFonts w:ascii="Arial" w:hAnsi="Arial" w:cs="Arial"/>
                <w:bCs/>
                <w:sz w:val="20"/>
                <w:szCs w:val="20"/>
              </w:rPr>
              <w:t xml:space="preserve">Lipsa datelor relevante si valide cuprinse in inventar </w:t>
            </w:r>
          </w:p>
        </w:tc>
      </w:tr>
      <w:tr w:rsidR="00293AAD" w:rsidRPr="00D7649E" w:rsidTr="005674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jc w:val="center"/>
        </w:trPr>
        <w:tc>
          <w:tcPr>
            <w:tcW w:w="5732" w:type="dxa"/>
            <w:tcBorders>
              <w:left w:val="single" w:sz="12" w:space="0" w:color="auto"/>
            </w:tcBorders>
          </w:tcPr>
          <w:p w:rsidR="00293AAD" w:rsidRPr="00E93C75" w:rsidRDefault="00293AAD" w:rsidP="000C6A67">
            <w:pPr>
              <w:spacing w:after="0" w:line="240" w:lineRule="auto"/>
              <w:jc w:val="both"/>
              <w:rPr>
                <w:rFonts w:ascii="Arial" w:eastAsia="Arial Unicode MS" w:hAnsi="Arial" w:cs="Arial"/>
                <w:sz w:val="20"/>
                <w:szCs w:val="20"/>
              </w:rPr>
            </w:pPr>
            <w:r w:rsidRPr="00E93C75">
              <w:rPr>
                <w:rFonts w:ascii="Arial" w:eastAsia="Arial Unicode MS" w:hAnsi="Arial" w:cs="Arial"/>
                <w:b/>
                <w:sz w:val="20"/>
                <w:szCs w:val="20"/>
              </w:rPr>
              <w:t>A.1.</w:t>
            </w:r>
            <w:r w:rsidRPr="00E93C75">
              <w:rPr>
                <w:rFonts w:ascii="Arial" w:eastAsia="Arial Unicode MS" w:hAnsi="Arial" w:cs="Arial"/>
                <w:sz w:val="20"/>
                <w:szCs w:val="20"/>
              </w:rPr>
              <w:t xml:space="preserve">3. </w:t>
            </w:r>
            <w:r w:rsidRPr="00545DB0">
              <w:rPr>
                <w:rFonts w:ascii="Arial" w:eastAsia="Arial Unicode MS" w:hAnsi="Arial" w:cs="Arial"/>
                <w:sz w:val="20"/>
                <w:szCs w:val="20"/>
              </w:rPr>
              <w:t>Organizarea întâlnirilor bilaterale între operatori economici și unități școlare, pentru pregătirea acordurilor de cooperare, pe baza inventarului capacităților comune aferente calificărilor propuse pentru ofertă</w:t>
            </w:r>
            <w:r w:rsidRPr="00E93C75">
              <w:rPr>
                <w:rFonts w:ascii="Arial" w:eastAsia="Arial Unicode MS" w:hAnsi="Arial" w:cs="Arial"/>
                <w:b/>
                <w:sz w:val="20"/>
                <w:szCs w:val="20"/>
              </w:rPr>
              <w:t xml:space="preserve"> </w:t>
            </w:r>
            <w:r w:rsidRPr="00E93C75">
              <w:rPr>
                <w:rFonts w:ascii="Arial" w:eastAsia="Arial Unicode MS" w:hAnsi="Arial" w:cs="Arial"/>
                <w:sz w:val="20"/>
                <w:szCs w:val="20"/>
              </w:rPr>
              <w:t xml:space="preserve"> </w:t>
            </w:r>
          </w:p>
        </w:tc>
        <w:tc>
          <w:tcPr>
            <w:tcW w:w="1843" w:type="dxa"/>
          </w:tcPr>
          <w:p w:rsidR="00293AAD" w:rsidRPr="00A95AD9" w:rsidRDefault="005674EB" w:rsidP="00A10005">
            <w:pPr>
              <w:spacing w:after="0" w:line="240" w:lineRule="auto"/>
              <w:rPr>
                <w:rFonts w:ascii="Arial" w:eastAsia="Arial Unicode MS" w:hAnsi="Arial" w:cs="Arial"/>
                <w:sz w:val="20"/>
                <w:szCs w:val="20"/>
              </w:rPr>
            </w:pPr>
            <w:r>
              <w:rPr>
                <w:rFonts w:ascii="Arial" w:eastAsia="Arial Unicode MS" w:hAnsi="Arial" w:cs="Arial"/>
                <w:sz w:val="20"/>
                <w:szCs w:val="20"/>
              </w:rPr>
              <w:t>Dialog</w:t>
            </w:r>
            <w:r w:rsidR="00293AAD" w:rsidRPr="00A95AD9">
              <w:rPr>
                <w:rFonts w:ascii="Arial" w:eastAsia="Arial Unicode MS" w:hAnsi="Arial" w:cs="Arial"/>
                <w:sz w:val="20"/>
                <w:szCs w:val="20"/>
              </w:rPr>
              <w:t xml:space="preserve"> social regional și județean </w:t>
            </w:r>
            <w:r>
              <w:rPr>
                <w:rFonts w:ascii="Arial" w:eastAsia="Arial Unicode MS" w:hAnsi="Arial" w:cs="Arial"/>
                <w:sz w:val="20"/>
                <w:szCs w:val="20"/>
              </w:rPr>
              <w:t xml:space="preserve">eficient </w:t>
            </w:r>
            <w:r w:rsidR="00293AAD" w:rsidRPr="00A95AD9">
              <w:rPr>
                <w:rFonts w:ascii="Arial" w:eastAsia="Arial Unicode MS" w:hAnsi="Arial" w:cs="Arial"/>
                <w:sz w:val="20"/>
                <w:szCs w:val="20"/>
              </w:rPr>
              <w:t xml:space="preserve">pentru corelarea cerere-ofertă </w:t>
            </w:r>
          </w:p>
        </w:tc>
        <w:tc>
          <w:tcPr>
            <w:tcW w:w="1418" w:type="dxa"/>
          </w:tcPr>
          <w:p w:rsidR="00293AAD" w:rsidRDefault="00293AAD" w:rsidP="000C6A67">
            <w:pPr>
              <w:spacing w:after="0" w:line="240" w:lineRule="auto"/>
              <w:rPr>
                <w:rFonts w:ascii="Arial" w:hAnsi="Arial" w:cs="Arial"/>
                <w:sz w:val="20"/>
                <w:szCs w:val="20"/>
              </w:rPr>
            </w:pPr>
          </w:p>
          <w:p w:rsidR="00293AAD" w:rsidRDefault="00293AAD" w:rsidP="000C6A67">
            <w:pPr>
              <w:spacing w:after="0" w:line="240" w:lineRule="auto"/>
              <w:rPr>
                <w:rFonts w:ascii="Arial" w:hAnsi="Arial" w:cs="Arial"/>
                <w:sz w:val="20"/>
                <w:szCs w:val="20"/>
              </w:rPr>
            </w:pPr>
            <w:r>
              <w:rPr>
                <w:rFonts w:ascii="Arial" w:hAnsi="Arial" w:cs="Arial"/>
                <w:sz w:val="20"/>
                <w:szCs w:val="20"/>
              </w:rPr>
              <w:t xml:space="preserve">Octombrie - decembrie </w:t>
            </w:r>
          </w:p>
          <w:p w:rsidR="00293AAD" w:rsidRPr="00D7649E" w:rsidRDefault="00293AAD" w:rsidP="000C6A67">
            <w:pPr>
              <w:spacing w:after="0" w:line="240" w:lineRule="auto"/>
              <w:rPr>
                <w:rFonts w:ascii="Arial" w:hAnsi="Arial" w:cs="Arial"/>
                <w:sz w:val="20"/>
                <w:szCs w:val="20"/>
              </w:rPr>
            </w:pPr>
            <w:r>
              <w:rPr>
                <w:rFonts w:ascii="Arial" w:hAnsi="Arial" w:cs="Arial"/>
                <w:sz w:val="20"/>
                <w:szCs w:val="20"/>
              </w:rPr>
              <w:t xml:space="preserve"> anual</w:t>
            </w:r>
          </w:p>
        </w:tc>
        <w:tc>
          <w:tcPr>
            <w:tcW w:w="1559" w:type="dxa"/>
          </w:tcPr>
          <w:p w:rsidR="00293AAD" w:rsidRDefault="00293AAD" w:rsidP="000C6A67">
            <w:pPr>
              <w:spacing w:after="0" w:line="240" w:lineRule="auto"/>
              <w:rPr>
                <w:rFonts w:ascii="Arial" w:hAnsi="Arial" w:cs="Arial"/>
                <w:sz w:val="20"/>
                <w:szCs w:val="20"/>
              </w:rPr>
            </w:pPr>
          </w:p>
          <w:p w:rsidR="00611B20" w:rsidRDefault="00611B20" w:rsidP="00611B20">
            <w:pPr>
              <w:spacing w:after="0" w:line="240" w:lineRule="auto"/>
              <w:rPr>
                <w:rFonts w:ascii="Arial" w:hAnsi="Arial" w:cs="Arial"/>
                <w:sz w:val="20"/>
                <w:szCs w:val="20"/>
              </w:rPr>
            </w:pPr>
            <w:r>
              <w:rPr>
                <w:rFonts w:ascii="Arial" w:hAnsi="Arial" w:cs="Arial"/>
                <w:sz w:val="20"/>
                <w:szCs w:val="20"/>
              </w:rPr>
              <w:t xml:space="preserve">AJOFM AR </w:t>
            </w:r>
          </w:p>
          <w:p w:rsidR="00611B20" w:rsidRDefault="005674EB" w:rsidP="00611B20">
            <w:pPr>
              <w:spacing w:after="0" w:line="240" w:lineRule="auto"/>
              <w:rPr>
                <w:rFonts w:ascii="Arial" w:hAnsi="Arial" w:cs="Arial"/>
                <w:sz w:val="20"/>
                <w:szCs w:val="20"/>
              </w:rPr>
            </w:pPr>
            <w:r>
              <w:rPr>
                <w:rFonts w:ascii="Arial" w:hAnsi="Arial" w:cs="Arial"/>
                <w:sz w:val="20"/>
                <w:szCs w:val="20"/>
              </w:rPr>
              <w:t>I</w:t>
            </w:r>
            <w:r w:rsidR="00611B20">
              <w:rPr>
                <w:rFonts w:ascii="Arial" w:hAnsi="Arial" w:cs="Arial"/>
                <w:sz w:val="20"/>
                <w:szCs w:val="20"/>
              </w:rPr>
              <w:t xml:space="preserve">SJ </w:t>
            </w:r>
          </w:p>
          <w:p w:rsidR="00611B20" w:rsidRDefault="00611B20" w:rsidP="00611B20">
            <w:pPr>
              <w:spacing w:after="0" w:line="240" w:lineRule="auto"/>
              <w:rPr>
                <w:rFonts w:ascii="Arial" w:hAnsi="Arial" w:cs="Arial"/>
                <w:sz w:val="20"/>
                <w:szCs w:val="20"/>
              </w:rPr>
            </w:pPr>
            <w:r>
              <w:rPr>
                <w:rFonts w:ascii="Arial" w:hAnsi="Arial" w:cs="Arial"/>
                <w:sz w:val="20"/>
                <w:szCs w:val="20"/>
              </w:rPr>
              <w:t xml:space="preserve">CLDPS </w:t>
            </w:r>
          </w:p>
          <w:p w:rsidR="00293AAD" w:rsidRPr="00D7649E" w:rsidRDefault="00611B20" w:rsidP="000C6A67">
            <w:pPr>
              <w:spacing w:after="0" w:line="240" w:lineRule="auto"/>
              <w:rPr>
                <w:rFonts w:ascii="Arial" w:hAnsi="Arial" w:cs="Arial"/>
                <w:sz w:val="20"/>
                <w:szCs w:val="20"/>
              </w:rPr>
            </w:pPr>
            <w:r>
              <w:rPr>
                <w:rFonts w:ascii="Arial" w:hAnsi="Arial" w:cs="Arial"/>
                <w:sz w:val="20"/>
                <w:szCs w:val="20"/>
              </w:rPr>
              <w:t xml:space="preserve">CNDIPT </w:t>
            </w:r>
          </w:p>
        </w:tc>
        <w:tc>
          <w:tcPr>
            <w:tcW w:w="1701" w:type="dxa"/>
          </w:tcPr>
          <w:p w:rsidR="00293AAD" w:rsidRPr="00D7649E" w:rsidRDefault="00293AAD" w:rsidP="000C6A67">
            <w:pPr>
              <w:spacing w:after="0" w:line="240" w:lineRule="auto"/>
              <w:rPr>
                <w:rFonts w:ascii="Arial" w:hAnsi="Arial" w:cs="Arial"/>
                <w:sz w:val="20"/>
                <w:szCs w:val="20"/>
              </w:rPr>
            </w:pPr>
            <w:r>
              <w:rPr>
                <w:rFonts w:ascii="Arial" w:hAnsi="Arial" w:cs="Arial"/>
                <w:sz w:val="20"/>
                <w:szCs w:val="20"/>
              </w:rPr>
              <w:t xml:space="preserve">Acoperirea tuturor domeniillor de calificare relevante </w:t>
            </w:r>
          </w:p>
        </w:tc>
        <w:tc>
          <w:tcPr>
            <w:tcW w:w="2442" w:type="dxa"/>
            <w:tcBorders>
              <w:right w:val="single" w:sz="12" w:space="0" w:color="auto"/>
            </w:tcBorders>
          </w:tcPr>
          <w:p w:rsidR="00293AAD" w:rsidRPr="00D7649E" w:rsidRDefault="00293AAD" w:rsidP="000C6A67">
            <w:pPr>
              <w:spacing w:after="0" w:line="240" w:lineRule="auto"/>
              <w:rPr>
                <w:rFonts w:ascii="Arial" w:hAnsi="Arial" w:cs="Arial"/>
                <w:sz w:val="20"/>
                <w:szCs w:val="20"/>
              </w:rPr>
            </w:pPr>
            <w:r>
              <w:rPr>
                <w:rFonts w:ascii="Arial" w:hAnsi="Arial" w:cs="Arial"/>
                <w:sz w:val="20"/>
                <w:szCs w:val="20"/>
              </w:rPr>
              <w:t>Lipsa capacității de gestionare a invitațiilor, care poate fi contracarat prin implicarea autorităților locale</w:t>
            </w:r>
          </w:p>
        </w:tc>
      </w:tr>
    </w:tbl>
    <w:p w:rsidR="00FE7DCF" w:rsidRDefault="00FE7DCF" w:rsidP="000C6A67">
      <w:pPr>
        <w:spacing w:after="0" w:line="240" w:lineRule="auto"/>
        <w:rPr>
          <w:lang w:eastAsia="ro-RO"/>
        </w:rPr>
      </w:pPr>
    </w:p>
    <w:tbl>
      <w:tblPr>
        <w:tblW w:w="1476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4772"/>
        <w:gridCol w:w="1985"/>
        <w:gridCol w:w="1559"/>
        <w:gridCol w:w="1519"/>
        <w:gridCol w:w="1883"/>
        <w:gridCol w:w="2936"/>
        <w:gridCol w:w="106"/>
      </w:tblGrid>
      <w:tr w:rsidR="00FE7DCF" w:rsidRPr="00D12E97" w:rsidTr="002A61B3">
        <w:trPr>
          <w:trHeight w:val="314"/>
          <w:jc w:val="center"/>
        </w:trPr>
        <w:tc>
          <w:tcPr>
            <w:tcW w:w="14760" w:type="dxa"/>
            <w:gridSpan w:val="7"/>
            <w:tcBorders>
              <w:bottom w:val="single" w:sz="12" w:space="0" w:color="auto"/>
            </w:tcBorders>
            <w:shd w:val="clear" w:color="auto" w:fill="66CCFF"/>
          </w:tcPr>
          <w:p w:rsidR="00FE7DCF" w:rsidRPr="003A7E61" w:rsidRDefault="00FE7DCF" w:rsidP="000C6A67">
            <w:pPr>
              <w:spacing w:after="0" w:line="240" w:lineRule="auto"/>
              <w:rPr>
                <w:rFonts w:ascii="Arial" w:hAnsi="Arial" w:cs="Arial"/>
                <w:b/>
              </w:rPr>
            </w:pPr>
            <w:r w:rsidRPr="003A7E61">
              <w:rPr>
                <w:rFonts w:ascii="Arial" w:hAnsi="Arial" w:cs="Arial"/>
                <w:b/>
              </w:rPr>
              <w:t>PRIORITATEA 2</w:t>
            </w:r>
            <w:r w:rsidR="002A61B3">
              <w:rPr>
                <w:rFonts w:ascii="Arial" w:hAnsi="Arial" w:cs="Arial"/>
                <w:b/>
                <w:bCs/>
              </w:rPr>
              <w:t xml:space="preserve"> : </w:t>
            </w:r>
            <w:r w:rsidRPr="003A7E61">
              <w:rPr>
                <w:rFonts w:ascii="Arial" w:hAnsi="Arial" w:cs="Arial"/>
                <w:b/>
              </w:rPr>
              <w:t xml:space="preserve">Diversificarea ofertei regionale  </w:t>
            </w:r>
          </w:p>
        </w:tc>
      </w:tr>
      <w:tr w:rsidR="00FE7DCF" w:rsidRPr="00D12E97" w:rsidTr="002A61B3">
        <w:trPr>
          <w:trHeight w:val="314"/>
          <w:jc w:val="center"/>
        </w:trPr>
        <w:tc>
          <w:tcPr>
            <w:tcW w:w="14760" w:type="dxa"/>
            <w:gridSpan w:val="7"/>
            <w:tcBorders>
              <w:bottom w:val="single" w:sz="12" w:space="0" w:color="auto"/>
            </w:tcBorders>
            <w:shd w:val="clear" w:color="auto" w:fill="66CCFF"/>
          </w:tcPr>
          <w:p w:rsidR="00FE7DCF" w:rsidRPr="003A7E61" w:rsidRDefault="00FE7DCF" w:rsidP="000C6A67">
            <w:pPr>
              <w:spacing w:after="0" w:line="240" w:lineRule="auto"/>
              <w:jc w:val="both"/>
              <w:rPr>
                <w:rFonts w:ascii="Arial" w:hAnsi="Arial" w:cs="Arial"/>
                <w:b/>
              </w:rPr>
            </w:pPr>
            <w:r w:rsidRPr="003A7E61">
              <w:rPr>
                <w:rFonts w:ascii="Arial" w:eastAsia="Arial Unicode MS" w:hAnsi="Arial" w:cs="Arial"/>
              </w:rPr>
              <w:t>OBIECTIV 2:  Diversificarea ofertei regionale ÎPT pentru o mai buna acoperire a diversității opțiunilor elevilor</w:t>
            </w:r>
          </w:p>
        </w:tc>
      </w:tr>
      <w:tr w:rsidR="00FE7DCF" w:rsidRPr="00D12E97" w:rsidTr="00293AAD">
        <w:trPr>
          <w:trHeight w:val="698"/>
          <w:jc w:val="center"/>
        </w:trPr>
        <w:tc>
          <w:tcPr>
            <w:tcW w:w="14760" w:type="dxa"/>
            <w:gridSpan w:val="7"/>
            <w:shd w:val="clear" w:color="auto" w:fill="CCFFFF"/>
          </w:tcPr>
          <w:p w:rsidR="00FE7DCF" w:rsidRPr="003A7E61" w:rsidRDefault="00FE7DCF" w:rsidP="000C6A67">
            <w:pPr>
              <w:spacing w:after="0" w:line="240" w:lineRule="auto"/>
              <w:rPr>
                <w:rFonts w:ascii="Arial" w:hAnsi="Arial" w:cs="Arial"/>
                <w:b/>
              </w:rPr>
            </w:pPr>
            <w:r w:rsidRPr="003A7E61">
              <w:rPr>
                <w:rFonts w:ascii="Arial" w:hAnsi="Arial" w:cs="Arial"/>
                <w:b/>
              </w:rPr>
              <w:t>Indicatori de impact:</w:t>
            </w:r>
          </w:p>
          <w:p w:rsidR="00FE7DCF" w:rsidRPr="003A7E61" w:rsidRDefault="00FE7DCF" w:rsidP="000C6A67">
            <w:pPr>
              <w:spacing w:after="0" w:line="240" w:lineRule="auto"/>
              <w:rPr>
                <w:rFonts w:ascii="Arial" w:eastAsia="Arial Unicode MS" w:hAnsi="Arial" w:cs="Arial"/>
              </w:rPr>
            </w:pPr>
            <w:r w:rsidRPr="003A7E61">
              <w:rPr>
                <w:rFonts w:ascii="Arial" w:eastAsia="Arial Unicode MS" w:hAnsi="Arial" w:cs="Arial"/>
              </w:rPr>
              <w:t>Înregistrarea și analiza opțiunilor tuturor elevilor absolvenți de clasa a VIII-a</w:t>
            </w:r>
          </w:p>
          <w:p w:rsidR="00FE7DCF" w:rsidRPr="003A7E61" w:rsidRDefault="00FE7DCF" w:rsidP="000C6A67">
            <w:pPr>
              <w:spacing w:after="0" w:line="240" w:lineRule="auto"/>
              <w:rPr>
                <w:rFonts w:ascii="Arial" w:hAnsi="Arial" w:cs="Arial"/>
              </w:rPr>
            </w:pPr>
            <w:r w:rsidRPr="003A7E61">
              <w:rPr>
                <w:rFonts w:ascii="Arial" w:eastAsia="Arial Unicode MS" w:hAnsi="Arial" w:cs="Arial"/>
              </w:rPr>
              <w:t xml:space="preserve">Numărul de calificări din oferta centralizată la nivel regional adecvată opțiunilor exprimate </w:t>
            </w:r>
          </w:p>
        </w:tc>
      </w:tr>
      <w:tr w:rsidR="00FE7DCF" w:rsidRPr="003A7E61" w:rsidTr="00293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106" w:type="dxa"/>
          <w:jc w:val="center"/>
        </w:trPr>
        <w:tc>
          <w:tcPr>
            <w:tcW w:w="11718" w:type="dxa"/>
            <w:gridSpan w:val="5"/>
            <w:tcBorders>
              <w:top w:val="single" w:sz="12" w:space="0" w:color="auto"/>
              <w:left w:val="single" w:sz="12" w:space="0" w:color="auto"/>
              <w:bottom w:val="single" w:sz="12" w:space="0" w:color="auto"/>
            </w:tcBorders>
            <w:shd w:val="clear" w:color="auto" w:fill="CCFFFF"/>
          </w:tcPr>
          <w:p w:rsidR="00FE7DCF" w:rsidRPr="003A7E61" w:rsidRDefault="00FE7DCF" w:rsidP="000C6A67">
            <w:pPr>
              <w:spacing w:after="0" w:line="240" w:lineRule="auto"/>
              <w:rPr>
                <w:rFonts w:ascii="Arial" w:hAnsi="Arial" w:cs="Arial"/>
                <w:b/>
              </w:rPr>
            </w:pPr>
            <w:r w:rsidRPr="003A7E61">
              <w:rPr>
                <w:rFonts w:ascii="Arial" w:eastAsia="Arial Unicode MS" w:hAnsi="Arial" w:cs="Arial"/>
              </w:rPr>
              <w:t>OBIECTIV 2:  Diversificarea ofertei regionale ÎPT pentru o mai bun</w:t>
            </w:r>
            <w:r w:rsidR="00577C63" w:rsidRPr="003A7E61">
              <w:rPr>
                <w:rFonts w:ascii="Arial" w:eastAsia="Arial Unicode MS" w:hAnsi="Arial" w:cs="Arial"/>
              </w:rPr>
              <w:t>ă</w:t>
            </w:r>
            <w:r w:rsidRPr="003A7E61">
              <w:rPr>
                <w:rFonts w:ascii="Arial" w:eastAsia="Arial Unicode MS" w:hAnsi="Arial" w:cs="Arial"/>
              </w:rPr>
              <w:t xml:space="preserve"> acoperire a diversității opțiunilor elevilor</w:t>
            </w:r>
            <w:r w:rsidRPr="003A7E61">
              <w:rPr>
                <w:rFonts w:ascii="Arial" w:hAnsi="Arial" w:cs="Arial"/>
                <w:b/>
              </w:rPr>
              <w:t xml:space="preserve"> </w:t>
            </w:r>
          </w:p>
          <w:p w:rsidR="00FE7DCF" w:rsidRPr="003A7E61" w:rsidRDefault="00FE7DCF" w:rsidP="000C6A67">
            <w:pPr>
              <w:spacing w:after="0" w:line="240" w:lineRule="auto"/>
              <w:rPr>
                <w:rFonts w:ascii="Arial" w:hAnsi="Arial" w:cs="Arial"/>
                <w:b/>
                <w:u w:val="single"/>
              </w:rPr>
            </w:pPr>
            <w:r w:rsidRPr="003A7E61">
              <w:rPr>
                <w:rFonts w:ascii="Arial" w:hAnsi="Arial" w:cs="Arial"/>
                <w:b/>
                <w:u w:val="single"/>
              </w:rPr>
              <w:t xml:space="preserve">Indicatori: </w:t>
            </w:r>
          </w:p>
          <w:p w:rsidR="00FE7DCF" w:rsidRPr="003A7E61" w:rsidRDefault="00FE7DCF" w:rsidP="000C6A67">
            <w:pPr>
              <w:spacing w:after="0" w:line="240" w:lineRule="auto"/>
              <w:rPr>
                <w:rFonts w:ascii="Arial" w:eastAsia="Arial Unicode MS" w:hAnsi="Arial" w:cs="Arial"/>
              </w:rPr>
            </w:pPr>
            <w:r w:rsidRPr="003A7E61">
              <w:rPr>
                <w:rFonts w:ascii="Arial" w:eastAsia="Arial Unicode MS" w:hAnsi="Arial" w:cs="Arial"/>
              </w:rPr>
              <w:t>Înregistrarea și analiza opțiunilor tuturor elevilor absolvenți de clasa a VIII-a</w:t>
            </w:r>
          </w:p>
          <w:p w:rsidR="00FE7DCF" w:rsidRPr="003A7E61" w:rsidRDefault="00FE7DCF" w:rsidP="000C6A67">
            <w:pPr>
              <w:spacing w:after="0" w:line="240" w:lineRule="auto"/>
              <w:rPr>
                <w:rFonts w:ascii="Arial" w:hAnsi="Arial" w:cs="Arial"/>
                <w:b/>
              </w:rPr>
            </w:pPr>
            <w:r w:rsidRPr="003A7E61">
              <w:rPr>
                <w:rFonts w:ascii="Arial" w:eastAsia="Arial Unicode MS" w:hAnsi="Arial" w:cs="Arial"/>
              </w:rPr>
              <w:t>Numărul de calificări din oferta centralizată la nivel regional adecvată opțiunilor exprimate</w:t>
            </w:r>
          </w:p>
        </w:tc>
        <w:tc>
          <w:tcPr>
            <w:tcW w:w="2936" w:type="dxa"/>
            <w:tcBorders>
              <w:top w:val="single" w:sz="12" w:space="0" w:color="auto"/>
              <w:bottom w:val="single" w:sz="12" w:space="0" w:color="auto"/>
              <w:right w:val="single" w:sz="12" w:space="0" w:color="auto"/>
            </w:tcBorders>
            <w:shd w:val="clear" w:color="auto" w:fill="CCFFFF"/>
          </w:tcPr>
          <w:p w:rsidR="00FE7DCF" w:rsidRPr="003A7E61" w:rsidRDefault="00FE7DCF" w:rsidP="000C6A67">
            <w:pPr>
              <w:spacing w:after="0" w:line="240" w:lineRule="auto"/>
              <w:rPr>
                <w:rFonts w:ascii="Arial" w:hAnsi="Arial" w:cs="Arial"/>
                <w:b/>
              </w:rPr>
            </w:pPr>
            <w:r w:rsidRPr="003A7E61">
              <w:rPr>
                <w:rFonts w:ascii="Arial" w:eastAsia="Arial" w:hAnsi="Arial" w:cs="Arial"/>
                <w:b/>
                <w:bCs/>
                <w:color w:val="000000"/>
              </w:rPr>
              <w:t>Precondiţii şi riscuri:</w:t>
            </w:r>
          </w:p>
          <w:p w:rsidR="00FE7DCF" w:rsidRPr="003A7E61" w:rsidRDefault="00296561" w:rsidP="000C6A67">
            <w:pPr>
              <w:spacing w:after="0" w:line="240" w:lineRule="auto"/>
              <w:rPr>
                <w:rFonts w:ascii="Arial" w:hAnsi="Arial" w:cs="Arial"/>
                <w:b/>
              </w:rPr>
            </w:pPr>
            <w:r w:rsidRPr="003A7E61">
              <w:rPr>
                <w:rFonts w:ascii="Arial" w:hAnsi="Arial" w:cs="Arial"/>
                <w:bCs/>
              </w:rPr>
              <w:t>Relevanta întrebărilor din chestionar și informarea operatorilor care aplică chestionarele</w:t>
            </w:r>
          </w:p>
        </w:tc>
      </w:tr>
      <w:tr w:rsidR="00FE7DCF" w:rsidRPr="00D7649E" w:rsidTr="00293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106" w:type="dxa"/>
          <w:jc w:val="center"/>
        </w:trPr>
        <w:tc>
          <w:tcPr>
            <w:tcW w:w="4772" w:type="dxa"/>
            <w:tcBorders>
              <w:top w:val="single" w:sz="12" w:space="0" w:color="auto"/>
              <w:left w:val="single" w:sz="12" w:space="0" w:color="auto"/>
              <w:bottom w:val="single" w:sz="12" w:space="0" w:color="auto"/>
            </w:tcBorders>
            <w:shd w:val="clear" w:color="auto" w:fill="CCFFFF"/>
          </w:tcPr>
          <w:p w:rsidR="00FE7DCF" w:rsidRPr="00D7649E" w:rsidRDefault="00FE7DCF" w:rsidP="000C6A67">
            <w:pPr>
              <w:spacing w:after="0" w:line="240" w:lineRule="auto"/>
              <w:rPr>
                <w:rFonts w:ascii="Arial" w:hAnsi="Arial" w:cs="Arial"/>
                <w:b/>
                <w:sz w:val="20"/>
                <w:szCs w:val="20"/>
              </w:rPr>
            </w:pPr>
            <w:r w:rsidRPr="00D7649E">
              <w:rPr>
                <w:rFonts w:ascii="Arial" w:hAnsi="Arial" w:cs="Arial"/>
                <w:b/>
                <w:sz w:val="20"/>
                <w:szCs w:val="20"/>
              </w:rPr>
              <w:t>Acţiuni - Activităţi</w:t>
            </w:r>
          </w:p>
        </w:tc>
        <w:tc>
          <w:tcPr>
            <w:tcW w:w="1985" w:type="dxa"/>
            <w:tcBorders>
              <w:top w:val="single" w:sz="12" w:space="0" w:color="auto"/>
              <w:bottom w:val="single" w:sz="12" w:space="0" w:color="auto"/>
            </w:tcBorders>
            <w:shd w:val="clear" w:color="auto" w:fill="CCFFFF"/>
          </w:tcPr>
          <w:p w:rsidR="00FE7DCF" w:rsidRPr="00D7649E" w:rsidRDefault="00FE7DCF" w:rsidP="000C6A67">
            <w:pPr>
              <w:spacing w:after="0" w:line="240" w:lineRule="auto"/>
              <w:ind w:left="249"/>
              <w:rPr>
                <w:rFonts w:ascii="Arial" w:hAnsi="Arial" w:cs="Arial"/>
                <w:b/>
                <w:sz w:val="20"/>
                <w:szCs w:val="20"/>
              </w:rPr>
            </w:pPr>
            <w:r>
              <w:rPr>
                <w:rFonts w:ascii="Arial" w:hAnsi="Arial" w:cs="Arial"/>
                <w:b/>
                <w:sz w:val="20"/>
                <w:szCs w:val="20"/>
              </w:rPr>
              <w:t xml:space="preserve">Rezultate </w:t>
            </w:r>
          </w:p>
        </w:tc>
        <w:tc>
          <w:tcPr>
            <w:tcW w:w="1559" w:type="dxa"/>
            <w:tcBorders>
              <w:top w:val="single" w:sz="12" w:space="0" w:color="auto"/>
              <w:bottom w:val="single" w:sz="12" w:space="0" w:color="auto"/>
            </w:tcBorders>
            <w:shd w:val="clear" w:color="auto" w:fill="CCFFFF"/>
          </w:tcPr>
          <w:p w:rsidR="00FE7DCF" w:rsidRPr="00D7649E" w:rsidRDefault="00FE7DCF" w:rsidP="000C6A67">
            <w:pPr>
              <w:spacing w:after="0" w:line="240" w:lineRule="auto"/>
              <w:ind w:left="249"/>
              <w:rPr>
                <w:rFonts w:ascii="Arial" w:hAnsi="Arial" w:cs="Arial"/>
                <w:b/>
                <w:sz w:val="20"/>
                <w:szCs w:val="20"/>
              </w:rPr>
            </w:pPr>
            <w:r w:rsidRPr="00D7649E">
              <w:rPr>
                <w:rFonts w:ascii="Arial" w:hAnsi="Arial" w:cs="Arial"/>
                <w:b/>
                <w:sz w:val="20"/>
                <w:szCs w:val="20"/>
              </w:rPr>
              <w:t xml:space="preserve">Termene </w:t>
            </w:r>
          </w:p>
        </w:tc>
        <w:tc>
          <w:tcPr>
            <w:tcW w:w="1519" w:type="dxa"/>
            <w:tcBorders>
              <w:top w:val="single" w:sz="12" w:space="0" w:color="auto"/>
              <w:bottom w:val="single" w:sz="12" w:space="0" w:color="auto"/>
            </w:tcBorders>
            <w:shd w:val="clear" w:color="auto" w:fill="CCFFFF"/>
          </w:tcPr>
          <w:p w:rsidR="00FE7DCF" w:rsidRPr="00D7649E" w:rsidRDefault="00FE7DCF" w:rsidP="000C6A67">
            <w:pPr>
              <w:spacing w:after="0" w:line="240" w:lineRule="auto"/>
              <w:jc w:val="center"/>
              <w:rPr>
                <w:rFonts w:ascii="Arial" w:hAnsi="Arial" w:cs="Arial"/>
                <w:b/>
                <w:sz w:val="20"/>
                <w:szCs w:val="20"/>
              </w:rPr>
            </w:pPr>
            <w:r w:rsidRPr="00D7649E">
              <w:rPr>
                <w:rFonts w:ascii="Arial" w:hAnsi="Arial" w:cs="Arial"/>
                <w:b/>
                <w:sz w:val="20"/>
                <w:szCs w:val="20"/>
              </w:rPr>
              <w:t>Instituţii responsabile</w:t>
            </w:r>
          </w:p>
        </w:tc>
        <w:tc>
          <w:tcPr>
            <w:tcW w:w="1883" w:type="dxa"/>
            <w:tcBorders>
              <w:top w:val="single" w:sz="12" w:space="0" w:color="auto"/>
              <w:bottom w:val="single" w:sz="12" w:space="0" w:color="auto"/>
            </w:tcBorders>
            <w:shd w:val="clear" w:color="auto" w:fill="CCFFFF"/>
          </w:tcPr>
          <w:p w:rsidR="00FE7DCF" w:rsidRPr="00D7649E" w:rsidRDefault="00FE7DCF" w:rsidP="000C6A67">
            <w:pPr>
              <w:spacing w:after="0" w:line="240" w:lineRule="auto"/>
              <w:rPr>
                <w:rFonts w:ascii="Arial" w:hAnsi="Arial" w:cs="Arial"/>
                <w:b/>
                <w:sz w:val="20"/>
                <w:szCs w:val="20"/>
              </w:rPr>
            </w:pPr>
            <w:r>
              <w:rPr>
                <w:rFonts w:ascii="Arial" w:hAnsi="Arial" w:cs="Arial"/>
                <w:b/>
                <w:sz w:val="20"/>
                <w:szCs w:val="20"/>
              </w:rPr>
              <w:t>Indicatori</w:t>
            </w:r>
          </w:p>
        </w:tc>
        <w:tc>
          <w:tcPr>
            <w:tcW w:w="2936" w:type="dxa"/>
            <w:tcBorders>
              <w:top w:val="single" w:sz="12" w:space="0" w:color="auto"/>
              <w:bottom w:val="single" w:sz="12" w:space="0" w:color="auto"/>
              <w:right w:val="single" w:sz="12" w:space="0" w:color="auto"/>
            </w:tcBorders>
            <w:shd w:val="clear" w:color="auto" w:fill="CCFFFF"/>
          </w:tcPr>
          <w:p w:rsidR="00FE7DCF" w:rsidRPr="00D7649E" w:rsidRDefault="00FE7DCF" w:rsidP="000C6A67">
            <w:pPr>
              <w:spacing w:after="0" w:line="240" w:lineRule="auto"/>
              <w:rPr>
                <w:rFonts w:ascii="Arial" w:eastAsia="Arial" w:hAnsi="Arial" w:cs="Arial"/>
                <w:b/>
                <w:bCs/>
                <w:color w:val="000000"/>
                <w:sz w:val="20"/>
                <w:szCs w:val="20"/>
              </w:rPr>
            </w:pPr>
            <w:r w:rsidRPr="00D7649E">
              <w:rPr>
                <w:rFonts w:ascii="Arial" w:eastAsia="Arial" w:hAnsi="Arial" w:cs="Arial"/>
                <w:b/>
                <w:bCs/>
                <w:color w:val="000000"/>
                <w:sz w:val="20"/>
                <w:szCs w:val="20"/>
              </w:rPr>
              <w:t>Precondiţii şi riscuri</w:t>
            </w:r>
          </w:p>
          <w:p w:rsidR="00FE7DCF" w:rsidRPr="00D7649E" w:rsidRDefault="00FE7DCF" w:rsidP="000C6A67">
            <w:pPr>
              <w:spacing w:after="0" w:line="240" w:lineRule="auto"/>
              <w:rPr>
                <w:rFonts w:ascii="Arial" w:eastAsia="Arial Unicode MS" w:hAnsi="Arial" w:cs="Arial"/>
                <w:b/>
                <w:bCs/>
                <w:vanish/>
                <w:color w:val="000000"/>
                <w:sz w:val="20"/>
                <w:szCs w:val="20"/>
              </w:rPr>
            </w:pPr>
          </w:p>
          <w:p w:rsidR="00FE7DCF" w:rsidRPr="00D7649E" w:rsidRDefault="00FE7DCF" w:rsidP="000C6A67">
            <w:pPr>
              <w:spacing w:after="0" w:line="240" w:lineRule="auto"/>
              <w:rPr>
                <w:rFonts w:ascii="Arial" w:hAnsi="Arial" w:cs="Arial"/>
                <w:b/>
                <w:bCs/>
                <w:sz w:val="20"/>
                <w:szCs w:val="20"/>
              </w:rPr>
            </w:pPr>
          </w:p>
        </w:tc>
      </w:tr>
      <w:tr w:rsidR="00FE7DCF" w:rsidRPr="00D7649E" w:rsidTr="00293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106" w:type="dxa"/>
          <w:trHeight w:val="88"/>
          <w:jc w:val="center"/>
        </w:trPr>
        <w:tc>
          <w:tcPr>
            <w:tcW w:w="4772" w:type="dxa"/>
            <w:tcBorders>
              <w:top w:val="single" w:sz="12" w:space="0" w:color="auto"/>
              <w:left w:val="single" w:sz="12" w:space="0" w:color="auto"/>
            </w:tcBorders>
          </w:tcPr>
          <w:p w:rsidR="00FE7DCF" w:rsidRPr="002A6A26" w:rsidRDefault="00FE7DCF" w:rsidP="000C6A67">
            <w:pPr>
              <w:spacing w:after="0" w:line="240" w:lineRule="auto"/>
              <w:jc w:val="both"/>
              <w:rPr>
                <w:rFonts w:ascii="Arial" w:eastAsia="Arial Unicode MS" w:hAnsi="Arial" w:cs="Arial"/>
                <w:b/>
                <w:sz w:val="20"/>
                <w:szCs w:val="20"/>
              </w:rPr>
            </w:pPr>
            <w:r w:rsidRPr="002A6A26">
              <w:rPr>
                <w:rFonts w:ascii="Arial" w:eastAsia="Arial Unicode MS" w:hAnsi="Arial" w:cs="Arial"/>
                <w:b/>
                <w:sz w:val="20"/>
                <w:szCs w:val="20"/>
              </w:rPr>
              <w:t>A.2.1.</w:t>
            </w:r>
            <w:r w:rsidRPr="002A6A26">
              <w:rPr>
                <w:rFonts w:ascii="Arial" w:eastAsia="Arial Unicode MS" w:hAnsi="Arial" w:cs="Arial"/>
                <w:sz w:val="20"/>
                <w:szCs w:val="20"/>
              </w:rPr>
              <w:t xml:space="preserve"> Opțiunea elevilor – studiu la nivel regional</w:t>
            </w:r>
            <w:r w:rsidRPr="002A6A26">
              <w:rPr>
                <w:rFonts w:ascii="Arial" w:eastAsia="Arial Unicode MS" w:hAnsi="Arial" w:cs="Arial"/>
                <w:b/>
                <w:sz w:val="20"/>
                <w:szCs w:val="20"/>
              </w:rPr>
              <w:t xml:space="preserve"> </w:t>
            </w:r>
            <w:r w:rsidRPr="002A6A26">
              <w:rPr>
                <w:rFonts w:ascii="Arial" w:eastAsia="Arial Unicode MS" w:hAnsi="Arial" w:cs="Arial"/>
                <w:sz w:val="20"/>
                <w:szCs w:val="20"/>
              </w:rPr>
              <w:t xml:space="preserve"> </w:t>
            </w:r>
          </w:p>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b/>
                <w:sz w:val="20"/>
                <w:szCs w:val="20"/>
              </w:rPr>
              <w:t xml:space="preserve">- </w:t>
            </w:r>
            <w:r w:rsidRPr="002A6A26">
              <w:rPr>
                <w:rFonts w:ascii="Arial" w:eastAsia="Arial Unicode MS" w:hAnsi="Arial" w:cs="Arial"/>
                <w:sz w:val="20"/>
                <w:szCs w:val="20"/>
              </w:rPr>
              <w:t xml:space="preserve">elaborarea unui chestionar pentru înregistrarea opțiunilor, cu informații accesibile privind posibilitatea de alegere a unui traseu compatibil cu aspirațiile personale </w:t>
            </w:r>
          </w:p>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 xml:space="preserve">- aplicarea chestionarului, prin metode accesibile, cu prelucrare automată ( platformă virtuală) </w:t>
            </w:r>
          </w:p>
          <w:p w:rsidR="003A7E61" w:rsidRDefault="00FE7DCF" w:rsidP="000C6A67">
            <w:pPr>
              <w:spacing w:after="0" w:line="240" w:lineRule="auto"/>
              <w:jc w:val="both"/>
              <w:rPr>
                <w:rFonts w:ascii="Arial" w:eastAsia="Arial Unicode MS" w:hAnsi="Arial" w:cs="Arial"/>
                <w:b/>
                <w:sz w:val="20"/>
                <w:szCs w:val="20"/>
              </w:rPr>
            </w:pPr>
            <w:r w:rsidRPr="002A6A26">
              <w:rPr>
                <w:rFonts w:ascii="Arial" w:eastAsia="Arial Unicode MS" w:hAnsi="Arial" w:cs="Arial"/>
                <w:sz w:val="20"/>
                <w:szCs w:val="20"/>
              </w:rPr>
              <w:t>-prelucrarea rezultatelor și informarea beneficiarilor privind rezultatele înregistrate (în fiecare clasa a VIII-a si a VII-a)</w:t>
            </w:r>
            <w:r w:rsidRPr="002A6A26">
              <w:rPr>
                <w:rFonts w:ascii="Arial" w:eastAsia="Arial Unicode MS" w:hAnsi="Arial" w:cs="Arial"/>
                <w:b/>
                <w:sz w:val="20"/>
                <w:szCs w:val="20"/>
              </w:rPr>
              <w:t xml:space="preserve"> </w:t>
            </w:r>
          </w:p>
          <w:p w:rsidR="002A6A26" w:rsidRPr="002A6A26" w:rsidRDefault="002A6A26" w:rsidP="000C6A67">
            <w:pPr>
              <w:spacing w:after="0" w:line="240" w:lineRule="auto"/>
              <w:jc w:val="both"/>
              <w:rPr>
                <w:rFonts w:ascii="Arial" w:eastAsia="Arial Unicode MS" w:hAnsi="Arial" w:cs="Arial"/>
                <w:b/>
                <w:sz w:val="20"/>
                <w:szCs w:val="20"/>
              </w:rPr>
            </w:pPr>
          </w:p>
        </w:tc>
        <w:tc>
          <w:tcPr>
            <w:tcW w:w="1985" w:type="dxa"/>
            <w:tcBorders>
              <w:top w:val="single" w:sz="12" w:space="0" w:color="auto"/>
            </w:tcBorders>
          </w:tcPr>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Un raport de analiză a opțiunilor elevilor, centralizat la nivel regional.</w:t>
            </w:r>
          </w:p>
        </w:tc>
        <w:tc>
          <w:tcPr>
            <w:tcW w:w="1559" w:type="dxa"/>
            <w:tcBorders>
              <w:top w:val="single" w:sz="12" w:space="0" w:color="auto"/>
            </w:tcBorders>
          </w:tcPr>
          <w:p w:rsidR="00FE7DCF" w:rsidRPr="002A6A26" w:rsidRDefault="00FE7DCF" w:rsidP="000C6A67">
            <w:pPr>
              <w:spacing w:after="0" w:line="240" w:lineRule="auto"/>
              <w:rPr>
                <w:rFonts w:ascii="Arial" w:hAnsi="Arial" w:cs="Arial"/>
                <w:sz w:val="20"/>
                <w:szCs w:val="20"/>
              </w:rPr>
            </w:pPr>
          </w:p>
          <w:p w:rsidR="00296561" w:rsidRPr="002A6A26" w:rsidRDefault="00296561" w:rsidP="000C6A67">
            <w:pPr>
              <w:spacing w:after="0" w:line="240" w:lineRule="auto"/>
              <w:rPr>
                <w:rFonts w:ascii="Arial" w:hAnsi="Arial" w:cs="Arial"/>
                <w:sz w:val="20"/>
                <w:szCs w:val="20"/>
              </w:rPr>
            </w:pPr>
            <w:r w:rsidRPr="002A6A26">
              <w:rPr>
                <w:rFonts w:ascii="Arial" w:hAnsi="Arial" w:cs="Arial"/>
                <w:sz w:val="20"/>
                <w:szCs w:val="20"/>
              </w:rPr>
              <w:t xml:space="preserve">Noiembrie pentru chestionar </w:t>
            </w:r>
          </w:p>
          <w:p w:rsidR="00296561" w:rsidRPr="002A6A26" w:rsidRDefault="00296561" w:rsidP="000C6A67">
            <w:pPr>
              <w:spacing w:after="0" w:line="240" w:lineRule="auto"/>
              <w:rPr>
                <w:rFonts w:ascii="Arial" w:hAnsi="Arial" w:cs="Arial"/>
                <w:sz w:val="20"/>
                <w:szCs w:val="20"/>
              </w:rPr>
            </w:pPr>
          </w:p>
          <w:p w:rsidR="00293AAD" w:rsidRPr="002A6A26" w:rsidRDefault="00293AAD" w:rsidP="000C6A67">
            <w:pPr>
              <w:spacing w:after="0" w:line="240" w:lineRule="auto"/>
              <w:rPr>
                <w:rFonts w:ascii="Arial" w:hAnsi="Arial" w:cs="Arial"/>
                <w:sz w:val="20"/>
                <w:szCs w:val="20"/>
              </w:rPr>
            </w:pPr>
            <w:r w:rsidRPr="002A6A26">
              <w:rPr>
                <w:rFonts w:ascii="Arial" w:hAnsi="Arial" w:cs="Arial"/>
                <w:sz w:val="20"/>
                <w:szCs w:val="20"/>
              </w:rPr>
              <w:t xml:space="preserve">Decembrie </w:t>
            </w:r>
            <w:r w:rsidR="00296561" w:rsidRPr="002A6A26">
              <w:rPr>
                <w:rFonts w:ascii="Arial" w:hAnsi="Arial" w:cs="Arial"/>
                <w:sz w:val="20"/>
                <w:szCs w:val="20"/>
              </w:rPr>
              <w:t xml:space="preserve">pentru raport </w:t>
            </w:r>
          </w:p>
        </w:tc>
        <w:tc>
          <w:tcPr>
            <w:tcW w:w="1519" w:type="dxa"/>
            <w:tcBorders>
              <w:top w:val="single" w:sz="12" w:space="0" w:color="auto"/>
            </w:tcBorders>
          </w:tcPr>
          <w:p w:rsidR="00FE7DCF" w:rsidRPr="002A6A26" w:rsidRDefault="00FE7DCF" w:rsidP="000C6A67">
            <w:pPr>
              <w:spacing w:after="0" w:line="240" w:lineRule="auto"/>
              <w:rPr>
                <w:rFonts w:ascii="Arial" w:hAnsi="Arial" w:cs="Arial"/>
                <w:sz w:val="20"/>
                <w:szCs w:val="20"/>
              </w:rPr>
            </w:pPr>
          </w:p>
          <w:p w:rsidR="00293AAD" w:rsidRPr="002A6A26" w:rsidRDefault="00293AAD" w:rsidP="000C6A67">
            <w:pPr>
              <w:spacing w:after="0" w:line="240" w:lineRule="auto"/>
              <w:rPr>
                <w:rFonts w:ascii="Arial" w:hAnsi="Arial" w:cs="Arial"/>
                <w:sz w:val="20"/>
                <w:szCs w:val="20"/>
              </w:rPr>
            </w:pPr>
            <w:r w:rsidRPr="002A6A26">
              <w:rPr>
                <w:rFonts w:ascii="Arial" w:hAnsi="Arial" w:cs="Arial"/>
                <w:sz w:val="20"/>
                <w:szCs w:val="20"/>
              </w:rPr>
              <w:t xml:space="preserve">ISJ și CJRAE </w:t>
            </w:r>
          </w:p>
          <w:p w:rsidR="00293AAD" w:rsidRPr="002A6A26" w:rsidRDefault="00293AAD" w:rsidP="000C6A67">
            <w:pPr>
              <w:spacing w:after="0" w:line="240" w:lineRule="auto"/>
              <w:rPr>
                <w:rFonts w:ascii="Arial" w:hAnsi="Arial" w:cs="Arial"/>
                <w:sz w:val="20"/>
                <w:szCs w:val="20"/>
              </w:rPr>
            </w:pPr>
            <w:r w:rsidRPr="002A6A26">
              <w:rPr>
                <w:rFonts w:ascii="Arial" w:hAnsi="Arial" w:cs="Arial"/>
                <w:sz w:val="20"/>
                <w:szCs w:val="20"/>
              </w:rPr>
              <w:t xml:space="preserve">CNDIPT </w:t>
            </w:r>
          </w:p>
        </w:tc>
        <w:tc>
          <w:tcPr>
            <w:tcW w:w="1883" w:type="dxa"/>
            <w:tcBorders>
              <w:top w:val="single" w:sz="12" w:space="0" w:color="auto"/>
            </w:tcBorders>
          </w:tcPr>
          <w:p w:rsidR="00FE7DCF" w:rsidRPr="002A6A26" w:rsidRDefault="00FE7DCF" w:rsidP="000C6A67">
            <w:pPr>
              <w:spacing w:after="0" w:line="240" w:lineRule="auto"/>
              <w:rPr>
                <w:rFonts w:ascii="Arial" w:hAnsi="Arial" w:cs="Arial"/>
                <w:sz w:val="20"/>
                <w:szCs w:val="20"/>
              </w:rPr>
            </w:pPr>
          </w:p>
          <w:p w:rsidR="00293AAD" w:rsidRPr="002A6A26" w:rsidRDefault="00293AAD" w:rsidP="000C6A67">
            <w:pPr>
              <w:spacing w:after="0" w:line="240" w:lineRule="auto"/>
              <w:rPr>
                <w:rFonts w:ascii="Arial" w:hAnsi="Arial" w:cs="Arial"/>
                <w:sz w:val="20"/>
                <w:szCs w:val="20"/>
              </w:rPr>
            </w:pPr>
            <w:r w:rsidRPr="002A6A26">
              <w:rPr>
                <w:rFonts w:ascii="Arial" w:hAnsi="Arial" w:cs="Arial"/>
                <w:sz w:val="20"/>
                <w:szCs w:val="20"/>
              </w:rPr>
              <w:t xml:space="preserve">Câte un raport finalizat în fiecare județ, și centralizat la nivel regional </w:t>
            </w:r>
          </w:p>
        </w:tc>
        <w:tc>
          <w:tcPr>
            <w:tcW w:w="2936" w:type="dxa"/>
            <w:tcBorders>
              <w:top w:val="single" w:sz="12" w:space="0" w:color="auto"/>
              <w:right w:val="single" w:sz="12" w:space="0" w:color="auto"/>
            </w:tcBorders>
          </w:tcPr>
          <w:p w:rsidR="00FE7DCF" w:rsidRPr="002A6A26" w:rsidRDefault="00293AAD" w:rsidP="000C6A67">
            <w:pPr>
              <w:pStyle w:val="BodyText"/>
              <w:spacing w:after="0" w:line="240" w:lineRule="auto"/>
              <w:rPr>
                <w:rFonts w:ascii="Arial" w:hAnsi="Arial" w:cs="Arial"/>
                <w:bCs/>
                <w:sz w:val="20"/>
                <w:szCs w:val="20"/>
              </w:rPr>
            </w:pPr>
            <w:r w:rsidRPr="002A6A26">
              <w:rPr>
                <w:rFonts w:ascii="Arial" w:hAnsi="Arial" w:cs="Arial"/>
                <w:bCs/>
                <w:sz w:val="20"/>
                <w:szCs w:val="20"/>
              </w:rPr>
              <w:t xml:space="preserve">Relevanta întrebărilor din chestionar și informarea operatorilor care aplică chestionarele </w:t>
            </w:r>
          </w:p>
        </w:tc>
      </w:tr>
      <w:tr w:rsidR="00293AAD" w:rsidRPr="00D7649E" w:rsidTr="00293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106" w:type="dxa"/>
          <w:jc w:val="center"/>
        </w:trPr>
        <w:tc>
          <w:tcPr>
            <w:tcW w:w="4772" w:type="dxa"/>
            <w:tcBorders>
              <w:left w:val="single" w:sz="12" w:space="0" w:color="auto"/>
            </w:tcBorders>
          </w:tcPr>
          <w:p w:rsidR="00293AAD" w:rsidRPr="002A6A26" w:rsidRDefault="00293AAD" w:rsidP="000C6A67">
            <w:pPr>
              <w:spacing w:after="0" w:line="240" w:lineRule="auto"/>
              <w:jc w:val="both"/>
              <w:rPr>
                <w:rFonts w:ascii="Arial" w:eastAsia="Arial Unicode MS" w:hAnsi="Arial" w:cs="Arial"/>
                <w:b/>
                <w:sz w:val="20"/>
                <w:szCs w:val="20"/>
              </w:rPr>
            </w:pPr>
            <w:r w:rsidRPr="002A6A26">
              <w:rPr>
                <w:rFonts w:ascii="Arial" w:eastAsia="Arial Unicode MS" w:hAnsi="Arial" w:cs="Arial"/>
                <w:b/>
                <w:sz w:val="20"/>
                <w:szCs w:val="20"/>
              </w:rPr>
              <w:t>A.2.</w:t>
            </w:r>
            <w:r w:rsidRPr="002A6A26">
              <w:rPr>
                <w:rFonts w:ascii="Arial" w:eastAsia="Arial Unicode MS" w:hAnsi="Arial" w:cs="Arial"/>
                <w:sz w:val="20"/>
                <w:szCs w:val="20"/>
              </w:rPr>
              <w:t xml:space="preserve">2. Realizarea unor analize </w:t>
            </w:r>
            <w:r w:rsidRPr="002A6A26">
              <w:rPr>
                <w:rFonts w:ascii="Arial" w:eastAsia="Arial Unicode MS" w:hAnsi="Arial" w:cs="Arial"/>
                <w:b/>
                <w:sz w:val="20"/>
                <w:szCs w:val="20"/>
              </w:rPr>
              <w:t>ale propunerilor școlilor, în raport cu rezultatele studiului opțiunilor</w:t>
            </w:r>
          </w:p>
          <w:p w:rsidR="00293AAD" w:rsidRPr="002A6A26" w:rsidRDefault="00293AAD"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 revizuirea ofertelor unităților școlare, în raport cu rezultatele analizei</w:t>
            </w:r>
          </w:p>
          <w:p w:rsidR="00293AAD" w:rsidRPr="002A6A26" w:rsidRDefault="00293AAD"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 xml:space="preserve">-identificarea posibilităților de o mai buna adecvare la cerințele elevilor </w:t>
            </w:r>
          </w:p>
          <w:p w:rsidR="003A7E61" w:rsidRPr="002A6A26" w:rsidRDefault="00293AAD"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-informarea elevilor cu privire la ofertele</w:t>
            </w:r>
            <w:r w:rsidRPr="002A6A26">
              <w:rPr>
                <w:rFonts w:ascii="Arial" w:eastAsia="Arial Unicode MS" w:hAnsi="Arial" w:cs="Arial"/>
                <w:b/>
                <w:sz w:val="20"/>
                <w:szCs w:val="20"/>
              </w:rPr>
              <w:t xml:space="preserve"> </w:t>
            </w:r>
            <w:r w:rsidRPr="002A6A26">
              <w:rPr>
                <w:rFonts w:ascii="Arial" w:eastAsia="Arial Unicode MS" w:hAnsi="Arial" w:cs="Arial"/>
                <w:sz w:val="20"/>
                <w:szCs w:val="20"/>
              </w:rPr>
              <w:t>modificate</w:t>
            </w:r>
          </w:p>
          <w:p w:rsidR="00293AAD" w:rsidRPr="002A6A26" w:rsidRDefault="00293AAD" w:rsidP="000C6A67">
            <w:pPr>
              <w:spacing w:after="0" w:line="240" w:lineRule="auto"/>
              <w:jc w:val="both"/>
              <w:rPr>
                <w:rFonts w:ascii="Arial" w:eastAsia="Arial Unicode MS" w:hAnsi="Arial" w:cs="Arial"/>
                <w:b/>
                <w:sz w:val="20"/>
                <w:szCs w:val="20"/>
              </w:rPr>
            </w:pPr>
            <w:r w:rsidRPr="002A6A26">
              <w:rPr>
                <w:rFonts w:ascii="Arial" w:eastAsia="Arial Unicode MS" w:hAnsi="Arial" w:cs="Arial"/>
                <w:sz w:val="20"/>
                <w:szCs w:val="20"/>
              </w:rPr>
              <w:t xml:space="preserve">  </w:t>
            </w:r>
          </w:p>
        </w:tc>
        <w:tc>
          <w:tcPr>
            <w:tcW w:w="1985" w:type="dxa"/>
          </w:tcPr>
          <w:p w:rsidR="00293AAD" w:rsidRPr="002A6A26" w:rsidRDefault="00293AAD" w:rsidP="00A10005">
            <w:pPr>
              <w:spacing w:after="0" w:line="240" w:lineRule="auto"/>
              <w:rPr>
                <w:rFonts w:ascii="Arial" w:eastAsia="Arial Unicode MS" w:hAnsi="Arial" w:cs="Arial"/>
                <w:sz w:val="20"/>
                <w:szCs w:val="20"/>
              </w:rPr>
            </w:pPr>
            <w:r w:rsidRPr="002A6A26">
              <w:rPr>
                <w:rFonts w:ascii="Arial" w:eastAsia="Arial Unicode MS" w:hAnsi="Arial" w:cs="Arial"/>
                <w:sz w:val="20"/>
                <w:szCs w:val="20"/>
              </w:rPr>
              <w:t xml:space="preserve">Creșterea numărului de calificări la nivel de județ și regiune, față de anul precedent </w:t>
            </w:r>
          </w:p>
        </w:tc>
        <w:tc>
          <w:tcPr>
            <w:tcW w:w="1559" w:type="dxa"/>
          </w:tcPr>
          <w:p w:rsidR="00293AAD" w:rsidRPr="002A6A26" w:rsidRDefault="00293AAD" w:rsidP="000C6A67">
            <w:pPr>
              <w:spacing w:after="0" w:line="240" w:lineRule="auto"/>
              <w:rPr>
                <w:rFonts w:ascii="Arial" w:hAnsi="Arial" w:cs="Arial"/>
                <w:sz w:val="20"/>
                <w:szCs w:val="20"/>
              </w:rPr>
            </w:pPr>
          </w:p>
          <w:p w:rsidR="00293AAD" w:rsidRPr="002A6A26" w:rsidRDefault="00293AAD" w:rsidP="000C6A67">
            <w:pPr>
              <w:spacing w:after="0" w:line="240" w:lineRule="auto"/>
              <w:rPr>
                <w:rFonts w:ascii="Arial" w:hAnsi="Arial" w:cs="Arial"/>
                <w:sz w:val="20"/>
                <w:szCs w:val="20"/>
              </w:rPr>
            </w:pPr>
            <w:r w:rsidRPr="002A6A26">
              <w:rPr>
                <w:rFonts w:ascii="Arial" w:hAnsi="Arial" w:cs="Arial"/>
                <w:sz w:val="20"/>
                <w:szCs w:val="20"/>
              </w:rPr>
              <w:t xml:space="preserve">Decembrie </w:t>
            </w:r>
          </w:p>
        </w:tc>
        <w:tc>
          <w:tcPr>
            <w:tcW w:w="1519" w:type="dxa"/>
          </w:tcPr>
          <w:p w:rsidR="00293AAD" w:rsidRPr="002A6A26" w:rsidRDefault="00293AAD" w:rsidP="000C6A67">
            <w:pPr>
              <w:spacing w:after="0" w:line="240" w:lineRule="auto"/>
              <w:rPr>
                <w:rFonts w:ascii="Arial" w:hAnsi="Arial" w:cs="Arial"/>
                <w:sz w:val="20"/>
                <w:szCs w:val="20"/>
              </w:rPr>
            </w:pPr>
          </w:p>
          <w:p w:rsidR="00293AAD" w:rsidRPr="002A6A26" w:rsidRDefault="00293AAD" w:rsidP="000C6A67">
            <w:pPr>
              <w:spacing w:after="0" w:line="240" w:lineRule="auto"/>
              <w:rPr>
                <w:rFonts w:ascii="Arial" w:hAnsi="Arial" w:cs="Arial"/>
                <w:sz w:val="20"/>
                <w:szCs w:val="20"/>
              </w:rPr>
            </w:pPr>
            <w:r w:rsidRPr="002A6A26">
              <w:rPr>
                <w:rFonts w:ascii="Arial" w:hAnsi="Arial" w:cs="Arial"/>
                <w:sz w:val="20"/>
                <w:szCs w:val="20"/>
              </w:rPr>
              <w:t xml:space="preserve">ISJ și CJRAE </w:t>
            </w:r>
          </w:p>
          <w:p w:rsidR="00293AAD" w:rsidRPr="002A6A26" w:rsidRDefault="00293AAD" w:rsidP="000C6A67">
            <w:pPr>
              <w:spacing w:after="0" w:line="240" w:lineRule="auto"/>
              <w:rPr>
                <w:rFonts w:ascii="Arial" w:hAnsi="Arial" w:cs="Arial"/>
                <w:sz w:val="20"/>
                <w:szCs w:val="20"/>
              </w:rPr>
            </w:pPr>
            <w:r w:rsidRPr="002A6A26">
              <w:rPr>
                <w:rFonts w:ascii="Arial" w:hAnsi="Arial" w:cs="Arial"/>
                <w:sz w:val="20"/>
                <w:szCs w:val="20"/>
              </w:rPr>
              <w:t xml:space="preserve">CNDIPT </w:t>
            </w:r>
          </w:p>
        </w:tc>
        <w:tc>
          <w:tcPr>
            <w:tcW w:w="1883" w:type="dxa"/>
          </w:tcPr>
          <w:p w:rsidR="00293AAD" w:rsidRPr="002A6A26" w:rsidRDefault="00293AAD" w:rsidP="000C6A67">
            <w:pPr>
              <w:spacing w:after="0" w:line="240" w:lineRule="auto"/>
              <w:rPr>
                <w:rFonts w:ascii="Arial" w:hAnsi="Arial" w:cs="Arial"/>
                <w:sz w:val="20"/>
                <w:szCs w:val="20"/>
              </w:rPr>
            </w:pPr>
          </w:p>
          <w:p w:rsidR="00293AAD" w:rsidRPr="002A6A26" w:rsidRDefault="00296561" w:rsidP="000C6A67">
            <w:pPr>
              <w:spacing w:after="0" w:line="240" w:lineRule="auto"/>
              <w:rPr>
                <w:rFonts w:ascii="Arial" w:hAnsi="Arial" w:cs="Arial"/>
                <w:sz w:val="20"/>
                <w:szCs w:val="20"/>
              </w:rPr>
            </w:pPr>
            <w:r w:rsidRPr="002A6A26">
              <w:rPr>
                <w:rFonts w:ascii="Arial" w:hAnsi="Arial" w:cs="Arial"/>
                <w:sz w:val="20"/>
                <w:szCs w:val="20"/>
              </w:rPr>
              <w:t xml:space="preserve">Soluții de adecvare identificate și promovate </w:t>
            </w:r>
            <w:r w:rsidR="00293AAD" w:rsidRPr="002A6A26">
              <w:rPr>
                <w:rFonts w:ascii="Arial" w:hAnsi="Arial" w:cs="Arial"/>
                <w:sz w:val="20"/>
                <w:szCs w:val="20"/>
              </w:rPr>
              <w:t xml:space="preserve"> </w:t>
            </w:r>
          </w:p>
        </w:tc>
        <w:tc>
          <w:tcPr>
            <w:tcW w:w="2936" w:type="dxa"/>
            <w:tcBorders>
              <w:right w:val="single" w:sz="12" w:space="0" w:color="auto"/>
            </w:tcBorders>
          </w:tcPr>
          <w:p w:rsidR="00293AAD" w:rsidRPr="002A6A26" w:rsidRDefault="00293AAD" w:rsidP="000C6A67">
            <w:pPr>
              <w:pStyle w:val="BodyText"/>
              <w:spacing w:after="0" w:line="240" w:lineRule="auto"/>
              <w:rPr>
                <w:rFonts w:ascii="Arial" w:hAnsi="Arial" w:cs="Arial"/>
                <w:bCs/>
                <w:sz w:val="20"/>
                <w:szCs w:val="20"/>
              </w:rPr>
            </w:pPr>
          </w:p>
          <w:p w:rsidR="00296561" w:rsidRPr="002A6A26" w:rsidRDefault="00296561" w:rsidP="000C6A67">
            <w:pPr>
              <w:pStyle w:val="BodyText"/>
              <w:spacing w:after="0" w:line="240" w:lineRule="auto"/>
              <w:rPr>
                <w:rFonts w:ascii="Arial" w:hAnsi="Arial" w:cs="Arial"/>
                <w:bCs/>
                <w:sz w:val="20"/>
                <w:szCs w:val="20"/>
              </w:rPr>
            </w:pPr>
            <w:r w:rsidRPr="002A6A26">
              <w:rPr>
                <w:rFonts w:ascii="Arial" w:hAnsi="Arial" w:cs="Arial"/>
                <w:bCs/>
                <w:sz w:val="20"/>
                <w:szCs w:val="20"/>
              </w:rPr>
              <w:t xml:space="preserve">Oferta școlilor poate fi conturată având în vedere resursele și experiența existente </w:t>
            </w:r>
          </w:p>
        </w:tc>
      </w:tr>
    </w:tbl>
    <w:p w:rsidR="003A7E61" w:rsidRDefault="003A7E61" w:rsidP="000C6A67">
      <w:pPr>
        <w:spacing w:after="0" w:line="240" w:lineRule="auto"/>
      </w:pPr>
    </w:p>
    <w:p w:rsidR="002A6A26" w:rsidRDefault="002A6A26" w:rsidP="000C6A67">
      <w:pPr>
        <w:spacing w:after="0" w:line="240" w:lineRule="auto"/>
      </w:pPr>
    </w:p>
    <w:p w:rsidR="002A6A26" w:rsidRDefault="002A6A26" w:rsidP="000C6A67">
      <w:pPr>
        <w:spacing w:after="0" w:line="240" w:lineRule="auto"/>
      </w:pPr>
    </w:p>
    <w:p w:rsidR="003A7E61" w:rsidRDefault="003A7E61" w:rsidP="000C6A67">
      <w:pPr>
        <w:spacing w:after="0" w:line="240" w:lineRule="auto"/>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4772"/>
        <w:gridCol w:w="1985"/>
        <w:gridCol w:w="1559"/>
        <w:gridCol w:w="1519"/>
        <w:gridCol w:w="1883"/>
        <w:gridCol w:w="2945"/>
        <w:gridCol w:w="32"/>
      </w:tblGrid>
      <w:tr w:rsidR="00FE7DCF" w:rsidRPr="00D12E97" w:rsidTr="002A61B3">
        <w:trPr>
          <w:trHeight w:val="314"/>
          <w:jc w:val="center"/>
        </w:trPr>
        <w:tc>
          <w:tcPr>
            <w:tcW w:w="14695" w:type="dxa"/>
            <w:gridSpan w:val="7"/>
            <w:tcBorders>
              <w:bottom w:val="single" w:sz="12" w:space="0" w:color="auto"/>
            </w:tcBorders>
            <w:shd w:val="clear" w:color="auto" w:fill="66CCFF"/>
          </w:tcPr>
          <w:p w:rsidR="00FE7DCF" w:rsidRPr="003A7E61" w:rsidRDefault="00FE7DCF" w:rsidP="000C6A67">
            <w:pPr>
              <w:spacing w:after="0" w:line="240" w:lineRule="auto"/>
              <w:rPr>
                <w:rFonts w:ascii="Arial" w:hAnsi="Arial" w:cs="Arial"/>
                <w:b/>
              </w:rPr>
            </w:pPr>
            <w:r w:rsidRPr="003A7E61">
              <w:rPr>
                <w:rFonts w:ascii="Arial" w:hAnsi="Arial" w:cs="Arial"/>
                <w:b/>
              </w:rPr>
              <w:lastRenderedPageBreak/>
              <w:t>PRIORITATEA</w:t>
            </w:r>
            <w:r w:rsidR="002A61B3">
              <w:rPr>
                <w:rFonts w:ascii="Arial" w:hAnsi="Arial" w:cs="Arial"/>
                <w:b/>
              </w:rPr>
              <w:t xml:space="preserve"> 3</w:t>
            </w:r>
            <w:r w:rsidRPr="003A7E61">
              <w:rPr>
                <w:rFonts w:ascii="Arial" w:hAnsi="Arial" w:cs="Arial"/>
                <w:b/>
              </w:rPr>
              <w:t xml:space="preserve"> </w:t>
            </w:r>
            <w:r w:rsidR="002A61B3">
              <w:rPr>
                <w:rFonts w:ascii="Arial" w:hAnsi="Arial" w:cs="Arial"/>
                <w:b/>
                <w:bCs/>
              </w:rPr>
              <w:t xml:space="preserve">: </w:t>
            </w:r>
            <w:r w:rsidRPr="003A7E61">
              <w:rPr>
                <w:rFonts w:ascii="Arial" w:hAnsi="Arial" w:cs="Arial"/>
                <w:b/>
              </w:rPr>
              <w:t xml:space="preserve">Relevanță regională a ofertei VET </w:t>
            </w:r>
          </w:p>
        </w:tc>
      </w:tr>
      <w:tr w:rsidR="00FE7DCF" w:rsidRPr="00D12E97" w:rsidTr="002A61B3">
        <w:trPr>
          <w:trHeight w:val="314"/>
          <w:jc w:val="center"/>
        </w:trPr>
        <w:tc>
          <w:tcPr>
            <w:tcW w:w="14695" w:type="dxa"/>
            <w:gridSpan w:val="7"/>
            <w:tcBorders>
              <w:bottom w:val="single" w:sz="12" w:space="0" w:color="auto"/>
            </w:tcBorders>
            <w:shd w:val="clear" w:color="auto" w:fill="66CCFF"/>
          </w:tcPr>
          <w:p w:rsidR="00FE7DCF" w:rsidRPr="003A7E61" w:rsidRDefault="00FE7DCF" w:rsidP="000C6A67">
            <w:pPr>
              <w:spacing w:after="0" w:line="240" w:lineRule="auto"/>
              <w:jc w:val="both"/>
              <w:rPr>
                <w:rFonts w:ascii="Arial" w:eastAsia="Arial Unicode MS" w:hAnsi="Arial" w:cs="Arial"/>
              </w:rPr>
            </w:pPr>
            <w:r w:rsidRPr="003A7E61">
              <w:rPr>
                <w:rFonts w:ascii="Arial" w:eastAsia="Arial Unicode MS" w:hAnsi="Arial" w:cs="Arial"/>
              </w:rPr>
              <w:t>OBIECTIV 3</w:t>
            </w:r>
            <w:r w:rsidR="00296561" w:rsidRPr="003A7E61">
              <w:rPr>
                <w:rFonts w:ascii="Arial" w:eastAsia="Arial Unicode MS" w:hAnsi="Arial" w:cs="Arial"/>
              </w:rPr>
              <w:t xml:space="preserve"> </w:t>
            </w:r>
            <w:r w:rsidRPr="003A7E61">
              <w:rPr>
                <w:rFonts w:ascii="Arial" w:eastAsia="Arial Unicode MS" w:hAnsi="Arial" w:cs="Arial"/>
              </w:rPr>
              <w:t xml:space="preserve">Promovarea la nivel regional a ofertei cu relevanță regională, pentru a permite opțiunea bine informată și fundamentată a elevilor </w:t>
            </w:r>
          </w:p>
        </w:tc>
      </w:tr>
      <w:tr w:rsidR="00FE7DCF" w:rsidRPr="00D12E97" w:rsidTr="00296561">
        <w:trPr>
          <w:trHeight w:val="698"/>
          <w:jc w:val="center"/>
        </w:trPr>
        <w:tc>
          <w:tcPr>
            <w:tcW w:w="14695" w:type="dxa"/>
            <w:gridSpan w:val="7"/>
            <w:shd w:val="clear" w:color="auto" w:fill="CCFFFF"/>
          </w:tcPr>
          <w:p w:rsidR="00FE7DCF" w:rsidRPr="003A7E61" w:rsidRDefault="00FE7DCF" w:rsidP="000C6A67">
            <w:pPr>
              <w:spacing w:after="0" w:line="240" w:lineRule="auto"/>
              <w:rPr>
                <w:rFonts w:ascii="Arial" w:hAnsi="Arial" w:cs="Arial"/>
                <w:b/>
              </w:rPr>
            </w:pPr>
            <w:r w:rsidRPr="003A7E61">
              <w:rPr>
                <w:rFonts w:ascii="Arial" w:hAnsi="Arial" w:cs="Arial"/>
                <w:b/>
              </w:rPr>
              <w:t>Indicatori de impact:</w:t>
            </w:r>
          </w:p>
          <w:p w:rsidR="00FE7DCF" w:rsidRPr="003A7E61" w:rsidRDefault="00FE7DCF" w:rsidP="000C6A67">
            <w:pPr>
              <w:spacing w:after="0" w:line="240" w:lineRule="auto"/>
              <w:rPr>
                <w:rFonts w:ascii="Arial" w:eastAsia="Arial Unicode MS" w:hAnsi="Arial" w:cs="Arial"/>
              </w:rPr>
            </w:pPr>
            <w:r w:rsidRPr="003A7E61">
              <w:rPr>
                <w:rFonts w:ascii="Arial" w:eastAsia="Arial Unicode MS" w:hAnsi="Arial" w:cs="Arial"/>
              </w:rPr>
              <w:t xml:space="preserve">Plan de promovare acoperind lunile anului școlar  </w:t>
            </w:r>
          </w:p>
          <w:p w:rsidR="00FE7DCF" w:rsidRPr="003A7E61" w:rsidRDefault="00FE7DCF" w:rsidP="000C6A67">
            <w:pPr>
              <w:spacing w:after="0" w:line="240" w:lineRule="auto"/>
              <w:rPr>
                <w:rFonts w:ascii="Arial" w:hAnsi="Arial" w:cs="Arial"/>
              </w:rPr>
            </w:pPr>
            <w:r w:rsidRPr="003A7E61">
              <w:rPr>
                <w:rFonts w:ascii="Arial" w:eastAsia="Arial Unicode MS" w:hAnsi="Arial" w:cs="Arial"/>
              </w:rPr>
              <w:t xml:space="preserve">Oferta regională cunoscută de către fiecare categorie de actori interesați  </w:t>
            </w:r>
          </w:p>
        </w:tc>
      </w:tr>
      <w:tr w:rsidR="00FE7DCF" w:rsidRPr="003A7E61" w:rsidTr="002965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32" w:type="dxa"/>
          <w:jc w:val="center"/>
        </w:trPr>
        <w:tc>
          <w:tcPr>
            <w:tcW w:w="11718" w:type="dxa"/>
            <w:gridSpan w:val="5"/>
            <w:tcBorders>
              <w:top w:val="single" w:sz="12" w:space="0" w:color="auto"/>
              <w:left w:val="single" w:sz="12" w:space="0" w:color="auto"/>
              <w:bottom w:val="single" w:sz="12" w:space="0" w:color="auto"/>
            </w:tcBorders>
            <w:shd w:val="clear" w:color="auto" w:fill="CCFFFF"/>
          </w:tcPr>
          <w:p w:rsidR="00FE7DCF" w:rsidRPr="003A7E61" w:rsidRDefault="00FE7DCF" w:rsidP="000C6A67">
            <w:pPr>
              <w:spacing w:after="0" w:line="240" w:lineRule="auto"/>
              <w:rPr>
                <w:rFonts w:ascii="Arial" w:hAnsi="Arial" w:cs="Arial"/>
                <w:b/>
              </w:rPr>
            </w:pPr>
            <w:r w:rsidRPr="003A7E61">
              <w:rPr>
                <w:rFonts w:ascii="Arial" w:eastAsia="Arial Unicode MS" w:hAnsi="Arial" w:cs="Arial"/>
              </w:rPr>
              <w:t>OBIECTIV 3</w:t>
            </w:r>
            <w:r w:rsidR="00296561" w:rsidRPr="003A7E61">
              <w:rPr>
                <w:rFonts w:ascii="Arial" w:eastAsia="Arial Unicode MS" w:hAnsi="Arial" w:cs="Arial"/>
              </w:rPr>
              <w:t xml:space="preserve"> </w:t>
            </w:r>
            <w:r w:rsidRPr="003A7E61">
              <w:rPr>
                <w:rFonts w:ascii="Arial" w:eastAsia="Arial Unicode MS" w:hAnsi="Arial" w:cs="Arial"/>
              </w:rPr>
              <w:t xml:space="preserve">Promovarea la nivel regional a ofertei cu relevanță regională, pentru a permite opțiunea bine informată și fundamentată a elevilor </w:t>
            </w:r>
          </w:p>
          <w:p w:rsidR="00FE7DCF" w:rsidRPr="003A7E61" w:rsidRDefault="00FE7DCF" w:rsidP="000C6A67">
            <w:pPr>
              <w:spacing w:after="0" w:line="240" w:lineRule="auto"/>
              <w:rPr>
                <w:rFonts w:ascii="Arial" w:hAnsi="Arial" w:cs="Arial"/>
                <w:b/>
                <w:u w:val="single"/>
              </w:rPr>
            </w:pPr>
            <w:r w:rsidRPr="003A7E61">
              <w:rPr>
                <w:rFonts w:ascii="Arial" w:hAnsi="Arial" w:cs="Arial"/>
                <w:b/>
                <w:u w:val="single"/>
              </w:rPr>
              <w:t xml:space="preserve">Indicatori: </w:t>
            </w:r>
          </w:p>
          <w:p w:rsidR="00FE7DCF" w:rsidRPr="003A7E61" w:rsidRDefault="00FE7DCF" w:rsidP="000C6A67">
            <w:pPr>
              <w:spacing w:after="0" w:line="240" w:lineRule="auto"/>
              <w:rPr>
                <w:rFonts w:ascii="Arial" w:eastAsia="Arial Unicode MS" w:hAnsi="Arial" w:cs="Arial"/>
              </w:rPr>
            </w:pPr>
            <w:r w:rsidRPr="003A7E61">
              <w:rPr>
                <w:rFonts w:ascii="Arial" w:eastAsia="Arial Unicode MS" w:hAnsi="Arial" w:cs="Arial"/>
              </w:rPr>
              <w:t xml:space="preserve">Plan de promovare acoperind </w:t>
            </w:r>
            <w:r w:rsidR="00296561" w:rsidRPr="003A7E61">
              <w:rPr>
                <w:rFonts w:ascii="Arial" w:eastAsia="Arial Unicode MS" w:hAnsi="Arial" w:cs="Arial"/>
              </w:rPr>
              <w:t>în mod echilibrat semestrele anului</w:t>
            </w:r>
            <w:r w:rsidRPr="003A7E61">
              <w:rPr>
                <w:rFonts w:ascii="Arial" w:eastAsia="Arial Unicode MS" w:hAnsi="Arial" w:cs="Arial"/>
              </w:rPr>
              <w:t xml:space="preserve"> școlar  </w:t>
            </w:r>
          </w:p>
          <w:p w:rsidR="00FE7DCF" w:rsidRPr="003A7E61" w:rsidRDefault="00FE7DCF" w:rsidP="000C6A67">
            <w:pPr>
              <w:spacing w:after="0" w:line="240" w:lineRule="auto"/>
              <w:rPr>
                <w:rFonts w:ascii="Arial" w:hAnsi="Arial" w:cs="Arial"/>
                <w:b/>
              </w:rPr>
            </w:pPr>
            <w:r w:rsidRPr="003A7E61">
              <w:rPr>
                <w:rFonts w:ascii="Arial" w:eastAsia="Arial Unicode MS" w:hAnsi="Arial" w:cs="Arial"/>
              </w:rPr>
              <w:t xml:space="preserve">Oferta regională cunoscută de către fiecare categorie de actori interesați  </w:t>
            </w:r>
          </w:p>
        </w:tc>
        <w:tc>
          <w:tcPr>
            <w:tcW w:w="2945" w:type="dxa"/>
            <w:tcBorders>
              <w:top w:val="single" w:sz="12" w:space="0" w:color="auto"/>
              <w:bottom w:val="single" w:sz="12" w:space="0" w:color="auto"/>
              <w:right w:val="single" w:sz="12" w:space="0" w:color="auto"/>
            </w:tcBorders>
            <w:shd w:val="clear" w:color="auto" w:fill="CCFFFF"/>
          </w:tcPr>
          <w:p w:rsidR="00FE7DCF" w:rsidRPr="003A7E61" w:rsidRDefault="00FE7DCF" w:rsidP="000C6A67">
            <w:pPr>
              <w:spacing w:after="0" w:line="240" w:lineRule="auto"/>
              <w:rPr>
                <w:rFonts w:ascii="Arial" w:hAnsi="Arial" w:cs="Arial"/>
                <w:b/>
              </w:rPr>
            </w:pPr>
            <w:r w:rsidRPr="003A7E61">
              <w:rPr>
                <w:rFonts w:ascii="Arial" w:eastAsia="Arial" w:hAnsi="Arial" w:cs="Arial"/>
                <w:b/>
                <w:bCs/>
                <w:color w:val="000000"/>
              </w:rPr>
              <w:t>Precondiţii şi riscuri:</w:t>
            </w:r>
          </w:p>
          <w:p w:rsidR="00FE7DCF" w:rsidRPr="003A7E61" w:rsidRDefault="00296561" w:rsidP="000C6A67">
            <w:pPr>
              <w:spacing w:after="0" w:line="240" w:lineRule="auto"/>
              <w:rPr>
                <w:rFonts w:ascii="Arial" w:hAnsi="Arial" w:cs="Arial"/>
                <w:b/>
              </w:rPr>
            </w:pPr>
            <w:r w:rsidRPr="003A7E61">
              <w:rPr>
                <w:rFonts w:ascii="Arial" w:hAnsi="Arial" w:cs="Arial"/>
              </w:rPr>
              <w:t xml:space="preserve">Promovarea se concentrează în luna mai, fiind tardiv </w:t>
            </w:r>
          </w:p>
        </w:tc>
      </w:tr>
      <w:tr w:rsidR="00FE7DCF" w:rsidRPr="00D7649E" w:rsidTr="002965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32" w:type="dxa"/>
          <w:jc w:val="center"/>
        </w:trPr>
        <w:tc>
          <w:tcPr>
            <w:tcW w:w="4772" w:type="dxa"/>
            <w:tcBorders>
              <w:top w:val="single" w:sz="12" w:space="0" w:color="auto"/>
              <w:left w:val="single" w:sz="12" w:space="0" w:color="auto"/>
              <w:bottom w:val="single" w:sz="12" w:space="0" w:color="auto"/>
            </w:tcBorders>
            <w:shd w:val="clear" w:color="auto" w:fill="CCFFFF"/>
          </w:tcPr>
          <w:p w:rsidR="00FE7DCF" w:rsidRPr="00D7649E" w:rsidRDefault="00FE7DCF" w:rsidP="000C6A67">
            <w:pPr>
              <w:spacing w:after="0" w:line="240" w:lineRule="auto"/>
              <w:rPr>
                <w:rFonts w:ascii="Arial" w:hAnsi="Arial" w:cs="Arial"/>
                <w:b/>
                <w:sz w:val="20"/>
                <w:szCs w:val="20"/>
              </w:rPr>
            </w:pPr>
            <w:r w:rsidRPr="00D7649E">
              <w:rPr>
                <w:rFonts w:ascii="Arial" w:hAnsi="Arial" w:cs="Arial"/>
                <w:b/>
                <w:sz w:val="20"/>
                <w:szCs w:val="20"/>
              </w:rPr>
              <w:t>Acţiuni - Activităţi</w:t>
            </w:r>
          </w:p>
        </w:tc>
        <w:tc>
          <w:tcPr>
            <w:tcW w:w="1985" w:type="dxa"/>
            <w:tcBorders>
              <w:top w:val="single" w:sz="12" w:space="0" w:color="auto"/>
              <w:bottom w:val="single" w:sz="12" w:space="0" w:color="auto"/>
            </w:tcBorders>
            <w:shd w:val="clear" w:color="auto" w:fill="CCFFFF"/>
          </w:tcPr>
          <w:p w:rsidR="00FE7DCF" w:rsidRPr="00D7649E" w:rsidRDefault="00FE7DCF" w:rsidP="000C6A67">
            <w:pPr>
              <w:spacing w:after="0" w:line="240" w:lineRule="auto"/>
              <w:ind w:left="249"/>
              <w:rPr>
                <w:rFonts w:ascii="Arial" w:hAnsi="Arial" w:cs="Arial"/>
                <w:b/>
                <w:sz w:val="20"/>
                <w:szCs w:val="20"/>
              </w:rPr>
            </w:pPr>
            <w:r>
              <w:rPr>
                <w:rFonts w:ascii="Arial" w:hAnsi="Arial" w:cs="Arial"/>
                <w:b/>
                <w:sz w:val="20"/>
                <w:szCs w:val="20"/>
              </w:rPr>
              <w:t xml:space="preserve">Rezultate </w:t>
            </w:r>
          </w:p>
        </w:tc>
        <w:tc>
          <w:tcPr>
            <w:tcW w:w="1559" w:type="dxa"/>
            <w:tcBorders>
              <w:top w:val="single" w:sz="12" w:space="0" w:color="auto"/>
              <w:bottom w:val="single" w:sz="12" w:space="0" w:color="auto"/>
            </w:tcBorders>
            <w:shd w:val="clear" w:color="auto" w:fill="CCFFFF"/>
          </w:tcPr>
          <w:p w:rsidR="00FE7DCF" w:rsidRPr="00D7649E" w:rsidRDefault="00FE7DCF" w:rsidP="000C6A67">
            <w:pPr>
              <w:spacing w:after="0" w:line="240" w:lineRule="auto"/>
              <w:ind w:left="249"/>
              <w:rPr>
                <w:rFonts w:ascii="Arial" w:hAnsi="Arial" w:cs="Arial"/>
                <w:b/>
                <w:sz w:val="20"/>
                <w:szCs w:val="20"/>
              </w:rPr>
            </w:pPr>
            <w:r w:rsidRPr="00D7649E">
              <w:rPr>
                <w:rFonts w:ascii="Arial" w:hAnsi="Arial" w:cs="Arial"/>
                <w:b/>
                <w:sz w:val="20"/>
                <w:szCs w:val="20"/>
              </w:rPr>
              <w:t xml:space="preserve">Termene </w:t>
            </w:r>
          </w:p>
        </w:tc>
        <w:tc>
          <w:tcPr>
            <w:tcW w:w="1519" w:type="dxa"/>
            <w:tcBorders>
              <w:top w:val="single" w:sz="12" w:space="0" w:color="auto"/>
              <w:bottom w:val="single" w:sz="12" w:space="0" w:color="auto"/>
            </w:tcBorders>
            <w:shd w:val="clear" w:color="auto" w:fill="CCFFFF"/>
          </w:tcPr>
          <w:p w:rsidR="00FE7DCF" w:rsidRPr="00D7649E" w:rsidRDefault="00FE7DCF" w:rsidP="000C6A67">
            <w:pPr>
              <w:spacing w:after="0" w:line="240" w:lineRule="auto"/>
              <w:jc w:val="center"/>
              <w:rPr>
                <w:rFonts w:ascii="Arial" w:hAnsi="Arial" w:cs="Arial"/>
                <w:b/>
                <w:sz w:val="20"/>
                <w:szCs w:val="20"/>
              </w:rPr>
            </w:pPr>
            <w:r w:rsidRPr="00D7649E">
              <w:rPr>
                <w:rFonts w:ascii="Arial" w:hAnsi="Arial" w:cs="Arial"/>
                <w:b/>
                <w:sz w:val="20"/>
                <w:szCs w:val="20"/>
              </w:rPr>
              <w:t>Instituţii responsabile</w:t>
            </w:r>
          </w:p>
        </w:tc>
        <w:tc>
          <w:tcPr>
            <w:tcW w:w="1883" w:type="dxa"/>
            <w:tcBorders>
              <w:top w:val="single" w:sz="12" w:space="0" w:color="auto"/>
              <w:bottom w:val="single" w:sz="12" w:space="0" w:color="auto"/>
            </w:tcBorders>
            <w:shd w:val="clear" w:color="auto" w:fill="CCFFFF"/>
          </w:tcPr>
          <w:p w:rsidR="00FE7DCF" w:rsidRPr="00D7649E" w:rsidRDefault="00FE7DCF" w:rsidP="000C6A67">
            <w:pPr>
              <w:spacing w:after="0" w:line="240" w:lineRule="auto"/>
              <w:rPr>
                <w:rFonts w:ascii="Arial" w:hAnsi="Arial" w:cs="Arial"/>
                <w:b/>
                <w:sz w:val="20"/>
                <w:szCs w:val="20"/>
              </w:rPr>
            </w:pPr>
            <w:r>
              <w:rPr>
                <w:rFonts w:ascii="Arial" w:hAnsi="Arial" w:cs="Arial"/>
                <w:b/>
                <w:sz w:val="20"/>
                <w:szCs w:val="20"/>
              </w:rPr>
              <w:t>Indicatori</w:t>
            </w:r>
          </w:p>
        </w:tc>
        <w:tc>
          <w:tcPr>
            <w:tcW w:w="2945" w:type="dxa"/>
            <w:tcBorders>
              <w:top w:val="single" w:sz="12" w:space="0" w:color="auto"/>
              <w:bottom w:val="single" w:sz="12" w:space="0" w:color="auto"/>
              <w:right w:val="single" w:sz="12" w:space="0" w:color="auto"/>
            </w:tcBorders>
            <w:shd w:val="clear" w:color="auto" w:fill="CCFFFF"/>
          </w:tcPr>
          <w:p w:rsidR="00FE7DCF" w:rsidRPr="00D7649E" w:rsidRDefault="00FE7DCF" w:rsidP="000C6A67">
            <w:pPr>
              <w:spacing w:after="0" w:line="240" w:lineRule="auto"/>
              <w:rPr>
                <w:rFonts w:ascii="Arial" w:eastAsia="Arial" w:hAnsi="Arial" w:cs="Arial"/>
                <w:b/>
                <w:bCs/>
                <w:color w:val="000000"/>
                <w:sz w:val="20"/>
                <w:szCs w:val="20"/>
              </w:rPr>
            </w:pPr>
            <w:r w:rsidRPr="00D7649E">
              <w:rPr>
                <w:rFonts w:ascii="Arial" w:eastAsia="Arial" w:hAnsi="Arial" w:cs="Arial"/>
                <w:b/>
                <w:bCs/>
                <w:color w:val="000000"/>
                <w:sz w:val="20"/>
                <w:szCs w:val="20"/>
              </w:rPr>
              <w:t>Precondiţii şi riscuri</w:t>
            </w:r>
          </w:p>
          <w:p w:rsidR="00FE7DCF" w:rsidRPr="00D7649E" w:rsidRDefault="00FE7DCF" w:rsidP="000C6A67">
            <w:pPr>
              <w:spacing w:after="0" w:line="240" w:lineRule="auto"/>
              <w:rPr>
                <w:rFonts w:ascii="Arial" w:eastAsia="Arial Unicode MS" w:hAnsi="Arial" w:cs="Arial"/>
                <w:b/>
                <w:bCs/>
                <w:vanish/>
                <w:color w:val="000000"/>
                <w:sz w:val="20"/>
                <w:szCs w:val="20"/>
              </w:rPr>
            </w:pPr>
          </w:p>
          <w:p w:rsidR="00FE7DCF" w:rsidRPr="00D7649E" w:rsidRDefault="00FE7DCF" w:rsidP="000C6A67">
            <w:pPr>
              <w:spacing w:after="0" w:line="240" w:lineRule="auto"/>
              <w:rPr>
                <w:rFonts w:ascii="Arial" w:hAnsi="Arial" w:cs="Arial"/>
                <w:b/>
                <w:bCs/>
                <w:sz w:val="20"/>
                <w:szCs w:val="20"/>
              </w:rPr>
            </w:pPr>
          </w:p>
        </w:tc>
      </w:tr>
      <w:tr w:rsidR="00FE7DCF" w:rsidRPr="00D7649E" w:rsidTr="002965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32" w:type="dxa"/>
          <w:trHeight w:val="88"/>
          <w:jc w:val="center"/>
        </w:trPr>
        <w:tc>
          <w:tcPr>
            <w:tcW w:w="4772" w:type="dxa"/>
            <w:tcBorders>
              <w:top w:val="single" w:sz="12" w:space="0" w:color="auto"/>
              <w:left w:val="single" w:sz="12" w:space="0" w:color="auto"/>
            </w:tcBorders>
          </w:tcPr>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 xml:space="preserve">A.3.1. Elaborarea planului de promovare, acoperind nivelul regional, judetean si local </w:t>
            </w:r>
          </w:p>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b/>
                <w:sz w:val="20"/>
                <w:szCs w:val="20"/>
              </w:rPr>
              <w:t xml:space="preserve">- </w:t>
            </w:r>
            <w:r w:rsidRPr="002A6A26">
              <w:rPr>
                <w:rFonts w:ascii="Arial" w:eastAsia="Arial Unicode MS" w:hAnsi="Arial" w:cs="Arial"/>
                <w:sz w:val="20"/>
                <w:szCs w:val="20"/>
              </w:rPr>
              <w:t>plan de promovare în mai multe etape, pe parcursul anului școlar</w:t>
            </w:r>
          </w:p>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 plan de promovare dedicat elevilor, părinților, personaului din școli</w:t>
            </w:r>
          </w:p>
          <w:p w:rsidR="00FE7DCF" w:rsidRPr="002A6A26" w:rsidRDefault="00FE7DCF" w:rsidP="000C6A67">
            <w:pPr>
              <w:spacing w:after="0" w:line="240" w:lineRule="auto"/>
              <w:jc w:val="both"/>
              <w:rPr>
                <w:rFonts w:ascii="Arial" w:eastAsia="Arial Unicode MS" w:hAnsi="Arial" w:cs="Arial"/>
                <w:b/>
                <w:sz w:val="20"/>
                <w:szCs w:val="20"/>
              </w:rPr>
            </w:pPr>
            <w:r w:rsidRPr="002A6A26">
              <w:rPr>
                <w:rFonts w:ascii="Arial" w:eastAsia="Arial Unicode MS" w:hAnsi="Arial" w:cs="Arial"/>
                <w:sz w:val="20"/>
                <w:szCs w:val="20"/>
              </w:rPr>
              <w:t>- plan de promovare asumat de către parteneri – școlile ofertante, companiile partenere, autorități locale etc.</w:t>
            </w:r>
            <w:r w:rsidRPr="002A6A26">
              <w:rPr>
                <w:rFonts w:ascii="Arial" w:eastAsia="Arial Unicode MS" w:hAnsi="Arial" w:cs="Arial"/>
                <w:b/>
                <w:sz w:val="20"/>
                <w:szCs w:val="20"/>
              </w:rPr>
              <w:t xml:space="preserve"> </w:t>
            </w:r>
          </w:p>
          <w:p w:rsidR="003A7E61" w:rsidRPr="002A6A26" w:rsidRDefault="003A7E61" w:rsidP="000C6A67">
            <w:pPr>
              <w:spacing w:after="0" w:line="240" w:lineRule="auto"/>
              <w:jc w:val="both"/>
              <w:rPr>
                <w:rFonts w:ascii="Arial" w:eastAsia="Arial Unicode MS" w:hAnsi="Arial" w:cs="Arial"/>
                <w:sz w:val="20"/>
                <w:szCs w:val="20"/>
              </w:rPr>
            </w:pPr>
          </w:p>
        </w:tc>
        <w:tc>
          <w:tcPr>
            <w:tcW w:w="1985" w:type="dxa"/>
            <w:tcBorders>
              <w:top w:val="single" w:sz="12" w:space="0" w:color="auto"/>
            </w:tcBorders>
          </w:tcPr>
          <w:p w:rsidR="00FE7DCF" w:rsidRPr="002A6A26" w:rsidRDefault="00FE7DCF" w:rsidP="00A10005">
            <w:pPr>
              <w:spacing w:after="0" w:line="240" w:lineRule="auto"/>
              <w:rPr>
                <w:rFonts w:ascii="Arial" w:eastAsia="Arial Unicode MS" w:hAnsi="Arial" w:cs="Arial"/>
                <w:sz w:val="20"/>
                <w:szCs w:val="20"/>
              </w:rPr>
            </w:pPr>
            <w:r w:rsidRPr="002A6A26">
              <w:rPr>
                <w:rFonts w:ascii="Arial" w:eastAsia="Arial Unicode MS" w:hAnsi="Arial" w:cs="Arial"/>
                <w:sz w:val="20"/>
                <w:szCs w:val="20"/>
              </w:rPr>
              <w:t xml:space="preserve">Planul regional de promovare operațional adoptat pentru implementare de către factorii interesați în ÎPT </w:t>
            </w:r>
          </w:p>
        </w:tc>
        <w:tc>
          <w:tcPr>
            <w:tcW w:w="1559" w:type="dxa"/>
            <w:tcBorders>
              <w:top w:val="single" w:sz="12" w:space="0" w:color="auto"/>
            </w:tcBorders>
          </w:tcPr>
          <w:p w:rsidR="00FE7DCF" w:rsidRPr="002A6A26" w:rsidRDefault="00FE7DCF" w:rsidP="000C6A67">
            <w:pPr>
              <w:spacing w:after="0" w:line="240" w:lineRule="auto"/>
              <w:rPr>
                <w:rFonts w:ascii="Arial" w:hAnsi="Arial" w:cs="Arial"/>
                <w:sz w:val="20"/>
                <w:szCs w:val="20"/>
              </w:rPr>
            </w:pPr>
          </w:p>
          <w:p w:rsidR="00296561" w:rsidRPr="002A6A26" w:rsidRDefault="00296561" w:rsidP="000C6A67">
            <w:pPr>
              <w:spacing w:after="0" w:line="240" w:lineRule="auto"/>
              <w:rPr>
                <w:rFonts w:ascii="Arial" w:hAnsi="Arial" w:cs="Arial"/>
                <w:sz w:val="20"/>
                <w:szCs w:val="20"/>
              </w:rPr>
            </w:pPr>
            <w:r w:rsidRPr="002A6A26">
              <w:rPr>
                <w:rFonts w:ascii="Arial" w:hAnsi="Arial" w:cs="Arial"/>
                <w:sz w:val="20"/>
                <w:szCs w:val="20"/>
              </w:rPr>
              <w:t xml:space="preserve">Lunar, în funcție de centrul de interes specific perioadei </w:t>
            </w:r>
          </w:p>
        </w:tc>
        <w:tc>
          <w:tcPr>
            <w:tcW w:w="1519" w:type="dxa"/>
            <w:tcBorders>
              <w:top w:val="single" w:sz="12" w:space="0" w:color="auto"/>
            </w:tcBorders>
          </w:tcPr>
          <w:p w:rsidR="00FE7DCF" w:rsidRPr="002A6A26" w:rsidRDefault="00FE7DCF" w:rsidP="000C6A67">
            <w:pPr>
              <w:spacing w:after="0" w:line="240" w:lineRule="auto"/>
              <w:rPr>
                <w:rFonts w:ascii="Arial" w:hAnsi="Arial" w:cs="Arial"/>
                <w:sz w:val="20"/>
                <w:szCs w:val="20"/>
              </w:rPr>
            </w:pPr>
          </w:p>
          <w:p w:rsidR="00296561" w:rsidRPr="002A6A26" w:rsidRDefault="00296561" w:rsidP="000C6A67">
            <w:pPr>
              <w:spacing w:after="0" w:line="240" w:lineRule="auto"/>
              <w:rPr>
                <w:rFonts w:ascii="Arial" w:hAnsi="Arial" w:cs="Arial"/>
                <w:sz w:val="20"/>
                <w:szCs w:val="20"/>
              </w:rPr>
            </w:pPr>
            <w:r w:rsidRPr="002A6A26">
              <w:rPr>
                <w:rFonts w:ascii="Arial" w:hAnsi="Arial" w:cs="Arial"/>
                <w:sz w:val="20"/>
                <w:szCs w:val="20"/>
              </w:rPr>
              <w:t xml:space="preserve">ISJ și CJRAE </w:t>
            </w:r>
          </w:p>
          <w:p w:rsidR="00296561" w:rsidRPr="002A6A26" w:rsidRDefault="00296561" w:rsidP="000C6A67">
            <w:pPr>
              <w:spacing w:after="0" w:line="240" w:lineRule="auto"/>
              <w:rPr>
                <w:rFonts w:ascii="Arial" w:hAnsi="Arial" w:cs="Arial"/>
                <w:sz w:val="20"/>
                <w:szCs w:val="20"/>
              </w:rPr>
            </w:pPr>
            <w:r w:rsidRPr="002A6A26">
              <w:rPr>
                <w:rFonts w:ascii="Arial" w:hAnsi="Arial" w:cs="Arial"/>
                <w:sz w:val="20"/>
                <w:szCs w:val="20"/>
              </w:rPr>
              <w:t xml:space="preserve">CNDIPT și operatorii economici împreună cu autroritățile locale </w:t>
            </w:r>
          </w:p>
        </w:tc>
        <w:tc>
          <w:tcPr>
            <w:tcW w:w="1883" w:type="dxa"/>
            <w:tcBorders>
              <w:top w:val="single" w:sz="12" w:space="0" w:color="auto"/>
            </w:tcBorders>
          </w:tcPr>
          <w:p w:rsidR="00FE7DCF" w:rsidRPr="002A6A26" w:rsidRDefault="00FE7DCF" w:rsidP="000C6A67">
            <w:pPr>
              <w:spacing w:after="0" w:line="240" w:lineRule="auto"/>
              <w:rPr>
                <w:rFonts w:ascii="Arial" w:hAnsi="Arial" w:cs="Arial"/>
                <w:sz w:val="20"/>
                <w:szCs w:val="20"/>
              </w:rPr>
            </w:pPr>
          </w:p>
          <w:p w:rsidR="00296561" w:rsidRPr="002A6A26" w:rsidRDefault="00296561" w:rsidP="000C6A67">
            <w:pPr>
              <w:spacing w:after="0" w:line="240" w:lineRule="auto"/>
              <w:rPr>
                <w:rFonts w:ascii="Arial" w:hAnsi="Arial" w:cs="Arial"/>
                <w:sz w:val="20"/>
                <w:szCs w:val="20"/>
              </w:rPr>
            </w:pPr>
            <w:r w:rsidRPr="002A6A26">
              <w:rPr>
                <w:rFonts w:ascii="Arial" w:hAnsi="Arial" w:cs="Arial"/>
                <w:sz w:val="20"/>
                <w:szCs w:val="20"/>
              </w:rPr>
              <w:t xml:space="preserve">Acoperirea fiecarui semestru cu materiale si mesaje adecvate </w:t>
            </w:r>
          </w:p>
        </w:tc>
        <w:tc>
          <w:tcPr>
            <w:tcW w:w="2945" w:type="dxa"/>
            <w:tcBorders>
              <w:top w:val="single" w:sz="12" w:space="0" w:color="auto"/>
              <w:right w:val="single" w:sz="12" w:space="0" w:color="auto"/>
            </w:tcBorders>
          </w:tcPr>
          <w:p w:rsidR="00FE7DCF" w:rsidRPr="002A6A26" w:rsidRDefault="00FE7DCF" w:rsidP="000C6A67">
            <w:pPr>
              <w:pStyle w:val="BodyText"/>
              <w:spacing w:after="0" w:line="240" w:lineRule="auto"/>
              <w:rPr>
                <w:rFonts w:ascii="Arial" w:hAnsi="Arial" w:cs="Arial"/>
                <w:bCs/>
                <w:sz w:val="20"/>
                <w:szCs w:val="20"/>
              </w:rPr>
            </w:pPr>
          </w:p>
          <w:p w:rsidR="00296561" w:rsidRPr="002A6A26" w:rsidRDefault="00296561" w:rsidP="000C6A67">
            <w:pPr>
              <w:pStyle w:val="BodyText"/>
              <w:spacing w:after="0" w:line="240" w:lineRule="auto"/>
              <w:rPr>
                <w:rFonts w:ascii="Arial" w:hAnsi="Arial" w:cs="Arial"/>
                <w:bCs/>
                <w:sz w:val="20"/>
                <w:szCs w:val="20"/>
              </w:rPr>
            </w:pPr>
            <w:r w:rsidRPr="002A6A26">
              <w:rPr>
                <w:rFonts w:ascii="Arial" w:hAnsi="Arial" w:cs="Arial"/>
                <w:bCs/>
                <w:sz w:val="20"/>
                <w:szCs w:val="20"/>
              </w:rPr>
              <w:t xml:space="preserve">Lipsa resurselor alocate pentru o promovare pe mai mute canale, resurse materiale si personalul cu competente specifice acestui tip de marketing </w:t>
            </w:r>
          </w:p>
        </w:tc>
      </w:tr>
      <w:tr w:rsidR="00FE7DCF" w:rsidRPr="00D7649E" w:rsidTr="002965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32" w:type="dxa"/>
          <w:jc w:val="center"/>
        </w:trPr>
        <w:tc>
          <w:tcPr>
            <w:tcW w:w="4772" w:type="dxa"/>
            <w:tcBorders>
              <w:left w:val="single" w:sz="12" w:space="0" w:color="auto"/>
            </w:tcBorders>
          </w:tcPr>
          <w:p w:rsidR="00FE7DCF" w:rsidRPr="002A6A26" w:rsidRDefault="00FE7DCF" w:rsidP="000C6A67">
            <w:pPr>
              <w:spacing w:after="0" w:line="240" w:lineRule="auto"/>
              <w:jc w:val="both"/>
              <w:rPr>
                <w:rFonts w:ascii="Arial" w:eastAsia="Arial Unicode MS" w:hAnsi="Arial" w:cs="Arial"/>
                <w:bCs/>
                <w:sz w:val="20"/>
                <w:szCs w:val="20"/>
              </w:rPr>
            </w:pPr>
            <w:r w:rsidRPr="002A6A26">
              <w:rPr>
                <w:rFonts w:ascii="Arial" w:eastAsia="Arial Unicode MS" w:hAnsi="Arial" w:cs="Arial"/>
                <w:sz w:val="20"/>
                <w:szCs w:val="20"/>
              </w:rPr>
              <w:t xml:space="preserve">A.3.2. Punerea în practică a planului de promovare a ofertei IPT la nivel regional </w:t>
            </w:r>
          </w:p>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b/>
                <w:sz w:val="20"/>
                <w:szCs w:val="20"/>
              </w:rPr>
              <w:t xml:space="preserve">- </w:t>
            </w:r>
            <w:r w:rsidRPr="002A6A26">
              <w:rPr>
                <w:rFonts w:ascii="Arial" w:eastAsia="Arial Unicode MS" w:hAnsi="Arial" w:cs="Arial"/>
                <w:sz w:val="20"/>
                <w:szCs w:val="20"/>
              </w:rPr>
              <w:t xml:space="preserve">organizarea echipelor de promovare </w:t>
            </w:r>
          </w:p>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 xml:space="preserve">- elaborarea materialelor de promovare ( tipărite și cele prin social media) </w:t>
            </w:r>
          </w:p>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 coordonarea activităților cuprinse in planul de promovare</w:t>
            </w:r>
          </w:p>
          <w:p w:rsidR="00FE7DCF" w:rsidRPr="002A6A26" w:rsidRDefault="00FE7DCF" w:rsidP="000C6A67">
            <w:pPr>
              <w:spacing w:after="0" w:line="240" w:lineRule="auto"/>
              <w:jc w:val="both"/>
              <w:rPr>
                <w:rFonts w:ascii="Arial" w:eastAsia="Arial Unicode MS" w:hAnsi="Arial" w:cs="Arial"/>
                <w:b/>
                <w:sz w:val="20"/>
                <w:szCs w:val="20"/>
              </w:rPr>
            </w:pPr>
            <w:r w:rsidRPr="002A6A26">
              <w:rPr>
                <w:rFonts w:ascii="Arial" w:eastAsia="Arial Unicode MS" w:hAnsi="Arial" w:cs="Arial"/>
                <w:sz w:val="20"/>
                <w:szCs w:val="20"/>
              </w:rPr>
              <w:t>-vizibilitatea ofertei in media locala si regionala, prin prezență</w:t>
            </w:r>
            <w:r w:rsidRPr="002A6A26">
              <w:rPr>
                <w:rFonts w:ascii="Arial" w:eastAsia="Arial Unicode MS" w:hAnsi="Arial" w:cs="Arial"/>
                <w:b/>
                <w:sz w:val="20"/>
                <w:szCs w:val="20"/>
              </w:rPr>
              <w:t xml:space="preserve"> </w:t>
            </w:r>
          </w:p>
          <w:p w:rsidR="003A7E61" w:rsidRPr="002A6A26" w:rsidRDefault="003A7E61" w:rsidP="000C6A67">
            <w:pPr>
              <w:spacing w:after="0" w:line="240" w:lineRule="auto"/>
              <w:jc w:val="both"/>
              <w:rPr>
                <w:rFonts w:ascii="Arial" w:eastAsia="Arial Unicode MS" w:hAnsi="Arial" w:cs="Arial"/>
                <w:b/>
                <w:sz w:val="20"/>
                <w:szCs w:val="20"/>
              </w:rPr>
            </w:pPr>
          </w:p>
        </w:tc>
        <w:tc>
          <w:tcPr>
            <w:tcW w:w="1985" w:type="dxa"/>
          </w:tcPr>
          <w:p w:rsidR="00FE7DCF" w:rsidRPr="002A6A26" w:rsidRDefault="00FE7DCF" w:rsidP="00A10005">
            <w:pPr>
              <w:spacing w:after="0" w:line="240" w:lineRule="auto"/>
              <w:rPr>
                <w:rFonts w:ascii="Arial" w:eastAsia="Arial Unicode MS" w:hAnsi="Arial" w:cs="Arial"/>
                <w:sz w:val="20"/>
                <w:szCs w:val="20"/>
              </w:rPr>
            </w:pPr>
            <w:r w:rsidRPr="002A6A26">
              <w:rPr>
                <w:rFonts w:ascii="Arial" w:eastAsia="Arial Unicode MS" w:hAnsi="Arial" w:cs="Arial"/>
                <w:sz w:val="20"/>
                <w:szCs w:val="20"/>
              </w:rPr>
              <w:t xml:space="preserve">Un program comprehensiv de interventie pentru a cupriunde fiecare școala generală in activitățile de promovare  </w:t>
            </w:r>
          </w:p>
        </w:tc>
        <w:tc>
          <w:tcPr>
            <w:tcW w:w="1559" w:type="dxa"/>
          </w:tcPr>
          <w:p w:rsidR="00FE7DCF" w:rsidRPr="002A6A26" w:rsidRDefault="00FE7DCF" w:rsidP="000C6A67">
            <w:pPr>
              <w:spacing w:after="0" w:line="240" w:lineRule="auto"/>
              <w:rPr>
                <w:rFonts w:ascii="Arial" w:hAnsi="Arial" w:cs="Arial"/>
                <w:sz w:val="20"/>
                <w:szCs w:val="20"/>
              </w:rPr>
            </w:pPr>
          </w:p>
          <w:p w:rsidR="00296561" w:rsidRPr="002A6A26" w:rsidRDefault="00296561" w:rsidP="000C6A67">
            <w:pPr>
              <w:spacing w:after="0" w:line="240" w:lineRule="auto"/>
              <w:rPr>
                <w:rFonts w:ascii="Arial" w:hAnsi="Arial" w:cs="Arial"/>
                <w:sz w:val="20"/>
                <w:szCs w:val="20"/>
              </w:rPr>
            </w:pPr>
            <w:r w:rsidRPr="002A6A26">
              <w:rPr>
                <w:rFonts w:ascii="Arial" w:hAnsi="Arial" w:cs="Arial"/>
                <w:sz w:val="20"/>
                <w:szCs w:val="20"/>
              </w:rPr>
              <w:t>Lunar, în funcție de centrul de interes specific perioadei</w:t>
            </w:r>
          </w:p>
        </w:tc>
        <w:tc>
          <w:tcPr>
            <w:tcW w:w="1519" w:type="dxa"/>
          </w:tcPr>
          <w:p w:rsidR="00FE7DCF" w:rsidRPr="002A6A26" w:rsidRDefault="00FE7DCF" w:rsidP="000C6A67">
            <w:pPr>
              <w:spacing w:after="0" w:line="240" w:lineRule="auto"/>
              <w:rPr>
                <w:rFonts w:ascii="Arial" w:hAnsi="Arial" w:cs="Arial"/>
                <w:sz w:val="20"/>
                <w:szCs w:val="20"/>
              </w:rPr>
            </w:pPr>
          </w:p>
          <w:p w:rsidR="00296561" w:rsidRPr="002A6A26" w:rsidRDefault="00296561" w:rsidP="000C6A67">
            <w:pPr>
              <w:spacing w:after="0" w:line="240" w:lineRule="auto"/>
              <w:rPr>
                <w:rFonts w:ascii="Arial" w:hAnsi="Arial" w:cs="Arial"/>
                <w:sz w:val="20"/>
                <w:szCs w:val="20"/>
              </w:rPr>
            </w:pPr>
            <w:r w:rsidRPr="002A6A26">
              <w:rPr>
                <w:rFonts w:ascii="Arial" w:hAnsi="Arial" w:cs="Arial"/>
                <w:sz w:val="20"/>
                <w:szCs w:val="20"/>
              </w:rPr>
              <w:t xml:space="preserve">ISJ și CJRAE </w:t>
            </w:r>
          </w:p>
          <w:p w:rsidR="00296561" w:rsidRPr="002A6A26" w:rsidRDefault="00296561" w:rsidP="000C6A67">
            <w:pPr>
              <w:spacing w:after="0" w:line="240" w:lineRule="auto"/>
              <w:rPr>
                <w:rFonts w:ascii="Arial" w:hAnsi="Arial" w:cs="Arial"/>
                <w:sz w:val="20"/>
                <w:szCs w:val="20"/>
              </w:rPr>
            </w:pPr>
            <w:r w:rsidRPr="002A6A26">
              <w:rPr>
                <w:rFonts w:ascii="Arial" w:hAnsi="Arial" w:cs="Arial"/>
                <w:sz w:val="20"/>
                <w:szCs w:val="20"/>
              </w:rPr>
              <w:t>CNDIPT și operatorii economici împreună cu autroritățile locale</w:t>
            </w:r>
          </w:p>
        </w:tc>
        <w:tc>
          <w:tcPr>
            <w:tcW w:w="1883" w:type="dxa"/>
          </w:tcPr>
          <w:p w:rsidR="00FE7DCF" w:rsidRPr="002A6A26" w:rsidRDefault="00FE7DCF" w:rsidP="000C6A67">
            <w:pPr>
              <w:spacing w:after="0" w:line="240" w:lineRule="auto"/>
              <w:rPr>
                <w:rFonts w:ascii="Arial" w:hAnsi="Arial" w:cs="Arial"/>
                <w:sz w:val="20"/>
                <w:szCs w:val="20"/>
              </w:rPr>
            </w:pPr>
          </w:p>
          <w:p w:rsidR="00296561" w:rsidRPr="002A6A26" w:rsidRDefault="00296561" w:rsidP="000C6A67">
            <w:pPr>
              <w:spacing w:after="0" w:line="240" w:lineRule="auto"/>
              <w:rPr>
                <w:rFonts w:ascii="Arial" w:hAnsi="Arial" w:cs="Arial"/>
                <w:sz w:val="20"/>
                <w:szCs w:val="20"/>
              </w:rPr>
            </w:pPr>
            <w:r w:rsidRPr="002A6A26">
              <w:rPr>
                <w:rFonts w:ascii="Arial" w:hAnsi="Arial" w:cs="Arial"/>
                <w:sz w:val="20"/>
                <w:szCs w:val="20"/>
              </w:rPr>
              <w:t xml:space="preserve">Acoperirea în fiecare semestru a școlilor generale din județ / regiune </w:t>
            </w:r>
          </w:p>
        </w:tc>
        <w:tc>
          <w:tcPr>
            <w:tcW w:w="2945" w:type="dxa"/>
            <w:tcBorders>
              <w:right w:val="single" w:sz="12" w:space="0" w:color="auto"/>
            </w:tcBorders>
          </w:tcPr>
          <w:p w:rsidR="00FE7DCF" w:rsidRPr="002A6A26" w:rsidRDefault="00FE7DCF" w:rsidP="000C6A67">
            <w:pPr>
              <w:pStyle w:val="BodyText"/>
              <w:spacing w:after="0" w:line="240" w:lineRule="auto"/>
              <w:rPr>
                <w:rFonts w:ascii="Arial" w:hAnsi="Arial" w:cs="Arial"/>
                <w:bCs/>
                <w:sz w:val="20"/>
                <w:szCs w:val="20"/>
              </w:rPr>
            </w:pPr>
          </w:p>
          <w:p w:rsidR="00296561" w:rsidRPr="002A6A26" w:rsidRDefault="00296561" w:rsidP="000C6A67">
            <w:pPr>
              <w:pStyle w:val="BodyText"/>
              <w:spacing w:after="0" w:line="240" w:lineRule="auto"/>
              <w:rPr>
                <w:rFonts w:ascii="Arial" w:hAnsi="Arial" w:cs="Arial"/>
                <w:bCs/>
                <w:sz w:val="20"/>
                <w:szCs w:val="20"/>
              </w:rPr>
            </w:pPr>
            <w:r w:rsidRPr="002A6A26">
              <w:rPr>
                <w:rFonts w:ascii="Arial" w:hAnsi="Arial" w:cs="Arial"/>
                <w:bCs/>
                <w:sz w:val="20"/>
                <w:szCs w:val="20"/>
              </w:rPr>
              <w:t>Lipsa resurselor alocate pentru o promovare pe mai mute canale, resurse materiale si personalul cu competente specifice acestui tip de marketing</w:t>
            </w:r>
          </w:p>
        </w:tc>
      </w:tr>
    </w:tbl>
    <w:p w:rsidR="00FE7DCF" w:rsidRDefault="00FE7DCF" w:rsidP="000C6A67">
      <w:pPr>
        <w:pStyle w:val="BodyText"/>
        <w:spacing w:after="0" w:line="240" w:lineRule="auto"/>
        <w:rPr>
          <w:rFonts w:ascii="Arial" w:hAnsi="Arial" w:cs="Arial"/>
          <w:color w:val="0000FF"/>
          <w:sz w:val="24"/>
          <w:szCs w:val="24"/>
        </w:rPr>
      </w:pPr>
    </w:p>
    <w:p w:rsidR="000C1A44" w:rsidRDefault="000C1A44" w:rsidP="000C6A67">
      <w:pPr>
        <w:pStyle w:val="BodyText"/>
        <w:spacing w:after="0" w:line="240" w:lineRule="auto"/>
        <w:rPr>
          <w:rFonts w:ascii="Arial" w:hAnsi="Arial" w:cs="Arial"/>
          <w:color w:val="0000FF"/>
          <w:sz w:val="24"/>
          <w:szCs w:val="24"/>
        </w:rPr>
      </w:pPr>
    </w:p>
    <w:p w:rsidR="000C1A44" w:rsidRDefault="000C1A44" w:rsidP="000C6A67">
      <w:pPr>
        <w:pStyle w:val="BodyText"/>
        <w:spacing w:after="0" w:line="240" w:lineRule="auto"/>
        <w:rPr>
          <w:rFonts w:ascii="Arial" w:hAnsi="Arial" w:cs="Arial"/>
          <w:color w:val="0000FF"/>
          <w:sz w:val="24"/>
          <w:szCs w:val="24"/>
        </w:rPr>
      </w:pPr>
    </w:p>
    <w:p w:rsidR="003A7E61" w:rsidRPr="00A50F01" w:rsidRDefault="003A7E61" w:rsidP="000C6A67">
      <w:pPr>
        <w:pStyle w:val="BodyText"/>
        <w:spacing w:after="0" w:line="240" w:lineRule="auto"/>
        <w:rPr>
          <w:rFonts w:ascii="Arial" w:hAnsi="Arial" w:cs="Arial"/>
          <w:color w:val="0000FF"/>
          <w:sz w:val="24"/>
          <w:szCs w:val="24"/>
        </w:rPr>
      </w:pPr>
    </w:p>
    <w:tbl>
      <w:tblPr>
        <w:tblW w:w="1487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4810"/>
        <w:gridCol w:w="1985"/>
        <w:gridCol w:w="1559"/>
        <w:gridCol w:w="1701"/>
        <w:gridCol w:w="1701"/>
        <w:gridCol w:w="3080"/>
        <w:gridCol w:w="38"/>
      </w:tblGrid>
      <w:tr w:rsidR="00FE7DCF" w:rsidRPr="00D12E97" w:rsidTr="002A61B3">
        <w:trPr>
          <w:trHeight w:val="314"/>
          <w:jc w:val="center"/>
        </w:trPr>
        <w:tc>
          <w:tcPr>
            <w:tcW w:w="14874" w:type="dxa"/>
            <w:gridSpan w:val="7"/>
            <w:tcBorders>
              <w:bottom w:val="single" w:sz="12" w:space="0" w:color="auto"/>
            </w:tcBorders>
            <w:shd w:val="clear" w:color="auto" w:fill="66CCFF"/>
          </w:tcPr>
          <w:p w:rsidR="00FE7DCF" w:rsidRPr="003A7E61" w:rsidRDefault="00FE7DCF" w:rsidP="000C6A67">
            <w:pPr>
              <w:spacing w:after="0" w:line="240" w:lineRule="auto"/>
              <w:rPr>
                <w:rFonts w:ascii="Arial" w:hAnsi="Arial" w:cs="Arial"/>
                <w:b/>
              </w:rPr>
            </w:pPr>
            <w:r w:rsidRPr="003A7E61">
              <w:rPr>
                <w:rFonts w:ascii="Arial" w:hAnsi="Arial" w:cs="Arial"/>
                <w:b/>
              </w:rPr>
              <w:lastRenderedPageBreak/>
              <w:t>PRIORITATEA 4</w:t>
            </w:r>
            <w:r w:rsidR="002A61B3">
              <w:rPr>
                <w:rFonts w:ascii="Arial" w:hAnsi="Arial" w:cs="Arial"/>
                <w:b/>
                <w:bCs/>
              </w:rPr>
              <w:t>:</w:t>
            </w:r>
            <w:r w:rsidRPr="003A7E61">
              <w:rPr>
                <w:rFonts w:ascii="Arial" w:hAnsi="Arial" w:cs="Arial"/>
                <w:b/>
              </w:rPr>
              <w:t xml:space="preserve">Utilizarea și atragerea resurselor </w:t>
            </w:r>
          </w:p>
        </w:tc>
      </w:tr>
      <w:tr w:rsidR="00FE7DCF" w:rsidRPr="00D12E97" w:rsidTr="002A61B3">
        <w:trPr>
          <w:trHeight w:val="314"/>
          <w:jc w:val="center"/>
        </w:trPr>
        <w:tc>
          <w:tcPr>
            <w:tcW w:w="14874" w:type="dxa"/>
            <w:gridSpan w:val="7"/>
            <w:tcBorders>
              <w:bottom w:val="single" w:sz="12" w:space="0" w:color="auto"/>
            </w:tcBorders>
            <w:shd w:val="clear" w:color="auto" w:fill="66CCFF"/>
          </w:tcPr>
          <w:p w:rsidR="00FE7DCF" w:rsidRPr="003A7E61" w:rsidRDefault="00FE7DCF" w:rsidP="000C6A67">
            <w:pPr>
              <w:spacing w:after="0" w:line="240" w:lineRule="auto"/>
              <w:jc w:val="both"/>
              <w:rPr>
                <w:rFonts w:ascii="Arial" w:eastAsia="Arial Unicode MS" w:hAnsi="Arial" w:cs="Arial"/>
              </w:rPr>
            </w:pPr>
            <w:r w:rsidRPr="003A7E61">
              <w:rPr>
                <w:rFonts w:ascii="Arial" w:eastAsia="Arial Unicode MS" w:hAnsi="Arial" w:cs="Arial"/>
              </w:rPr>
              <w:t xml:space="preserve">OBIECTIV 4: Optimizarea utilizării resurselor aferente ÎPT și atragerea unor surse suplimentare pentru finanțarea unei oferte moderne </w:t>
            </w:r>
          </w:p>
        </w:tc>
      </w:tr>
      <w:tr w:rsidR="00FE7DCF" w:rsidRPr="00D12E97" w:rsidTr="002A61B3">
        <w:trPr>
          <w:trHeight w:val="698"/>
          <w:jc w:val="center"/>
        </w:trPr>
        <w:tc>
          <w:tcPr>
            <w:tcW w:w="14874" w:type="dxa"/>
            <w:gridSpan w:val="7"/>
            <w:shd w:val="clear" w:color="auto" w:fill="CCFFFF"/>
          </w:tcPr>
          <w:p w:rsidR="00FE7DCF" w:rsidRPr="003A7E61" w:rsidRDefault="00FE7DCF" w:rsidP="000C6A67">
            <w:pPr>
              <w:spacing w:after="0" w:line="240" w:lineRule="auto"/>
              <w:rPr>
                <w:rFonts w:ascii="Arial" w:hAnsi="Arial" w:cs="Arial"/>
                <w:b/>
              </w:rPr>
            </w:pPr>
            <w:r w:rsidRPr="003A7E61">
              <w:rPr>
                <w:rFonts w:ascii="Arial" w:hAnsi="Arial" w:cs="Arial"/>
                <w:b/>
              </w:rPr>
              <w:t>Indicatori de impact:</w:t>
            </w:r>
          </w:p>
          <w:p w:rsidR="00FE7DCF" w:rsidRPr="003A7E61" w:rsidRDefault="00FE7DCF" w:rsidP="000C6A67">
            <w:pPr>
              <w:spacing w:after="0" w:line="240" w:lineRule="auto"/>
              <w:rPr>
                <w:rFonts w:ascii="Arial" w:hAnsi="Arial" w:cs="Arial"/>
              </w:rPr>
            </w:pPr>
            <w:r w:rsidRPr="003A7E61">
              <w:rPr>
                <w:rFonts w:ascii="Arial" w:eastAsia="Arial Unicode MS" w:hAnsi="Arial" w:cs="Arial"/>
              </w:rPr>
              <w:t>Reabilitarea şi modernizarea infrastructurii şcolilor din ÎPT (inclusiv dotarea cu echipamente de instruire, conform standardelor de pregătire)</w:t>
            </w:r>
          </w:p>
        </w:tc>
      </w:tr>
      <w:tr w:rsidR="00FE7DCF" w:rsidRPr="00D7649E" w:rsidTr="002A61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38" w:type="dxa"/>
          <w:jc w:val="center"/>
        </w:trPr>
        <w:tc>
          <w:tcPr>
            <w:tcW w:w="11756" w:type="dxa"/>
            <w:gridSpan w:val="5"/>
            <w:tcBorders>
              <w:top w:val="single" w:sz="12" w:space="0" w:color="auto"/>
              <w:left w:val="single" w:sz="12" w:space="0" w:color="auto"/>
              <w:bottom w:val="single" w:sz="12" w:space="0" w:color="auto"/>
            </w:tcBorders>
            <w:shd w:val="clear" w:color="auto" w:fill="CCFFFF"/>
          </w:tcPr>
          <w:p w:rsidR="00FE7DCF" w:rsidRPr="003A7E61" w:rsidRDefault="00FE7DCF" w:rsidP="000C6A67">
            <w:pPr>
              <w:spacing w:after="0" w:line="240" w:lineRule="auto"/>
              <w:jc w:val="both"/>
              <w:rPr>
                <w:rFonts w:ascii="Arial" w:eastAsia="Arial Unicode MS" w:hAnsi="Arial" w:cs="Arial"/>
              </w:rPr>
            </w:pPr>
            <w:r w:rsidRPr="003A7E61">
              <w:rPr>
                <w:rFonts w:ascii="Arial" w:eastAsia="Arial Unicode MS" w:hAnsi="Arial" w:cs="Arial"/>
              </w:rPr>
              <w:t xml:space="preserve">OBIECTIV 4:  Optimizarea utilizării resurselor aferente ÎPT și atragerea unor surse suplimentare pentru finanțarea unei oferte moderne </w:t>
            </w:r>
          </w:p>
          <w:p w:rsidR="00FE7DCF" w:rsidRPr="003A7E61" w:rsidRDefault="00FE7DCF" w:rsidP="000C6A67">
            <w:pPr>
              <w:spacing w:after="0" w:line="240" w:lineRule="auto"/>
              <w:rPr>
                <w:rFonts w:ascii="Arial" w:hAnsi="Arial" w:cs="Arial"/>
                <w:b/>
                <w:u w:val="single"/>
              </w:rPr>
            </w:pPr>
            <w:r w:rsidRPr="003A7E61">
              <w:rPr>
                <w:rFonts w:ascii="Arial" w:hAnsi="Arial" w:cs="Arial"/>
                <w:b/>
                <w:u w:val="single"/>
              </w:rPr>
              <w:t xml:space="preserve">Indicatori: </w:t>
            </w:r>
          </w:p>
          <w:p w:rsidR="00FE7DCF" w:rsidRPr="003A7E61" w:rsidRDefault="00FE7DCF" w:rsidP="000C6A67">
            <w:pPr>
              <w:spacing w:after="0" w:line="240" w:lineRule="auto"/>
              <w:rPr>
                <w:rFonts w:ascii="Arial" w:hAnsi="Arial" w:cs="Arial"/>
                <w:b/>
              </w:rPr>
            </w:pPr>
            <w:r w:rsidRPr="003A7E61">
              <w:rPr>
                <w:rFonts w:ascii="Arial" w:eastAsia="Arial Unicode MS" w:hAnsi="Arial" w:cs="Arial"/>
              </w:rPr>
              <w:t>Reabilitarea şi modernizarea infrastructurii şcolilor din ÎPT (inclusiv dotarea cu echipamente de instruire, conform standardelor de pregătire)</w:t>
            </w:r>
          </w:p>
        </w:tc>
        <w:tc>
          <w:tcPr>
            <w:tcW w:w="3080" w:type="dxa"/>
            <w:tcBorders>
              <w:top w:val="single" w:sz="12" w:space="0" w:color="auto"/>
              <w:bottom w:val="single" w:sz="12" w:space="0" w:color="auto"/>
              <w:right w:val="single" w:sz="12" w:space="0" w:color="auto"/>
            </w:tcBorders>
            <w:shd w:val="clear" w:color="auto" w:fill="CCFFFF"/>
          </w:tcPr>
          <w:p w:rsidR="00FE7DCF" w:rsidRPr="003A7E61" w:rsidRDefault="00FE7DCF" w:rsidP="000C6A67">
            <w:pPr>
              <w:spacing w:after="0" w:line="240" w:lineRule="auto"/>
              <w:rPr>
                <w:rFonts w:ascii="Arial" w:eastAsia="Arial" w:hAnsi="Arial" w:cs="Arial"/>
                <w:b/>
                <w:bCs/>
                <w:color w:val="000000"/>
              </w:rPr>
            </w:pPr>
            <w:r w:rsidRPr="003A7E61">
              <w:rPr>
                <w:rFonts w:ascii="Arial" w:eastAsia="Arial" w:hAnsi="Arial" w:cs="Arial"/>
                <w:b/>
                <w:bCs/>
                <w:color w:val="000000"/>
              </w:rPr>
              <w:t>Precondiţii şi riscuri:</w:t>
            </w:r>
          </w:p>
          <w:p w:rsidR="001364AB" w:rsidRPr="003A7E61" w:rsidRDefault="001364AB" w:rsidP="000C6A67">
            <w:pPr>
              <w:spacing w:after="0" w:line="240" w:lineRule="auto"/>
              <w:rPr>
                <w:rFonts w:ascii="Arial" w:hAnsi="Arial" w:cs="Arial"/>
                <w:b/>
              </w:rPr>
            </w:pPr>
          </w:p>
          <w:p w:rsidR="001364AB" w:rsidRPr="003A7E61" w:rsidRDefault="001364AB" w:rsidP="000C6A67">
            <w:pPr>
              <w:spacing w:after="0" w:line="240" w:lineRule="auto"/>
              <w:rPr>
                <w:rFonts w:ascii="Arial" w:hAnsi="Arial" w:cs="Arial"/>
              </w:rPr>
            </w:pPr>
            <w:r w:rsidRPr="003A7E61">
              <w:rPr>
                <w:rFonts w:ascii="Arial" w:hAnsi="Arial" w:cs="Arial"/>
              </w:rPr>
              <w:t xml:space="preserve">Resurse subdimensionate față de nevoi </w:t>
            </w:r>
          </w:p>
        </w:tc>
      </w:tr>
      <w:tr w:rsidR="00FE7DCF" w:rsidRPr="00D7649E" w:rsidTr="002A61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38" w:type="dxa"/>
          <w:jc w:val="center"/>
        </w:trPr>
        <w:tc>
          <w:tcPr>
            <w:tcW w:w="4810" w:type="dxa"/>
            <w:tcBorders>
              <w:top w:val="single" w:sz="12" w:space="0" w:color="auto"/>
              <w:left w:val="single" w:sz="12" w:space="0" w:color="auto"/>
              <w:bottom w:val="single" w:sz="12" w:space="0" w:color="auto"/>
            </w:tcBorders>
            <w:shd w:val="clear" w:color="auto" w:fill="CCFFFF"/>
          </w:tcPr>
          <w:p w:rsidR="00FE7DCF" w:rsidRPr="00D7649E" w:rsidRDefault="00FE7DCF" w:rsidP="000C6A67">
            <w:pPr>
              <w:spacing w:after="0" w:line="240" w:lineRule="auto"/>
              <w:rPr>
                <w:rFonts w:ascii="Arial" w:hAnsi="Arial" w:cs="Arial"/>
                <w:b/>
                <w:sz w:val="20"/>
                <w:szCs w:val="20"/>
              </w:rPr>
            </w:pPr>
            <w:r w:rsidRPr="00D7649E">
              <w:rPr>
                <w:rFonts w:ascii="Arial" w:hAnsi="Arial" w:cs="Arial"/>
                <w:b/>
                <w:sz w:val="20"/>
                <w:szCs w:val="20"/>
              </w:rPr>
              <w:t>Acţiuni - Activităţi</w:t>
            </w:r>
          </w:p>
        </w:tc>
        <w:tc>
          <w:tcPr>
            <w:tcW w:w="1985" w:type="dxa"/>
            <w:tcBorders>
              <w:top w:val="single" w:sz="12" w:space="0" w:color="auto"/>
              <w:bottom w:val="single" w:sz="12" w:space="0" w:color="auto"/>
            </w:tcBorders>
            <w:shd w:val="clear" w:color="auto" w:fill="CCFFFF"/>
          </w:tcPr>
          <w:p w:rsidR="00FE7DCF" w:rsidRPr="00D7649E" w:rsidRDefault="00FE7DCF" w:rsidP="000C6A67">
            <w:pPr>
              <w:spacing w:after="0" w:line="240" w:lineRule="auto"/>
              <w:ind w:left="249"/>
              <w:rPr>
                <w:rFonts w:ascii="Arial" w:hAnsi="Arial" w:cs="Arial"/>
                <w:b/>
                <w:sz w:val="20"/>
                <w:szCs w:val="20"/>
              </w:rPr>
            </w:pPr>
            <w:r>
              <w:rPr>
                <w:rFonts w:ascii="Arial" w:hAnsi="Arial" w:cs="Arial"/>
                <w:b/>
                <w:sz w:val="20"/>
                <w:szCs w:val="20"/>
              </w:rPr>
              <w:t xml:space="preserve">Rezultate </w:t>
            </w:r>
          </w:p>
        </w:tc>
        <w:tc>
          <w:tcPr>
            <w:tcW w:w="1559" w:type="dxa"/>
            <w:tcBorders>
              <w:top w:val="single" w:sz="12" w:space="0" w:color="auto"/>
              <w:bottom w:val="single" w:sz="12" w:space="0" w:color="auto"/>
            </w:tcBorders>
            <w:shd w:val="clear" w:color="auto" w:fill="CCFFFF"/>
          </w:tcPr>
          <w:p w:rsidR="00FE7DCF" w:rsidRPr="00D7649E" w:rsidRDefault="00FE7DCF" w:rsidP="000C6A67">
            <w:pPr>
              <w:spacing w:after="0" w:line="240" w:lineRule="auto"/>
              <w:ind w:left="249"/>
              <w:rPr>
                <w:rFonts w:ascii="Arial" w:hAnsi="Arial" w:cs="Arial"/>
                <w:b/>
                <w:sz w:val="20"/>
                <w:szCs w:val="20"/>
              </w:rPr>
            </w:pPr>
            <w:r w:rsidRPr="00D7649E">
              <w:rPr>
                <w:rFonts w:ascii="Arial" w:hAnsi="Arial" w:cs="Arial"/>
                <w:b/>
                <w:sz w:val="20"/>
                <w:szCs w:val="20"/>
              </w:rPr>
              <w:t xml:space="preserve">Termene </w:t>
            </w:r>
          </w:p>
        </w:tc>
        <w:tc>
          <w:tcPr>
            <w:tcW w:w="1701" w:type="dxa"/>
            <w:tcBorders>
              <w:top w:val="single" w:sz="12" w:space="0" w:color="auto"/>
              <w:bottom w:val="single" w:sz="12" w:space="0" w:color="auto"/>
            </w:tcBorders>
            <w:shd w:val="clear" w:color="auto" w:fill="CCFFFF"/>
          </w:tcPr>
          <w:p w:rsidR="00FE7DCF" w:rsidRPr="00D7649E" w:rsidRDefault="00FE7DCF" w:rsidP="000C6A67">
            <w:pPr>
              <w:spacing w:after="0" w:line="240" w:lineRule="auto"/>
              <w:jc w:val="center"/>
              <w:rPr>
                <w:rFonts w:ascii="Arial" w:hAnsi="Arial" w:cs="Arial"/>
                <w:b/>
                <w:sz w:val="20"/>
                <w:szCs w:val="20"/>
              </w:rPr>
            </w:pPr>
            <w:r w:rsidRPr="00D7649E">
              <w:rPr>
                <w:rFonts w:ascii="Arial" w:hAnsi="Arial" w:cs="Arial"/>
                <w:b/>
                <w:sz w:val="20"/>
                <w:szCs w:val="20"/>
              </w:rPr>
              <w:t>Instituţii responsabile</w:t>
            </w:r>
          </w:p>
        </w:tc>
        <w:tc>
          <w:tcPr>
            <w:tcW w:w="1701" w:type="dxa"/>
            <w:tcBorders>
              <w:top w:val="single" w:sz="12" w:space="0" w:color="auto"/>
              <w:bottom w:val="single" w:sz="12" w:space="0" w:color="auto"/>
            </w:tcBorders>
            <w:shd w:val="clear" w:color="auto" w:fill="CCFFFF"/>
          </w:tcPr>
          <w:p w:rsidR="00FE7DCF" w:rsidRPr="00D7649E" w:rsidRDefault="00FE7DCF" w:rsidP="000C6A67">
            <w:pPr>
              <w:spacing w:after="0" w:line="240" w:lineRule="auto"/>
              <w:rPr>
                <w:rFonts w:ascii="Arial" w:hAnsi="Arial" w:cs="Arial"/>
                <w:b/>
                <w:sz w:val="20"/>
                <w:szCs w:val="20"/>
              </w:rPr>
            </w:pPr>
            <w:r>
              <w:rPr>
                <w:rFonts w:ascii="Arial" w:hAnsi="Arial" w:cs="Arial"/>
                <w:b/>
                <w:sz w:val="20"/>
                <w:szCs w:val="20"/>
              </w:rPr>
              <w:t>Indicatori</w:t>
            </w:r>
          </w:p>
        </w:tc>
        <w:tc>
          <w:tcPr>
            <w:tcW w:w="3080" w:type="dxa"/>
            <w:tcBorders>
              <w:top w:val="single" w:sz="12" w:space="0" w:color="auto"/>
              <w:bottom w:val="single" w:sz="12" w:space="0" w:color="auto"/>
              <w:right w:val="single" w:sz="12" w:space="0" w:color="auto"/>
            </w:tcBorders>
            <w:shd w:val="clear" w:color="auto" w:fill="CCFFFF"/>
          </w:tcPr>
          <w:p w:rsidR="00FE7DCF" w:rsidRPr="00D7649E" w:rsidRDefault="00FE7DCF" w:rsidP="000C6A67">
            <w:pPr>
              <w:spacing w:after="0" w:line="240" w:lineRule="auto"/>
              <w:rPr>
                <w:rFonts w:ascii="Arial" w:eastAsia="Arial" w:hAnsi="Arial" w:cs="Arial"/>
                <w:b/>
                <w:bCs/>
                <w:color w:val="000000"/>
                <w:sz w:val="20"/>
                <w:szCs w:val="20"/>
              </w:rPr>
            </w:pPr>
            <w:r w:rsidRPr="00D7649E">
              <w:rPr>
                <w:rFonts w:ascii="Arial" w:eastAsia="Arial" w:hAnsi="Arial" w:cs="Arial"/>
                <w:b/>
                <w:bCs/>
                <w:color w:val="000000"/>
                <w:sz w:val="20"/>
                <w:szCs w:val="20"/>
              </w:rPr>
              <w:t>Precondiţii şi riscuri</w:t>
            </w:r>
          </w:p>
          <w:p w:rsidR="00FE7DCF" w:rsidRPr="00D7649E" w:rsidRDefault="00FE7DCF" w:rsidP="000C6A67">
            <w:pPr>
              <w:spacing w:after="0" w:line="240" w:lineRule="auto"/>
              <w:rPr>
                <w:rFonts w:ascii="Arial" w:eastAsia="Arial Unicode MS" w:hAnsi="Arial" w:cs="Arial"/>
                <w:b/>
                <w:bCs/>
                <w:vanish/>
                <w:color w:val="000000"/>
                <w:sz w:val="20"/>
                <w:szCs w:val="20"/>
              </w:rPr>
            </w:pPr>
          </w:p>
          <w:p w:rsidR="00FE7DCF" w:rsidRPr="00D7649E" w:rsidRDefault="00FE7DCF" w:rsidP="000C6A67">
            <w:pPr>
              <w:spacing w:after="0" w:line="240" w:lineRule="auto"/>
              <w:rPr>
                <w:rFonts w:ascii="Arial" w:hAnsi="Arial" w:cs="Arial"/>
                <w:b/>
                <w:bCs/>
                <w:sz w:val="20"/>
                <w:szCs w:val="20"/>
              </w:rPr>
            </w:pPr>
          </w:p>
        </w:tc>
      </w:tr>
      <w:tr w:rsidR="00FE7DCF" w:rsidRPr="00D7649E" w:rsidTr="002A61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38" w:type="dxa"/>
          <w:trHeight w:val="88"/>
          <w:jc w:val="center"/>
        </w:trPr>
        <w:tc>
          <w:tcPr>
            <w:tcW w:w="4810" w:type="dxa"/>
            <w:tcBorders>
              <w:top w:val="single" w:sz="12" w:space="0" w:color="auto"/>
              <w:left w:val="single" w:sz="12" w:space="0" w:color="auto"/>
            </w:tcBorders>
          </w:tcPr>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A.4.1.Inventarul echipamentelor și a condițiilor existente la nivelul școlilor pentru formare</w:t>
            </w:r>
          </w:p>
          <w:p w:rsidR="00FE7DCF" w:rsidRPr="002A6A26" w:rsidRDefault="00FE7DCF" w:rsidP="000C6A67">
            <w:pPr>
              <w:spacing w:after="0" w:line="240" w:lineRule="auto"/>
              <w:jc w:val="both"/>
              <w:rPr>
                <w:rFonts w:ascii="Arial" w:eastAsia="Arial Unicode MS" w:hAnsi="Arial" w:cs="Arial"/>
                <w:bCs/>
                <w:sz w:val="20"/>
                <w:szCs w:val="20"/>
              </w:rPr>
            </w:pPr>
            <w:r w:rsidRPr="002A6A26">
              <w:rPr>
                <w:rFonts w:ascii="Arial" w:eastAsia="Arial Unicode MS" w:hAnsi="Arial" w:cs="Arial"/>
                <w:sz w:val="20"/>
                <w:szCs w:val="20"/>
              </w:rPr>
              <w:t xml:space="preserve">- realizarea unei anchete reale cu privire la condițiile de formare din școlile ÎPT </w:t>
            </w:r>
          </w:p>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 xml:space="preserve">-anchetă realizată de către echipe mixte, parteneri și reprezentanți școli, ISJ pe baza unor criterii asumate la nivel regional </w:t>
            </w:r>
          </w:p>
          <w:p w:rsidR="003A7E61" w:rsidRPr="002A6A26" w:rsidRDefault="003A7E61" w:rsidP="000C6A67">
            <w:pPr>
              <w:spacing w:after="0" w:line="240" w:lineRule="auto"/>
              <w:jc w:val="both"/>
              <w:rPr>
                <w:rFonts w:ascii="Arial" w:eastAsia="Arial Unicode MS" w:hAnsi="Arial" w:cs="Arial"/>
                <w:sz w:val="20"/>
                <w:szCs w:val="20"/>
              </w:rPr>
            </w:pPr>
          </w:p>
        </w:tc>
        <w:tc>
          <w:tcPr>
            <w:tcW w:w="1985" w:type="dxa"/>
            <w:tcBorders>
              <w:top w:val="single" w:sz="12" w:space="0" w:color="auto"/>
            </w:tcBorders>
          </w:tcPr>
          <w:p w:rsidR="00FE7DCF" w:rsidRPr="002A6A26" w:rsidRDefault="00FE7DCF" w:rsidP="002A6A26">
            <w:pPr>
              <w:spacing w:after="0" w:line="240" w:lineRule="auto"/>
              <w:rPr>
                <w:rFonts w:ascii="Arial" w:eastAsia="Arial Unicode MS" w:hAnsi="Arial" w:cs="Arial"/>
                <w:sz w:val="20"/>
                <w:szCs w:val="20"/>
              </w:rPr>
            </w:pPr>
            <w:r w:rsidRPr="002A6A26">
              <w:rPr>
                <w:rFonts w:ascii="Arial" w:eastAsia="Arial Unicode MS" w:hAnsi="Arial" w:cs="Arial"/>
                <w:sz w:val="20"/>
                <w:szCs w:val="20"/>
              </w:rPr>
              <w:t>Studiu de analiza nivelului de dotare a unităților școlare ÎPT</w:t>
            </w:r>
          </w:p>
        </w:tc>
        <w:tc>
          <w:tcPr>
            <w:tcW w:w="1559" w:type="dxa"/>
            <w:tcBorders>
              <w:top w:val="single" w:sz="12" w:space="0" w:color="auto"/>
            </w:tcBorders>
          </w:tcPr>
          <w:p w:rsidR="00FE7DCF" w:rsidRPr="002A6A26" w:rsidRDefault="001364AB" w:rsidP="000C6A67">
            <w:pPr>
              <w:spacing w:after="0" w:line="240" w:lineRule="auto"/>
              <w:rPr>
                <w:rFonts w:ascii="Arial" w:hAnsi="Arial" w:cs="Arial"/>
                <w:sz w:val="20"/>
                <w:szCs w:val="20"/>
              </w:rPr>
            </w:pPr>
            <w:r w:rsidRPr="002A6A26">
              <w:rPr>
                <w:rFonts w:ascii="Arial" w:hAnsi="Arial" w:cs="Arial"/>
                <w:sz w:val="20"/>
                <w:szCs w:val="20"/>
              </w:rPr>
              <w:t xml:space="preserve"> Dependent de deciziile privind fezabilitatea acestui inventar </w:t>
            </w:r>
          </w:p>
        </w:tc>
        <w:tc>
          <w:tcPr>
            <w:tcW w:w="1701" w:type="dxa"/>
            <w:tcBorders>
              <w:top w:val="single" w:sz="12" w:space="0" w:color="auto"/>
            </w:tcBorders>
          </w:tcPr>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ISJ</w:t>
            </w:r>
          </w:p>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Unităţi şcolare</w:t>
            </w:r>
          </w:p>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 xml:space="preserve">Autorităţi locale </w:t>
            </w:r>
          </w:p>
          <w:p w:rsidR="00FE7DCF" w:rsidRPr="002A6A26" w:rsidRDefault="00FE7DCF" w:rsidP="000C6A67">
            <w:pPr>
              <w:spacing w:after="0" w:line="240" w:lineRule="auto"/>
              <w:rPr>
                <w:rFonts w:ascii="Arial" w:hAnsi="Arial" w:cs="Arial"/>
                <w:sz w:val="20"/>
                <w:szCs w:val="20"/>
              </w:rPr>
            </w:pPr>
            <w:r w:rsidRPr="002A6A26">
              <w:rPr>
                <w:rFonts w:ascii="Arial" w:eastAsia="Arial Unicode MS" w:hAnsi="Arial" w:cs="Arial"/>
                <w:sz w:val="20"/>
                <w:szCs w:val="20"/>
              </w:rPr>
              <w:t>CLDPS</w:t>
            </w:r>
          </w:p>
        </w:tc>
        <w:tc>
          <w:tcPr>
            <w:tcW w:w="1701" w:type="dxa"/>
            <w:tcBorders>
              <w:top w:val="single" w:sz="12" w:space="0" w:color="auto"/>
            </w:tcBorders>
          </w:tcPr>
          <w:p w:rsidR="00FE7DCF" w:rsidRPr="002A6A26" w:rsidRDefault="00FE7DCF" w:rsidP="000C6A67">
            <w:pPr>
              <w:spacing w:after="0" w:line="240" w:lineRule="auto"/>
              <w:rPr>
                <w:rFonts w:ascii="Arial" w:hAnsi="Arial" w:cs="Arial"/>
                <w:sz w:val="20"/>
                <w:szCs w:val="20"/>
              </w:rPr>
            </w:pPr>
          </w:p>
          <w:p w:rsidR="001364AB" w:rsidRPr="002A6A26" w:rsidRDefault="001364AB" w:rsidP="000C6A67">
            <w:pPr>
              <w:spacing w:after="0" w:line="240" w:lineRule="auto"/>
              <w:rPr>
                <w:rFonts w:ascii="Arial" w:hAnsi="Arial" w:cs="Arial"/>
                <w:sz w:val="20"/>
                <w:szCs w:val="20"/>
              </w:rPr>
            </w:pPr>
            <w:r w:rsidRPr="002A6A26">
              <w:rPr>
                <w:rFonts w:ascii="Arial" w:hAnsi="Arial" w:cs="Arial"/>
                <w:sz w:val="20"/>
                <w:szCs w:val="20"/>
              </w:rPr>
              <w:t xml:space="preserve"> Se vor defini ulterior </w:t>
            </w:r>
          </w:p>
        </w:tc>
        <w:tc>
          <w:tcPr>
            <w:tcW w:w="3080" w:type="dxa"/>
            <w:tcBorders>
              <w:top w:val="single" w:sz="12" w:space="0" w:color="auto"/>
              <w:right w:val="single" w:sz="12" w:space="0" w:color="auto"/>
            </w:tcBorders>
          </w:tcPr>
          <w:p w:rsidR="00FE7DCF" w:rsidRPr="002A6A26" w:rsidRDefault="00FE7DCF" w:rsidP="000C6A67">
            <w:pPr>
              <w:pStyle w:val="BodyText"/>
              <w:spacing w:after="0" w:line="240" w:lineRule="auto"/>
              <w:rPr>
                <w:rFonts w:ascii="Arial" w:hAnsi="Arial" w:cs="Arial"/>
                <w:bCs/>
                <w:sz w:val="20"/>
                <w:szCs w:val="20"/>
              </w:rPr>
            </w:pPr>
          </w:p>
          <w:p w:rsidR="001364AB" w:rsidRPr="002A6A26" w:rsidRDefault="001364AB" w:rsidP="000C6A67">
            <w:pPr>
              <w:pStyle w:val="BodyText"/>
              <w:spacing w:after="0" w:line="240" w:lineRule="auto"/>
              <w:rPr>
                <w:rFonts w:ascii="Arial" w:hAnsi="Arial" w:cs="Arial"/>
                <w:bCs/>
                <w:sz w:val="20"/>
                <w:szCs w:val="20"/>
              </w:rPr>
            </w:pPr>
            <w:r w:rsidRPr="002A6A26">
              <w:rPr>
                <w:rFonts w:ascii="Arial" w:hAnsi="Arial" w:cs="Arial"/>
                <w:bCs/>
                <w:sz w:val="20"/>
                <w:szCs w:val="20"/>
              </w:rPr>
              <w:t xml:space="preserve">Decizia la nivelul politicilor naționale privind oportunitatea acestui inventar </w:t>
            </w:r>
          </w:p>
        </w:tc>
      </w:tr>
      <w:tr w:rsidR="00FE7DCF" w:rsidRPr="00D7649E" w:rsidTr="002A61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38" w:type="dxa"/>
          <w:jc w:val="center"/>
        </w:trPr>
        <w:tc>
          <w:tcPr>
            <w:tcW w:w="4810" w:type="dxa"/>
            <w:tcBorders>
              <w:left w:val="single" w:sz="12" w:space="0" w:color="auto"/>
            </w:tcBorders>
          </w:tcPr>
          <w:p w:rsidR="00FE7DCF" w:rsidRPr="002A6A26" w:rsidRDefault="001364AB"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A.4.2.E</w:t>
            </w:r>
            <w:r w:rsidR="00FE7DCF" w:rsidRPr="002A6A26">
              <w:rPr>
                <w:rFonts w:ascii="Arial" w:eastAsia="Arial Unicode MS" w:hAnsi="Arial" w:cs="Arial"/>
                <w:sz w:val="20"/>
                <w:szCs w:val="20"/>
              </w:rPr>
              <w:t xml:space="preserve">venimente regionale și județene pentru identificare de soluții cu privire la necesarul de dotare </w:t>
            </w:r>
          </w:p>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 xml:space="preserve">- generare de soluții, de tip consorții școlare, mobilitate elevi, centre de formare, relocare echipamente etc. </w:t>
            </w:r>
            <w:r w:rsidR="002A6A26" w:rsidRPr="002A6A26">
              <w:rPr>
                <w:rFonts w:ascii="Arial" w:eastAsia="Arial Unicode MS" w:hAnsi="Arial" w:cs="Arial"/>
                <w:sz w:val="20"/>
                <w:szCs w:val="20"/>
              </w:rPr>
              <w:t>î</w:t>
            </w:r>
            <w:r w:rsidRPr="002A6A26">
              <w:rPr>
                <w:rFonts w:ascii="Arial" w:eastAsia="Arial Unicode MS" w:hAnsi="Arial" w:cs="Arial"/>
                <w:sz w:val="20"/>
                <w:szCs w:val="20"/>
              </w:rPr>
              <w:t>n funcție de condițiile locale</w:t>
            </w:r>
          </w:p>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 xml:space="preserve">- prezentarea situației finale la autorități, în vederea planificării soluțiilor pe termen mediu și lung, și aplicarea unor soluții urgente imediate </w:t>
            </w:r>
          </w:p>
          <w:p w:rsidR="003A7E61" w:rsidRPr="002A6A26" w:rsidRDefault="003A7E61" w:rsidP="000C6A67">
            <w:pPr>
              <w:spacing w:after="0" w:line="240" w:lineRule="auto"/>
              <w:jc w:val="both"/>
              <w:rPr>
                <w:rFonts w:ascii="Arial" w:eastAsia="Arial Unicode MS" w:hAnsi="Arial" w:cs="Arial"/>
                <w:bCs/>
                <w:sz w:val="20"/>
                <w:szCs w:val="20"/>
              </w:rPr>
            </w:pPr>
          </w:p>
        </w:tc>
        <w:tc>
          <w:tcPr>
            <w:tcW w:w="1985" w:type="dxa"/>
          </w:tcPr>
          <w:p w:rsidR="00FE7DCF" w:rsidRPr="002A6A26" w:rsidRDefault="00FE7DCF" w:rsidP="002A6A26">
            <w:pPr>
              <w:spacing w:after="0" w:line="240" w:lineRule="auto"/>
              <w:rPr>
                <w:rFonts w:ascii="Arial" w:eastAsia="Arial Unicode MS" w:hAnsi="Arial" w:cs="Arial"/>
                <w:sz w:val="20"/>
                <w:szCs w:val="20"/>
              </w:rPr>
            </w:pPr>
            <w:r w:rsidRPr="002A6A26">
              <w:rPr>
                <w:rFonts w:ascii="Arial" w:eastAsia="Arial Unicode MS" w:hAnsi="Arial" w:cs="Arial"/>
                <w:sz w:val="20"/>
                <w:szCs w:val="20"/>
              </w:rPr>
              <w:t xml:space="preserve">Acțiuni de identificare de soluții pentru îmbunătățirea situației </w:t>
            </w:r>
          </w:p>
        </w:tc>
        <w:tc>
          <w:tcPr>
            <w:tcW w:w="1559" w:type="dxa"/>
          </w:tcPr>
          <w:p w:rsidR="00FE7DCF" w:rsidRPr="002A6A26" w:rsidRDefault="001364AB" w:rsidP="000C6A67">
            <w:pPr>
              <w:spacing w:after="0" w:line="240" w:lineRule="auto"/>
              <w:rPr>
                <w:rFonts w:ascii="Arial" w:hAnsi="Arial" w:cs="Arial"/>
                <w:sz w:val="20"/>
                <w:szCs w:val="20"/>
              </w:rPr>
            </w:pPr>
            <w:r w:rsidRPr="002A6A26">
              <w:rPr>
                <w:rFonts w:ascii="Arial" w:hAnsi="Arial" w:cs="Arial"/>
                <w:sz w:val="20"/>
                <w:szCs w:val="20"/>
              </w:rPr>
              <w:t xml:space="preserve">Dependent de calendarul finanțărilor regionale </w:t>
            </w:r>
          </w:p>
        </w:tc>
        <w:tc>
          <w:tcPr>
            <w:tcW w:w="1701" w:type="dxa"/>
          </w:tcPr>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ISJ</w:t>
            </w:r>
          </w:p>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Unităţi şcolare</w:t>
            </w:r>
          </w:p>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 xml:space="preserve">Autorităţi locale </w:t>
            </w:r>
          </w:p>
          <w:p w:rsidR="00FE7DCF" w:rsidRPr="002A6A26" w:rsidRDefault="00FE7DCF" w:rsidP="000C6A67">
            <w:pPr>
              <w:spacing w:after="0" w:line="240" w:lineRule="auto"/>
              <w:rPr>
                <w:rFonts w:ascii="Arial" w:hAnsi="Arial" w:cs="Arial"/>
                <w:sz w:val="20"/>
                <w:szCs w:val="20"/>
              </w:rPr>
            </w:pPr>
            <w:r w:rsidRPr="002A6A26">
              <w:rPr>
                <w:rFonts w:ascii="Arial" w:eastAsia="Arial Unicode MS" w:hAnsi="Arial" w:cs="Arial"/>
                <w:sz w:val="20"/>
                <w:szCs w:val="20"/>
              </w:rPr>
              <w:t>CLDPS</w:t>
            </w:r>
          </w:p>
        </w:tc>
        <w:tc>
          <w:tcPr>
            <w:tcW w:w="1701" w:type="dxa"/>
          </w:tcPr>
          <w:p w:rsidR="00FE7DCF" w:rsidRPr="002A6A26" w:rsidRDefault="001364AB" w:rsidP="000C6A67">
            <w:pPr>
              <w:spacing w:after="0" w:line="240" w:lineRule="auto"/>
              <w:rPr>
                <w:rFonts w:ascii="Arial" w:hAnsi="Arial" w:cs="Arial"/>
                <w:sz w:val="20"/>
                <w:szCs w:val="20"/>
              </w:rPr>
            </w:pPr>
            <w:r w:rsidRPr="002A6A26">
              <w:rPr>
                <w:rFonts w:ascii="Arial" w:hAnsi="Arial" w:cs="Arial"/>
                <w:sz w:val="20"/>
                <w:szCs w:val="20"/>
              </w:rPr>
              <w:t xml:space="preserve">Recomandări de noi politici publice pentru educație și formare profeisonală </w:t>
            </w:r>
          </w:p>
        </w:tc>
        <w:tc>
          <w:tcPr>
            <w:tcW w:w="3080" w:type="dxa"/>
            <w:tcBorders>
              <w:right w:val="single" w:sz="12" w:space="0" w:color="auto"/>
            </w:tcBorders>
          </w:tcPr>
          <w:p w:rsidR="00FE7DCF" w:rsidRPr="002A6A26" w:rsidRDefault="001364AB" w:rsidP="000C6A67">
            <w:pPr>
              <w:pStyle w:val="BodyText"/>
              <w:spacing w:after="0" w:line="240" w:lineRule="auto"/>
              <w:rPr>
                <w:rFonts w:ascii="Arial" w:hAnsi="Arial" w:cs="Arial"/>
                <w:bCs/>
                <w:sz w:val="20"/>
                <w:szCs w:val="20"/>
              </w:rPr>
            </w:pPr>
            <w:r w:rsidRPr="002A6A26">
              <w:rPr>
                <w:rFonts w:ascii="Arial" w:hAnsi="Arial" w:cs="Arial"/>
                <w:sz w:val="20"/>
                <w:szCs w:val="20"/>
              </w:rPr>
              <w:t>Resurse subdimensionate față de nevoi</w:t>
            </w:r>
          </w:p>
        </w:tc>
      </w:tr>
      <w:tr w:rsidR="00FE7DCF" w:rsidRPr="00D7649E" w:rsidTr="002A61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38" w:type="dxa"/>
          <w:jc w:val="center"/>
        </w:trPr>
        <w:tc>
          <w:tcPr>
            <w:tcW w:w="4810" w:type="dxa"/>
            <w:tcBorders>
              <w:left w:val="single" w:sz="12" w:space="0" w:color="auto"/>
            </w:tcBorders>
          </w:tcPr>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A.4.3. Evaluarea costurilor şi identificarea tuturor surselor de finanţare care pot fi accesate, asistarea beneficiarilor în vederea realizării unor proiecte care sa asigure resursele necesare (finanţare prin POR şi alte surse)</w:t>
            </w:r>
          </w:p>
        </w:tc>
        <w:tc>
          <w:tcPr>
            <w:tcW w:w="1985" w:type="dxa"/>
          </w:tcPr>
          <w:p w:rsidR="00FE7DCF" w:rsidRPr="002A6A26" w:rsidRDefault="001364AB" w:rsidP="000C6A67">
            <w:pPr>
              <w:spacing w:after="0" w:line="240" w:lineRule="auto"/>
              <w:rPr>
                <w:rFonts w:ascii="Arial" w:hAnsi="Arial" w:cs="Arial"/>
                <w:sz w:val="20"/>
                <w:szCs w:val="20"/>
              </w:rPr>
            </w:pPr>
            <w:r w:rsidRPr="002A6A26">
              <w:rPr>
                <w:rFonts w:ascii="Arial" w:eastAsia="Arial Unicode MS" w:hAnsi="Arial" w:cs="Arial"/>
                <w:sz w:val="20"/>
                <w:szCs w:val="20"/>
              </w:rPr>
              <w:t>Acțiuni de identificare de soluții pentru îmbunătățirea situației</w:t>
            </w:r>
          </w:p>
        </w:tc>
        <w:tc>
          <w:tcPr>
            <w:tcW w:w="1559" w:type="dxa"/>
          </w:tcPr>
          <w:p w:rsidR="00FE7DCF" w:rsidRPr="002A6A26" w:rsidRDefault="001364AB" w:rsidP="000C6A67">
            <w:pPr>
              <w:spacing w:after="0" w:line="240" w:lineRule="auto"/>
              <w:rPr>
                <w:rFonts w:ascii="Arial" w:hAnsi="Arial" w:cs="Arial"/>
                <w:sz w:val="20"/>
                <w:szCs w:val="20"/>
              </w:rPr>
            </w:pPr>
            <w:r w:rsidRPr="002A6A26">
              <w:rPr>
                <w:rFonts w:ascii="Arial" w:hAnsi="Arial" w:cs="Arial"/>
                <w:sz w:val="20"/>
                <w:szCs w:val="20"/>
              </w:rPr>
              <w:t>Dependent de calendarul finanțărilor regionale</w:t>
            </w:r>
          </w:p>
        </w:tc>
        <w:tc>
          <w:tcPr>
            <w:tcW w:w="1701" w:type="dxa"/>
          </w:tcPr>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ISJ</w:t>
            </w:r>
          </w:p>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 xml:space="preserve">Autorităţi locale </w:t>
            </w:r>
          </w:p>
          <w:p w:rsidR="00FE7DCF" w:rsidRPr="002A6A26" w:rsidRDefault="00FE7DCF" w:rsidP="000C6A67">
            <w:pPr>
              <w:spacing w:after="0" w:line="240" w:lineRule="auto"/>
              <w:rPr>
                <w:rFonts w:ascii="Arial" w:hAnsi="Arial" w:cs="Arial"/>
                <w:sz w:val="20"/>
                <w:szCs w:val="20"/>
              </w:rPr>
            </w:pPr>
            <w:r w:rsidRPr="002A6A26">
              <w:rPr>
                <w:rFonts w:ascii="Arial" w:eastAsia="Arial Unicode MS" w:hAnsi="Arial" w:cs="Arial"/>
                <w:sz w:val="20"/>
                <w:szCs w:val="20"/>
              </w:rPr>
              <w:t>CLDPS</w:t>
            </w:r>
          </w:p>
        </w:tc>
        <w:tc>
          <w:tcPr>
            <w:tcW w:w="1701" w:type="dxa"/>
          </w:tcPr>
          <w:p w:rsidR="00FE7DCF" w:rsidRPr="002A6A26" w:rsidRDefault="00FE7DCF" w:rsidP="000C6A67">
            <w:pPr>
              <w:spacing w:after="0" w:line="240" w:lineRule="auto"/>
              <w:rPr>
                <w:rFonts w:ascii="Arial" w:hAnsi="Arial" w:cs="Arial"/>
                <w:sz w:val="20"/>
                <w:szCs w:val="20"/>
              </w:rPr>
            </w:pPr>
          </w:p>
          <w:p w:rsidR="001364AB" w:rsidRPr="002A6A26" w:rsidRDefault="001364AB" w:rsidP="000C6A67">
            <w:pPr>
              <w:spacing w:after="0" w:line="240" w:lineRule="auto"/>
              <w:rPr>
                <w:rFonts w:ascii="Arial" w:hAnsi="Arial" w:cs="Arial"/>
                <w:sz w:val="20"/>
                <w:szCs w:val="20"/>
              </w:rPr>
            </w:pPr>
            <w:r w:rsidRPr="002A6A26">
              <w:rPr>
                <w:rFonts w:ascii="Arial" w:hAnsi="Arial" w:cs="Arial"/>
                <w:sz w:val="20"/>
                <w:szCs w:val="20"/>
              </w:rPr>
              <w:t>Se vor defini ulterior</w:t>
            </w:r>
          </w:p>
        </w:tc>
        <w:tc>
          <w:tcPr>
            <w:tcW w:w="3080" w:type="dxa"/>
            <w:tcBorders>
              <w:right w:val="single" w:sz="12" w:space="0" w:color="auto"/>
            </w:tcBorders>
          </w:tcPr>
          <w:p w:rsidR="00FE7DCF" w:rsidRPr="002A6A26" w:rsidRDefault="001364AB" w:rsidP="000C6A67">
            <w:pPr>
              <w:spacing w:after="0" w:line="240" w:lineRule="auto"/>
              <w:rPr>
                <w:rFonts w:ascii="Arial" w:hAnsi="Arial" w:cs="Arial"/>
                <w:sz w:val="20"/>
                <w:szCs w:val="20"/>
              </w:rPr>
            </w:pPr>
            <w:r w:rsidRPr="002A6A26">
              <w:rPr>
                <w:rFonts w:ascii="Arial" w:hAnsi="Arial" w:cs="Arial"/>
                <w:sz w:val="20"/>
                <w:szCs w:val="20"/>
              </w:rPr>
              <w:t>Resurse subdimensionate față de nevoi</w:t>
            </w:r>
          </w:p>
        </w:tc>
      </w:tr>
    </w:tbl>
    <w:p w:rsidR="00FE7DCF" w:rsidRDefault="00FE7DCF" w:rsidP="000C6A67">
      <w:pPr>
        <w:spacing w:after="0" w:line="240" w:lineRule="auto"/>
      </w:pPr>
    </w:p>
    <w:p w:rsidR="005F6B39" w:rsidRDefault="005F6B39" w:rsidP="000C6A67">
      <w:pPr>
        <w:spacing w:after="0" w:line="240" w:lineRule="auto"/>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4205"/>
        <w:gridCol w:w="2552"/>
        <w:gridCol w:w="1417"/>
        <w:gridCol w:w="1985"/>
        <w:gridCol w:w="1417"/>
        <w:gridCol w:w="3078"/>
        <w:gridCol w:w="41"/>
      </w:tblGrid>
      <w:tr w:rsidR="00FE7DCF" w:rsidRPr="00D12E97" w:rsidTr="002A61B3">
        <w:trPr>
          <w:trHeight w:val="314"/>
          <w:jc w:val="center"/>
        </w:trPr>
        <w:tc>
          <w:tcPr>
            <w:tcW w:w="14695" w:type="dxa"/>
            <w:gridSpan w:val="7"/>
            <w:tcBorders>
              <w:bottom w:val="single" w:sz="12" w:space="0" w:color="auto"/>
            </w:tcBorders>
            <w:shd w:val="clear" w:color="auto" w:fill="66CCFF"/>
          </w:tcPr>
          <w:p w:rsidR="00FE7DCF" w:rsidRPr="003A7E61" w:rsidRDefault="00FE7DCF" w:rsidP="000C6A67">
            <w:pPr>
              <w:spacing w:after="0" w:line="240" w:lineRule="auto"/>
              <w:rPr>
                <w:rFonts w:ascii="Arial" w:hAnsi="Arial" w:cs="Arial"/>
                <w:b/>
              </w:rPr>
            </w:pPr>
            <w:r w:rsidRPr="003A7E61">
              <w:rPr>
                <w:rFonts w:ascii="Arial" w:hAnsi="Arial" w:cs="Arial"/>
                <w:b/>
              </w:rPr>
              <w:lastRenderedPageBreak/>
              <w:t>PRIORITATEA 5</w:t>
            </w:r>
            <w:r w:rsidR="002A61B3">
              <w:rPr>
                <w:rFonts w:ascii="Arial" w:hAnsi="Arial" w:cs="Arial"/>
                <w:b/>
                <w:bCs/>
              </w:rPr>
              <w:t xml:space="preserve">: </w:t>
            </w:r>
            <w:r w:rsidRPr="003A7E61">
              <w:rPr>
                <w:rFonts w:ascii="Arial" w:hAnsi="Arial" w:cs="Arial"/>
                <w:b/>
              </w:rPr>
              <w:t xml:space="preserve">Reursele umane din IPT </w:t>
            </w:r>
          </w:p>
        </w:tc>
      </w:tr>
      <w:tr w:rsidR="00FE7DCF" w:rsidRPr="00D12E97" w:rsidTr="002A61B3">
        <w:trPr>
          <w:trHeight w:val="314"/>
          <w:jc w:val="center"/>
        </w:trPr>
        <w:tc>
          <w:tcPr>
            <w:tcW w:w="14695" w:type="dxa"/>
            <w:gridSpan w:val="7"/>
            <w:tcBorders>
              <w:bottom w:val="single" w:sz="12" w:space="0" w:color="auto"/>
            </w:tcBorders>
            <w:shd w:val="clear" w:color="auto" w:fill="66CCFF"/>
          </w:tcPr>
          <w:p w:rsidR="00FE7DCF" w:rsidRPr="003A7E61" w:rsidRDefault="00FE7DCF" w:rsidP="008813F9">
            <w:pPr>
              <w:spacing w:after="0" w:line="240" w:lineRule="auto"/>
              <w:ind w:left="44"/>
              <w:jc w:val="both"/>
              <w:rPr>
                <w:rFonts w:ascii="Arial" w:eastAsia="Arial Unicode MS" w:hAnsi="Arial" w:cs="Arial"/>
              </w:rPr>
            </w:pPr>
            <w:r w:rsidRPr="003A7E61">
              <w:rPr>
                <w:rFonts w:ascii="Arial" w:eastAsia="Arial Unicode MS" w:hAnsi="Arial" w:cs="Arial"/>
              </w:rPr>
              <w:t>OBIECTIV 5: Imbunătățirea capacității de actualizare a competențelor resurselor umane din ÎPT</w:t>
            </w:r>
          </w:p>
        </w:tc>
      </w:tr>
      <w:tr w:rsidR="00FE7DCF" w:rsidRPr="00D12E97" w:rsidTr="001364AB">
        <w:trPr>
          <w:trHeight w:val="698"/>
          <w:jc w:val="center"/>
        </w:trPr>
        <w:tc>
          <w:tcPr>
            <w:tcW w:w="14695" w:type="dxa"/>
            <w:gridSpan w:val="7"/>
            <w:shd w:val="clear" w:color="auto" w:fill="CCFFFF"/>
          </w:tcPr>
          <w:p w:rsidR="00FE7DCF" w:rsidRPr="003A7E61" w:rsidRDefault="00FE7DCF" w:rsidP="000C6A67">
            <w:pPr>
              <w:spacing w:after="0" w:line="240" w:lineRule="auto"/>
              <w:rPr>
                <w:rFonts w:ascii="Arial" w:hAnsi="Arial" w:cs="Arial"/>
                <w:b/>
              </w:rPr>
            </w:pPr>
            <w:r w:rsidRPr="003A7E61">
              <w:rPr>
                <w:rFonts w:ascii="Arial" w:hAnsi="Arial" w:cs="Arial"/>
                <w:b/>
              </w:rPr>
              <w:t>Indicatori de impact:</w:t>
            </w:r>
          </w:p>
          <w:p w:rsidR="00FE7DCF" w:rsidRPr="003A7E61" w:rsidRDefault="00FE7DCF" w:rsidP="000C6A67">
            <w:pPr>
              <w:spacing w:after="0" w:line="240" w:lineRule="auto"/>
              <w:rPr>
                <w:rFonts w:ascii="Arial" w:hAnsi="Arial" w:cs="Arial"/>
              </w:rPr>
            </w:pPr>
            <w:r w:rsidRPr="003A7E61">
              <w:rPr>
                <w:rFonts w:ascii="Arial" w:eastAsia="Arial Unicode MS" w:hAnsi="Arial" w:cs="Arial"/>
              </w:rPr>
              <w:t>promovarea oportunităților de dezvoltare personală și profesională a resurselor umane IPT</w:t>
            </w:r>
          </w:p>
        </w:tc>
      </w:tr>
      <w:tr w:rsidR="00FE7DCF" w:rsidRPr="003A7E61" w:rsidTr="001364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41" w:type="dxa"/>
          <w:jc w:val="center"/>
        </w:trPr>
        <w:tc>
          <w:tcPr>
            <w:tcW w:w="11576" w:type="dxa"/>
            <w:gridSpan w:val="5"/>
            <w:tcBorders>
              <w:top w:val="single" w:sz="12" w:space="0" w:color="auto"/>
              <w:left w:val="single" w:sz="12" w:space="0" w:color="auto"/>
              <w:bottom w:val="single" w:sz="12" w:space="0" w:color="auto"/>
            </w:tcBorders>
            <w:shd w:val="clear" w:color="auto" w:fill="CCFFFF"/>
          </w:tcPr>
          <w:p w:rsidR="00FE7DCF" w:rsidRPr="003A7E61" w:rsidRDefault="00FE7DCF" w:rsidP="000C6A67">
            <w:pPr>
              <w:spacing w:after="0" w:line="240" w:lineRule="auto"/>
              <w:jc w:val="both"/>
              <w:rPr>
                <w:rFonts w:ascii="Arial" w:eastAsia="Arial Unicode MS" w:hAnsi="Arial" w:cs="Arial"/>
              </w:rPr>
            </w:pPr>
            <w:r w:rsidRPr="003A7E61">
              <w:rPr>
                <w:rFonts w:ascii="Arial" w:eastAsia="Arial Unicode MS" w:hAnsi="Arial" w:cs="Arial"/>
              </w:rPr>
              <w:t>OBIECTIV 5:  Imbunătățirea capacității de actualizare a competențelor resurselor umane din ÎPT</w:t>
            </w:r>
          </w:p>
          <w:p w:rsidR="00FE7DCF" w:rsidRPr="003A7E61" w:rsidRDefault="00FE7DCF" w:rsidP="000C6A67">
            <w:pPr>
              <w:spacing w:after="0" w:line="240" w:lineRule="auto"/>
              <w:rPr>
                <w:rFonts w:ascii="Arial" w:hAnsi="Arial" w:cs="Arial"/>
                <w:b/>
                <w:u w:val="single"/>
              </w:rPr>
            </w:pPr>
            <w:r w:rsidRPr="003A7E61">
              <w:rPr>
                <w:rFonts w:ascii="Arial" w:hAnsi="Arial" w:cs="Arial"/>
                <w:b/>
                <w:u w:val="single"/>
              </w:rPr>
              <w:t xml:space="preserve">Indicatori: </w:t>
            </w:r>
          </w:p>
          <w:p w:rsidR="00FE7DCF" w:rsidRPr="003A7E61" w:rsidRDefault="001364AB" w:rsidP="000C6A67">
            <w:pPr>
              <w:spacing w:after="0" w:line="240" w:lineRule="auto"/>
              <w:rPr>
                <w:rFonts w:ascii="Arial" w:hAnsi="Arial" w:cs="Arial"/>
                <w:b/>
              </w:rPr>
            </w:pPr>
            <w:r w:rsidRPr="003A7E61">
              <w:rPr>
                <w:rFonts w:ascii="Arial" w:eastAsia="Arial Unicode MS" w:hAnsi="Arial" w:cs="Arial"/>
              </w:rPr>
              <w:t>P</w:t>
            </w:r>
            <w:r w:rsidR="00FE7DCF" w:rsidRPr="003A7E61">
              <w:rPr>
                <w:rFonts w:ascii="Arial" w:eastAsia="Arial Unicode MS" w:hAnsi="Arial" w:cs="Arial"/>
              </w:rPr>
              <w:t>romovarea oportunităților de dezvoltare personală și profesională a resurselor umane IPT</w:t>
            </w:r>
          </w:p>
        </w:tc>
        <w:tc>
          <w:tcPr>
            <w:tcW w:w="3078" w:type="dxa"/>
            <w:tcBorders>
              <w:top w:val="single" w:sz="12" w:space="0" w:color="auto"/>
              <w:bottom w:val="single" w:sz="12" w:space="0" w:color="auto"/>
              <w:right w:val="single" w:sz="12" w:space="0" w:color="auto"/>
            </w:tcBorders>
            <w:shd w:val="clear" w:color="auto" w:fill="CCFFFF"/>
          </w:tcPr>
          <w:p w:rsidR="00FE7DCF" w:rsidRPr="003A7E61" w:rsidRDefault="00FE7DCF" w:rsidP="000C6A67">
            <w:pPr>
              <w:spacing w:after="0" w:line="240" w:lineRule="auto"/>
              <w:rPr>
                <w:rFonts w:ascii="Arial" w:hAnsi="Arial" w:cs="Arial"/>
                <w:b/>
              </w:rPr>
            </w:pPr>
            <w:r w:rsidRPr="003A7E61">
              <w:rPr>
                <w:rFonts w:ascii="Arial" w:eastAsia="Arial" w:hAnsi="Arial" w:cs="Arial"/>
                <w:b/>
                <w:bCs/>
                <w:color w:val="000000"/>
              </w:rPr>
              <w:t>Precondiţii şi riscuri:</w:t>
            </w:r>
          </w:p>
          <w:p w:rsidR="00FE7DCF" w:rsidRPr="003A7E61" w:rsidRDefault="00D53DC7" w:rsidP="000C6A67">
            <w:pPr>
              <w:spacing w:after="0" w:line="240" w:lineRule="auto"/>
              <w:rPr>
                <w:rFonts w:ascii="Arial" w:hAnsi="Arial" w:cs="Arial"/>
                <w:b/>
              </w:rPr>
            </w:pPr>
            <w:r w:rsidRPr="003A7E61">
              <w:rPr>
                <w:rFonts w:ascii="Arial" w:hAnsi="Arial" w:cs="Arial"/>
                <w:bCs/>
              </w:rPr>
              <w:t>Receptivitatea RU din unități școlare și a partenerilor</w:t>
            </w:r>
          </w:p>
        </w:tc>
      </w:tr>
      <w:tr w:rsidR="00FE7DCF" w:rsidRPr="00D7649E" w:rsidTr="001364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41" w:type="dxa"/>
          <w:jc w:val="center"/>
        </w:trPr>
        <w:tc>
          <w:tcPr>
            <w:tcW w:w="4205" w:type="dxa"/>
            <w:tcBorders>
              <w:top w:val="single" w:sz="12" w:space="0" w:color="auto"/>
              <w:left w:val="single" w:sz="12" w:space="0" w:color="auto"/>
              <w:bottom w:val="single" w:sz="12" w:space="0" w:color="auto"/>
            </w:tcBorders>
            <w:shd w:val="clear" w:color="auto" w:fill="CCFFFF"/>
          </w:tcPr>
          <w:p w:rsidR="00FE7DCF" w:rsidRPr="00D7649E" w:rsidRDefault="00FE7DCF" w:rsidP="000C6A67">
            <w:pPr>
              <w:spacing w:after="0" w:line="240" w:lineRule="auto"/>
              <w:rPr>
                <w:rFonts w:ascii="Arial" w:hAnsi="Arial" w:cs="Arial"/>
                <w:b/>
                <w:sz w:val="20"/>
                <w:szCs w:val="20"/>
              </w:rPr>
            </w:pPr>
            <w:r w:rsidRPr="00D7649E">
              <w:rPr>
                <w:rFonts w:ascii="Arial" w:hAnsi="Arial" w:cs="Arial"/>
                <w:b/>
                <w:sz w:val="20"/>
                <w:szCs w:val="20"/>
              </w:rPr>
              <w:t>Acţiuni - Activităţi</w:t>
            </w:r>
          </w:p>
        </w:tc>
        <w:tc>
          <w:tcPr>
            <w:tcW w:w="2552" w:type="dxa"/>
            <w:tcBorders>
              <w:top w:val="single" w:sz="12" w:space="0" w:color="auto"/>
              <w:bottom w:val="single" w:sz="12" w:space="0" w:color="auto"/>
            </w:tcBorders>
            <w:shd w:val="clear" w:color="auto" w:fill="CCFFFF"/>
          </w:tcPr>
          <w:p w:rsidR="00FE7DCF" w:rsidRPr="00D7649E" w:rsidRDefault="00FE7DCF" w:rsidP="000C6A67">
            <w:pPr>
              <w:spacing w:after="0" w:line="240" w:lineRule="auto"/>
              <w:ind w:left="249"/>
              <w:rPr>
                <w:rFonts w:ascii="Arial" w:hAnsi="Arial" w:cs="Arial"/>
                <w:b/>
                <w:sz w:val="20"/>
                <w:szCs w:val="20"/>
              </w:rPr>
            </w:pPr>
            <w:r>
              <w:rPr>
                <w:rFonts w:ascii="Arial" w:hAnsi="Arial" w:cs="Arial"/>
                <w:b/>
                <w:sz w:val="20"/>
                <w:szCs w:val="20"/>
              </w:rPr>
              <w:t xml:space="preserve">Rezultate </w:t>
            </w:r>
          </w:p>
        </w:tc>
        <w:tc>
          <w:tcPr>
            <w:tcW w:w="1417" w:type="dxa"/>
            <w:tcBorders>
              <w:top w:val="single" w:sz="12" w:space="0" w:color="auto"/>
              <w:bottom w:val="single" w:sz="12" w:space="0" w:color="auto"/>
            </w:tcBorders>
            <w:shd w:val="clear" w:color="auto" w:fill="CCFFFF"/>
          </w:tcPr>
          <w:p w:rsidR="00FE7DCF" w:rsidRPr="00D7649E" w:rsidRDefault="00FE7DCF" w:rsidP="000C6A67">
            <w:pPr>
              <w:spacing w:after="0" w:line="240" w:lineRule="auto"/>
              <w:ind w:left="249"/>
              <w:rPr>
                <w:rFonts w:ascii="Arial" w:hAnsi="Arial" w:cs="Arial"/>
                <w:b/>
                <w:sz w:val="20"/>
                <w:szCs w:val="20"/>
              </w:rPr>
            </w:pPr>
            <w:r w:rsidRPr="00D7649E">
              <w:rPr>
                <w:rFonts w:ascii="Arial" w:hAnsi="Arial" w:cs="Arial"/>
                <w:b/>
                <w:sz w:val="20"/>
                <w:szCs w:val="20"/>
              </w:rPr>
              <w:t xml:space="preserve">Termene </w:t>
            </w:r>
          </w:p>
        </w:tc>
        <w:tc>
          <w:tcPr>
            <w:tcW w:w="1985" w:type="dxa"/>
            <w:tcBorders>
              <w:top w:val="single" w:sz="12" w:space="0" w:color="auto"/>
              <w:bottom w:val="single" w:sz="12" w:space="0" w:color="auto"/>
            </w:tcBorders>
            <w:shd w:val="clear" w:color="auto" w:fill="CCFFFF"/>
          </w:tcPr>
          <w:p w:rsidR="00FE7DCF" w:rsidRPr="00D7649E" w:rsidRDefault="00FE7DCF" w:rsidP="000C6A67">
            <w:pPr>
              <w:spacing w:after="0" w:line="240" w:lineRule="auto"/>
              <w:jc w:val="center"/>
              <w:rPr>
                <w:rFonts w:ascii="Arial" w:hAnsi="Arial" w:cs="Arial"/>
                <w:b/>
                <w:sz w:val="20"/>
                <w:szCs w:val="20"/>
              </w:rPr>
            </w:pPr>
            <w:r w:rsidRPr="00D7649E">
              <w:rPr>
                <w:rFonts w:ascii="Arial" w:hAnsi="Arial" w:cs="Arial"/>
                <w:b/>
                <w:sz w:val="20"/>
                <w:szCs w:val="20"/>
              </w:rPr>
              <w:t>Instituţii responsabile</w:t>
            </w:r>
          </w:p>
        </w:tc>
        <w:tc>
          <w:tcPr>
            <w:tcW w:w="1417" w:type="dxa"/>
            <w:tcBorders>
              <w:top w:val="single" w:sz="12" w:space="0" w:color="auto"/>
              <w:bottom w:val="single" w:sz="12" w:space="0" w:color="auto"/>
            </w:tcBorders>
            <w:shd w:val="clear" w:color="auto" w:fill="CCFFFF"/>
          </w:tcPr>
          <w:p w:rsidR="00FE7DCF" w:rsidRPr="00D7649E" w:rsidRDefault="00FE7DCF" w:rsidP="000C6A67">
            <w:pPr>
              <w:spacing w:after="0" w:line="240" w:lineRule="auto"/>
              <w:rPr>
                <w:rFonts w:ascii="Arial" w:hAnsi="Arial" w:cs="Arial"/>
                <w:b/>
                <w:sz w:val="20"/>
                <w:szCs w:val="20"/>
              </w:rPr>
            </w:pPr>
            <w:r>
              <w:rPr>
                <w:rFonts w:ascii="Arial" w:hAnsi="Arial" w:cs="Arial"/>
                <w:b/>
                <w:sz w:val="20"/>
                <w:szCs w:val="20"/>
              </w:rPr>
              <w:t>Indicatori</w:t>
            </w:r>
          </w:p>
        </w:tc>
        <w:tc>
          <w:tcPr>
            <w:tcW w:w="3078" w:type="dxa"/>
            <w:tcBorders>
              <w:top w:val="single" w:sz="12" w:space="0" w:color="auto"/>
              <w:bottom w:val="single" w:sz="12" w:space="0" w:color="auto"/>
              <w:right w:val="single" w:sz="12" w:space="0" w:color="auto"/>
            </w:tcBorders>
            <w:shd w:val="clear" w:color="auto" w:fill="CCFFFF"/>
          </w:tcPr>
          <w:p w:rsidR="00FE7DCF" w:rsidRPr="00D7649E" w:rsidRDefault="00FE7DCF" w:rsidP="000C6A67">
            <w:pPr>
              <w:spacing w:after="0" w:line="240" w:lineRule="auto"/>
              <w:rPr>
                <w:rFonts w:ascii="Arial" w:eastAsia="Arial" w:hAnsi="Arial" w:cs="Arial"/>
                <w:b/>
                <w:bCs/>
                <w:color w:val="000000"/>
                <w:sz w:val="20"/>
                <w:szCs w:val="20"/>
              </w:rPr>
            </w:pPr>
            <w:r w:rsidRPr="00D7649E">
              <w:rPr>
                <w:rFonts w:ascii="Arial" w:eastAsia="Arial" w:hAnsi="Arial" w:cs="Arial"/>
                <w:b/>
                <w:bCs/>
                <w:color w:val="000000"/>
                <w:sz w:val="20"/>
                <w:szCs w:val="20"/>
              </w:rPr>
              <w:t>Precondiţii şi riscuri</w:t>
            </w:r>
          </w:p>
          <w:p w:rsidR="00FE7DCF" w:rsidRPr="00D7649E" w:rsidRDefault="00FE7DCF" w:rsidP="000C6A67">
            <w:pPr>
              <w:spacing w:after="0" w:line="240" w:lineRule="auto"/>
              <w:rPr>
                <w:rFonts w:ascii="Arial" w:eastAsia="Arial Unicode MS" w:hAnsi="Arial" w:cs="Arial"/>
                <w:b/>
                <w:bCs/>
                <w:vanish/>
                <w:color w:val="000000"/>
                <w:sz w:val="20"/>
                <w:szCs w:val="20"/>
              </w:rPr>
            </w:pPr>
          </w:p>
          <w:p w:rsidR="00FE7DCF" w:rsidRPr="00D7649E" w:rsidRDefault="00FE7DCF" w:rsidP="000C6A67">
            <w:pPr>
              <w:spacing w:after="0" w:line="240" w:lineRule="auto"/>
              <w:rPr>
                <w:rFonts w:ascii="Arial" w:hAnsi="Arial" w:cs="Arial"/>
                <w:b/>
                <w:bCs/>
                <w:sz w:val="20"/>
                <w:szCs w:val="20"/>
              </w:rPr>
            </w:pPr>
          </w:p>
        </w:tc>
      </w:tr>
      <w:tr w:rsidR="00FE7DCF" w:rsidRPr="00D7649E" w:rsidTr="001364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41" w:type="dxa"/>
          <w:trHeight w:val="88"/>
          <w:jc w:val="center"/>
        </w:trPr>
        <w:tc>
          <w:tcPr>
            <w:tcW w:w="4205" w:type="dxa"/>
            <w:tcBorders>
              <w:top w:val="single" w:sz="12" w:space="0" w:color="auto"/>
              <w:left w:val="single" w:sz="12" w:space="0" w:color="auto"/>
            </w:tcBorders>
          </w:tcPr>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A.5.1.Evenimente regionale, județene dedicate pentru promovarea exemplelor de bune pracici existente</w:t>
            </w:r>
          </w:p>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b/>
                <w:sz w:val="20"/>
                <w:szCs w:val="20"/>
              </w:rPr>
              <w:t xml:space="preserve">- </w:t>
            </w:r>
            <w:r w:rsidRPr="002A6A26">
              <w:rPr>
                <w:rFonts w:ascii="Arial" w:eastAsia="Arial Unicode MS" w:hAnsi="Arial" w:cs="Arial"/>
                <w:sz w:val="20"/>
                <w:szCs w:val="20"/>
              </w:rPr>
              <w:t xml:space="preserve">exemple de actualizare de competențe prin internship organizat în companiile partenere  </w:t>
            </w:r>
          </w:p>
          <w:p w:rsidR="00FE7DCF" w:rsidRPr="002A6A26" w:rsidRDefault="000E2C60" w:rsidP="000C6A67">
            <w:pPr>
              <w:spacing w:after="0" w:line="240" w:lineRule="auto"/>
              <w:jc w:val="both"/>
              <w:rPr>
                <w:rFonts w:ascii="Arial" w:eastAsia="Arial Unicode MS" w:hAnsi="Arial" w:cs="Arial"/>
                <w:b/>
                <w:sz w:val="20"/>
                <w:szCs w:val="20"/>
              </w:rPr>
            </w:pPr>
            <w:r>
              <w:rPr>
                <w:rFonts w:ascii="Arial" w:eastAsia="Arial Unicode MS" w:hAnsi="Arial" w:cs="Arial"/>
                <w:sz w:val="20"/>
                <w:szCs w:val="20"/>
              </w:rPr>
              <w:t>-</w:t>
            </w:r>
            <w:r w:rsidR="00FE7DCF" w:rsidRPr="002A6A26">
              <w:rPr>
                <w:rFonts w:ascii="Arial" w:eastAsia="Arial Unicode MS" w:hAnsi="Arial" w:cs="Arial"/>
                <w:sz w:val="20"/>
                <w:szCs w:val="20"/>
              </w:rPr>
              <w:t>exemple de formare profesională prin proiecte Erasmus+</w:t>
            </w:r>
          </w:p>
        </w:tc>
        <w:tc>
          <w:tcPr>
            <w:tcW w:w="2552" w:type="dxa"/>
            <w:tcBorders>
              <w:top w:val="single" w:sz="12" w:space="0" w:color="auto"/>
            </w:tcBorders>
          </w:tcPr>
          <w:p w:rsidR="00FE7DCF" w:rsidRPr="002A6A26" w:rsidRDefault="00FE7DCF" w:rsidP="000C6A67">
            <w:pPr>
              <w:spacing w:after="0" w:line="240" w:lineRule="auto"/>
              <w:rPr>
                <w:rFonts w:ascii="Arial" w:hAnsi="Arial" w:cs="Arial"/>
                <w:sz w:val="20"/>
                <w:szCs w:val="20"/>
              </w:rPr>
            </w:pPr>
            <w:r w:rsidRPr="002A6A26">
              <w:rPr>
                <w:rFonts w:ascii="Arial" w:eastAsia="Arial Unicode MS" w:hAnsi="Arial" w:cs="Arial"/>
                <w:sz w:val="20"/>
                <w:szCs w:val="20"/>
              </w:rPr>
              <w:t xml:space="preserve">Culegerea și promovarea exemplelor de bune practici existente  </w:t>
            </w:r>
          </w:p>
        </w:tc>
        <w:tc>
          <w:tcPr>
            <w:tcW w:w="1417" w:type="dxa"/>
            <w:tcBorders>
              <w:top w:val="single" w:sz="12" w:space="0" w:color="auto"/>
            </w:tcBorders>
          </w:tcPr>
          <w:p w:rsidR="00FE7DCF" w:rsidRPr="002A6A26" w:rsidRDefault="00FE7DCF" w:rsidP="000C6A67">
            <w:pPr>
              <w:spacing w:after="0" w:line="240" w:lineRule="auto"/>
              <w:rPr>
                <w:rFonts w:ascii="Arial" w:hAnsi="Arial" w:cs="Arial"/>
                <w:sz w:val="20"/>
                <w:szCs w:val="20"/>
              </w:rPr>
            </w:pPr>
          </w:p>
          <w:p w:rsidR="00D53DC7" w:rsidRPr="002A6A26" w:rsidRDefault="00D53DC7" w:rsidP="000C6A67">
            <w:pPr>
              <w:spacing w:after="0" w:line="240" w:lineRule="auto"/>
              <w:rPr>
                <w:rFonts w:ascii="Arial" w:hAnsi="Arial" w:cs="Arial"/>
                <w:sz w:val="20"/>
                <w:szCs w:val="20"/>
              </w:rPr>
            </w:pPr>
            <w:r w:rsidRPr="002A6A26">
              <w:rPr>
                <w:rFonts w:ascii="Arial" w:hAnsi="Arial" w:cs="Arial"/>
                <w:sz w:val="20"/>
                <w:szCs w:val="20"/>
              </w:rPr>
              <w:t xml:space="preserve">În funcție de calendarul de finanțare </w:t>
            </w:r>
          </w:p>
        </w:tc>
        <w:tc>
          <w:tcPr>
            <w:tcW w:w="1985" w:type="dxa"/>
            <w:tcBorders>
              <w:top w:val="single" w:sz="12" w:space="0" w:color="auto"/>
            </w:tcBorders>
          </w:tcPr>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ISJ</w:t>
            </w:r>
          </w:p>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Unităţi şcolare</w:t>
            </w:r>
          </w:p>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 xml:space="preserve">Autorităţi locale </w:t>
            </w:r>
          </w:p>
          <w:p w:rsidR="00FE7DCF" w:rsidRPr="002A6A26" w:rsidRDefault="00FE7DCF" w:rsidP="000C6A67">
            <w:pPr>
              <w:spacing w:after="0" w:line="240" w:lineRule="auto"/>
              <w:rPr>
                <w:rFonts w:ascii="Arial" w:hAnsi="Arial" w:cs="Arial"/>
                <w:sz w:val="20"/>
                <w:szCs w:val="20"/>
              </w:rPr>
            </w:pPr>
            <w:r w:rsidRPr="002A6A26">
              <w:rPr>
                <w:rFonts w:ascii="Arial" w:eastAsia="Arial Unicode MS" w:hAnsi="Arial" w:cs="Arial"/>
                <w:sz w:val="20"/>
                <w:szCs w:val="20"/>
              </w:rPr>
              <w:t>CLDPS</w:t>
            </w:r>
          </w:p>
        </w:tc>
        <w:tc>
          <w:tcPr>
            <w:tcW w:w="1417" w:type="dxa"/>
            <w:tcBorders>
              <w:top w:val="single" w:sz="12" w:space="0" w:color="auto"/>
            </w:tcBorders>
          </w:tcPr>
          <w:p w:rsidR="00FE7DCF" w:rsidRPr="002A6A26" w:rsidRDefault="00FE7DCF" w:rsidP="000C6A67">
            <w:pPr>
              <w:spacing w:after="0" w:line="240" w:lineRule="auto"/>
              <w:rPr>
                <w:rFonts w:ascii="Arial" w:hAnsi="Arial" w:cs="Arial"/>
                <w:sz w:val="20"/>
                <w:szCs w:val="20"/>
              </w:rPr>
            </w:pPr>
          </w:p>
          <w:p w:rsidR="00D53DC7" w:rsidRPr="002A6A26" w:rsidRDefault="00D53DC7" w:rsidP="000C6A67">
            <w:pPr>
              <w:spacing w:after="0" w:line="240" w:lineRule="auto"/>
              <w:rPr>
                <w:rFonts w:ascii="Arial" w:hAnsi="Arial" w:cs="Arial"/>
                <w:sz w:val="20"/>
                <w:szCs w:val="20"/>
              </w:rPr>
            </w:pPr>
            <w:r w:rsidRPr="002A6A26">
              <w:rPr>
                <w:rFonts w:ascii="Arial" w:hAnsi="Arial" w:cs="Arial"/>
                <w:sz w:val="20"/>
                <w:szCs w:val="20"/>
              </w:rPr>
              <w:t xml:space="preserve">Evenimente regionale (2) si judetene(4) </w:t>
            </w:r>
          </w:p>
        </w:tc>
        <w:tc>
          <w:tcPr>
            <w:tcW w:w="3078" w:type="dxa"/>
            <w:tcBorders>
              <w:top w:val="single" w:sz="12" w:space="0" w:color="auto"/>
              <w:right w:val="single" w:sz="12" w:space="0" w:color="auto"/>
            </w:tcBorders>
          </w:tcPr>
          <w:p w:rsidR="00FE7DCF" w:rsidRPr="002A6A26" w:rsidRDefault="00FE7DCF" w:rsidP="000C6A67">
            <w:pPr>
              <w:pStyle w:val="BodyText"/>
              <w:spacing w:after="0" w:line="240" w:lineRule="auto"/>
              <w:rPr>
                <w:rFonts w:ascii="Arial" w:hAnsi="Arial" w:cs="Arial"/>
                <w:bCs/>
                <w:sz w:val="20"/>
                <w:szCs w:val="20"/>
              </w:rPr>
            </w:pPr>
          </w:p>
          <w:p w:rsidR="001364AB" w:rsidRPr="002A6A26" w:rsidRDefault="001364AB" w:rsidP="000C6A67">
            <w:pPr>
              <w:pStyle w:val="BodyText"/>
              <w:spacing w:after="0" w:line="240" w:lineRule="auto"/>
              <w:rPr>
                <w:rFonts w:ascii="Arial" w:hAnsi="Arial" w:cs="Arial"/>
                <w:bCs/>
                <w:sz w:val="20"/>
                <w:szCs w:val="20"/>
              </w:rPr>
            </w:pPr>
            <w:r w:rsidRPr="002A6A26">
              <w:rPr>
                <w:rFonts w:ascii="Arial" w:hAnsi="Arial" w:cs="Arial"/>
                <w:bCs/>
                <w:sz w:val="20"/>
                <w:szCs w:val="20"/>
              </w:rPr>
              <w:t xml:space="preserve">Receptivitatea RU din unități școlare și a partenerilor </w:t>
            </w:r>
          </w:p>
        </w:tc>
      </w:tr>
      <w:tr w:rsidR="00FE7DCF" w:rsidRPr="00D7649E" w:rsidTr="001364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41" w:type="dxa"/>
          <w:jc w:val="center"/>
        </w:trPr>
        <w:tc>
          <w:tcPr>
            <w:tcW w:w="4205" w:type="dxa"/>
            <w:tcBorders>
              <w:left w:val="single" w:sz="12" w:space="0" w:color="auto"/>
            </w:tcBorders>
          </w:tcPr>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 xml:space="preserve">A.5.2.Ediția Nr.4. a mecanismului TITLUL DE EXCELENȚĂ </w:t>
            </w:r>
            <w:r w:rsidR="00C06240" w:rsidRPr="002A6A26">
              <w:rPr>
                <w:rFonts w:ascii="Arial" w:eastAsia="Arial Unicode MS" w:hAnsi="Arial" w:cs="Arial"/>
                <w:sz w:val="20"/>
                <w:szCs w:val="20"/>
              </w:rPr>
              <w:t>î</w:t>
            </w:r>
            <w:r w:rsidRPr="002A6A26">
              <w:rPr>
                <w:rFonts w:ascii="Arial" w:eastAsia="Arial Unicode MS" w:hAnsi="Arial" w:cs="Arial"/>
                <w:sz w:val="20"/>
                <w:szCs w:val="20"/>
              </w:rPr>
              <w:t xml:space="preserve">n ÎPT </w:t>
            </w:r>
          </w:p>
          <w:p w:rsidR="00FE7DCF" w:rsidRPr="002A6A26" w:rsidRDefault="00FE7DCF" w:rsidP="000C6A67">
            <w:pPr>
              <w:spacing w:after="0" w:line="240" w:lineRule="auto"/>
              <w:jc w:val="both"/>
              <w:rPr>
                <w:rFonts w:ascii="Arial" w:eastAsia="Arial Unicode MS" w:hAnsi="Arial" w:cs="Arial"/>
                <w:b/>
                <w:bCs/>
                <w:sz w:val="20"/>
                <w:szCs w:val="20"/>
              </w:rPr>
            </w:pPr>
            <w:r w:rsidRPr="002A6A26">
              <w:rPr>
                <w:rFonts w:ascii="Arial" w:eastAsia="Arial Unicode MS" w:hAnsi="Arial" w:cs="Arial"/>
                <w:sz w:val="20"/>
                <w:szCs w:val="20"/>
              </w:rPr>
              <w:t>- reluarea exercițiilor la nivel de județ, pentru recunoașterea rezultatelor reale, existente și romovarea acestora pentru multiplicare, în colaborare cu CCI din fiecare județ și parteneri sociali;</w:t>
            </w:r>
          </w:p>
        </w:tc>
        <w:tc>
          <w:tcPr>
            <w:tcW w:w="2552" w:type="dxa"/>
          </w:tcPr>
          <w:p w:rsidR="00FE7DCF" w:rsidRPr="002A6A26" w:rsidRDefault="00FE7DCF" w:rsidP="000C6A67">
            <w:pPr>
              <w:spacing w:after="0" w:line="240" w:lineRule="auto"/>
              <w:rPr>
                <w:rFonts w:ascii="Arial" w:hAnsi="Arial" w:cs="Arial"/>
                <w:sz w:val="20"/>
                <w:szCs w:val="20"/>
              </w:rPr>
            </w:pPr>
            <w:r w:rsidRPr="002A6A26">
              <w:rPr>
                <w:rFonts w:ascii="Arial" w:eastAsia="Arial Unicode MS" w:hAnsi="Arial" w:cs="Arial"/>
                <w:sz w:val="20"/>
                <w:szCs w:val="20"/>
              </w:rPr>
              <w:t xml:space="preserve">Culegerea și promovarea exemplelor de bune practici existente  </w:t>
            </w:r>
          </w:p>
        </w:tc>
        <w:tc>
          <w:tcPr>
            <w:tcW w:w="1417" w:type="dxa"/>
          </w:tcPr>
          <w:p w:rsidR="00FE7DCF" w:rsidRPr="002A6A26" w:rsidRDefault="00FE7DCF" w:rsidP="000C6A67">
            <w:pPr>
              <w:spacing w:after="0" w:line="240" w:lineRule="auto"/>
              <w:rPr>
                <w:rFonts w:ascii="Arial" w:hAnsi="Arial" w:cs="Arial"/>
                <w:sz w:val="20"/>
                <w:szCs w:val="20"/>
              </w:rPr>
            </w:pPr>
          </w:p>
          <w:p w:rsidR="00D53DC7" w:rsidRPr="002A6A26" w:rsidRDefault="00D53DC7" w:rsidP="000C6A67">
            <w:pPr>
              <w:spacing w:after="0" w:line="240" w:lineRule="auto"/>
              <w:rPr>
                <w:rFonts w:ascii="Arial" w:hAnsi="Arial" w:cs="Arial"/>
                <w:sz w:val="20"/>
                <w:szCs w:val="20"/>
              </w:rPr>
            </w:pPr>
            <w:r w:rsidRPr="002A6A26">
              <w:rPr>
                <w:rFonts w:ascii="Arial" w:hAnsi="Arial" w:cs="Arial"/>
                <w:sz w:val="20"/>
                <w:szCs w:val="20"/>
              </w:rPr>
              <w:t xml:space="preserve"> În funcție de disponibilitatea partenerilor </w:t>
            </w:r>
          </w:p>
        </w:tc>
        <w:tc>
          <w:tcPr>
            <w:tcW w:w="1985" w:type="dxa"/>
          </w:tcPr>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CCI, CJ, ISJ</w:t>
            </w:r>
          </w:p>
          <w:p w:rsidR="00FE7DCF" w:rsidRPr="002A6A26" w:rsidRDefault="00FE7DCF"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Unităţi şcolare</w:t>
            </w:r>
          </w:p>
          <w:p w:rsidR="00FE7DCF" w:rsidRPr="002A6A26" w:rsidRDefault="00FE7DCF" w:rsidP="000C6A67">
            <w:pPr>
              <w:spacing w:after="0" w:line="240" w:lineRule="auto"/>
              <w:rPr>
                <w:rFonts w:ascii="Arial" w:eastAsia="Arial Unicode MS" w:hAnsi="Arial" w:cs="Arial"/>
                <w:sz w:val="20"/>
                <w:szCs w:val="20"/>
              </w:rPr>
            </w:pPr>
            <w:r w:rsidRPr="002A6A26">
              <w:rPr>
                <w:rFonts w:ascii="Arial" w:eastAsia="Arial Unicode MS" w:hAnsi="Arial" w:cs="Arial"/>
                <w:sz w:val="20"/>
                <w:szCs w:val="20"/>
              </w:rPr>
              <w:t>Autorităţi locale</w:t>
            </w:r>
          </w:p>
          <w:p w:rsidR="001364AB" w:rsidRPr="002A6A26" w:rsidRDefault="00D53DC7" w:rsidP="000C6A67">
            <w:pPr>
              <w:spacing w:after="0" w:line="240" w:lineRule="auto"/>
              <w:rPr>
                <w:rFonts w:ascii="Arial" w:hAnsi="Arial" w:cs="Arial"/>
                <w:sz w:val="20"/>
                <w:szCs w:val="20"/>
              </w:rPr>
            </w:pPr>
            <w:r w:rsidRPr="002A6A26">
              <w:rPr>
                <w:rFonts w:ascii="Arial" w:hAnsi="Arial" w:cs="Arial"/>
                <w:sz w:val="20"/>
                <w:szCs w:val="20"/>
              </w:rPr>
              <w:t xml:space="preserve">CNDIPT </w:t>
            </w:r>
          </w:p>
        </w:tc>
        <w:tc>
          <w:tcPr>
            <w:tcW w:w="1417" w:type="dxa"/>
          </w:tcPr>
          <w:p w:rsidR="00FE7DCF" w:rsidRPr="002A6A26" w:rsidRDefault="00FE7DCF" w:rsidP="000C6A67">
            <w:pPr>
              <w:spacing w:after="0" w:line="240" w:lineRule="auto"/>
              <w:rPr>
                <w:rFonts w:ascii="Arial" w:hAnsi="Arial" w:cs="Arial"/>
                <w:sz w:val="20"/>
                <w:szCs w:val="20"/>
              </w:rPr>
            </w:pPr>
          </w:p>
          <w:p w:rsidR="00D53DC7" w:rsidRPr="002A6A26" w:rsidRDefault="00D53DC7" w:rsidP="000C6A67">
            <w:pPr>
              <w:spacing w:after="0" w:line="240" w:lineRule="auto"/>
              <w:rPr>
                <w:rFonts w:ascii="Arial" w:hAnsi="Arial" w:cs="Arial"/>
                <w:sz w:val="20"/>
                <w:szCs w:val="20"/>
              </w:rPr>
            </w:pPr>
            <w:r w:rsidRPr="002A6A26">
              <w:rPr>
                <w:rFonts w:ascii="Arial" w:hAnsi="Arial" w:cs="Arial"/>
                <w:sz w:val="20"/>
                <w:szCs w:val="20"/>
              </w:rPr>
              <w:t xml:space="preserve">Ediția 2017 implementată în cel puțin două județe din regiune </w:t>
            </w:r>
          </w:p>
        </w:tc>
        <w:tc>
          <w:tcPr>
            <w:tcW w:w="3078" w:type="dxa"/>
            <w:tcBorders>
              <w:right w:val="single" w:sz="12" w:space="0" w:color="auto"/>
            </w:tcBorders>
          </w:tcPr>
          <w:p w:rsidR="00FE7DCF" w:rsidRPr="002A6A26" w:rsidRDefault="00FE7DCF" w:rsidP="000C6A67">
            <w:pPr>
              <w:pStyle w:val="BodyText"/>
              <w:spacing w:after="0" w:line="240" w:lineRule="auto"/>
              <w:rPr>
                <w:rFonts w:ascii="Arial" w:hAnsi="Arial" w:cs="Arial"/>
                <w:bCs/>
                <w:sz w:val="20"/>
                <w:szCs w:val="20"/>
              </w:rPr>
            </w:pPr>
          </w:p>
          <w:p w:rsidR="001364AB" w:rsidRPr="002A6A26" w:rsidRDefault="001364AB" w:rsidP="000C6A67">
            <w:pPr>
              <w:pStyle w:val="BodyText"/>
              <w:spacing w:after="0" w:line="240" w:lineRule="auto"/>
              <w:rPr>
                <w:rFonts w:ascii="Arial" w:hAnsi="Arial" w:cs="Arial"/>
                <w:bCs/>
                <w:sz w:val="20"/>
                <w:szCs w:val="20"/>
              </w:rPr>
            </w:pPr>
            <w:r w:rsidRPr="002A6A26">
              <w:rPr>
                <w:rFonts w:ascii="Arial" w:hAnsi="Arial" w:cs="Arial"/>
                <w:bCs/>
                <w:sz w:val="20"/>
                <w:szCs w:val="20"/>
              </w:rPr>
              <w:t xml:space="preserve">Disponibilitatea  RU din unități școlare și a partenerilor precum și interesul de implicare a autorităților locale </w:t>
            </w:r>
          </w:p>
        </w:tc>
      </w:tr>
      <w:tr w:rsidR="00D53DC7" w:rsidRPr="00D7649E" w:rsidTr="001364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41" w:type="dxa"/>
          <w:jc w:val="center"/>
        </w:trPr>
        <w:tc>
          <w:tcPr>
            <w:tcW w:w="4205" w:type="dxa"/>
            <w:tcBorders>
              <w:left w:val="single" w:sz="12" w:space="0" w:color="auto"/>
            </w:tcBorders>
          </w:tcPr>
          <w:p w:rsidR="00D53DC7" w:rsidRPr="002A6A26" w:rsidRDefault="00D53DC7"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A.5.3. Evenimente de promovare a rezultatelor intermediare și finale ale proiectelor implementate la nivel regional, cu relevanță pentru dezvoltarea RU din ÎPT</w:t>
            </w:r>
          </w:p>
          <w:p w:rsidR="00D53DC7" w:rsidRPr="002A6A26" w:rsidRDefault="00D53DC7"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 xml:space="preserve">-promovarea rezultatelor proiectului Learning by Doing, cu finanțare din Strategia Dunărea, cu implicarea CCI HD </w:t>
            </w:r>
            <w:r w:rsidR="004B4D08" w:rsidRPr="002A6A26">
              <w:rPr>
                <w:rFonts w:ascii="Arial" w:eastAsia="Arial Unicode MS" w:hAnsi="Arial" w:cs="Arial"/>
                <w:sz w:val="20"/>
                <w:szCs w:val="20"/>
              </w:rPr>
              <w:t>ș</w:t>
            </w:r>
            <w:r w:rsidRPr="002A6A26">
              <w:rPr>
                <w:rFonts w:ascii="Arial" w:eastAsia="Arial Unicode MS" w:hAnsi="Arial" w:cs="Arial"/>
                <w:sz w:val="20"/>
                <w:szCs w:val="20"/>
              </w:rPr>
              <w:t>i CNDIPT;</w:t>
            </w:r>
          </w:p>
          <w:p w:rsidR="00D53DC7" w:rsidRPr="002A6A26" w:rsidRDefault="00D53DC7" w:rsidP="000C6A67">
            <w:pPr>
              <w:spacing w:after="0" w:line="240" w:lineRule="auto"/>
              <w:jc w:val="both"/>
              <w:rPr>
                <w:rFonts w:ascii="Arial" w:eastAsia="Arial Unicode MS" w:hAnsi="Arial" w:cs="Arial"/>
                <w:b/>
                <w:sz w:val="20"/>
                <w:szCs w:val="20"/>
              </w:rPr>
            </w:pPr>
            <w:r w:rsidRPr="002A6A26">
              <w:rPr>
                <w:rFonts w:ascii="Arial" w:eastAsia="Arial Unicode MS" w:hAnsi="Arial" w:cs="Arial"/>
                <w:sz w:val="20"/>
                <w:szCs w:val="20"/>
              </w:rPr>
              <w:t xml:space="preserve">-alte proiecte regionale; </w:t>
            </w:r>
          </w:p>
        </w:tc>
        <w:tc>
          <w:tcPr>
            <w:tcW w:w="2552" w:type="dxa"/>
          </w:tcPr>
          <w:p w:rsidR="00D53DC7" w:rsidRPr="002A6A26" w:rsidRDefault="00D53DC7" w:rsidP="000C6A67">
            <w:pPr>
              <w:spacing w:after="0" w:line="240" w:lineRule="auto"/>
              <w:rPr>
                <w:rFonts w:ascii="Arial" w:hAnsi="Arial" w:cs="Arial"/>
                <w:sz w:val="20"/>
                <w:szCs w:val="20"/>
              </w:rPr>
            </w:pPr>
            <w:r w:rsidRPr="002A6A26">
              <w:rPr>
                <w:rFonts w:ascii="Arial" w:eastAsia="Arial Unicode MS" w:hAnsi="Arial" w:cs="Arial"/>
                <w:sz w:val="20"/>
                <w:szCs w:val="20"/>
              </w:rPr>
              <w:t xml:space="preserve">Culegerea și promovarea exemplelor de bune practici existente  </w:t>
            </w:r>
          </w:p>
        </w:tc>
        <w:tc>
          <w:tcPr>
            <w:tcW w:w="1417" w:type="dxa"/>
          </w:tcPr>
          <w:p w:rsidR="00D53DC7" w:rsidRPr="002A6A26" w:rsidRDefault="00D53DC7" w:rsidP="000C6A67">
            <w:pPr>
              <w:spacing w:after="0" w:line="240" w:lineRule="auto"/>
              <w:rPr>
                <w:rFonts w:ascii="Arial" w:hAnsi="Arial" w:cs="Arial"/>
                <w:sz w:val="20"/>
                <w:szCs w:val="20"/>
              </w:rPr>
            </w:pPr>
            <w:r w:rsidRPr="002A6A26">
              <w:rPr>
                <w:rFonts w:ascii="Arial" w:hAnsi="Arial" w:cs="Arial"/>
                <w:sz w:val="20"/>
                <w:szCs w:val="20"/>
              </w:rPr>
              <w:t xml:space="preserve"> Conform calendarului de acțiuni a proiectului </w:t>
            </w:r>
          </w:p>
        </w:tc>
        <w:tc>
          <w:tcPr>
            <w:tcW w:w="1985" w:type="dxa"/>
          </w:tcPr>
          <w:p w:rsidR="00D53DC7" w:rsidRPr="002A6A26" w:rsidRDefault="00D53DC7"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ISJ</w:t>
            </w:r>
          </w:p>
          <w:p w:rsidR="00D53DC7" w:rsidRPr="002A6A26" w:rsidRDefault="00D53DC7"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Unităţi şcolare Autorităţi locale</w:t>
            </w:r>
          </w:p>
          <w:p w:rsidR="00D53DC7" w:rsidRPr="002A6A26" w:rsidRDefault="00D53DC7"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 xml:space="preserve">CNDIPT </w:t>
            </w:r>
          </w:p>
          <w:p w:rsidR="00D53DC7" w:rsidRPr="002A6A26" w:rsidRDefault="00D53DC7" w:rsidP="000C6A67">
            <w:pPr>
              <w:spacing w:after="0" w:line="240" w:lineRule="auto"/>
              <w:jc w:val="both"/>
              <w:rPr>
                <w:rFonts w:ascii="Arial" w:eastAsia="Arial Unicode MS" w:hAnsi="Arial" w:cs="Arial"/>
                <w:sz w:val="20"/>
                <w:szCs w:val="20"/>
              </w:rPr>
            </w:pPr>
            <w:r w:rsidRPr="002A6A26">
              <w:rPr>
                <w:rFonts w:ascii="Arial" w:eastAsia="Arial Unicode MS" w:hAnsi="Arial" w:cs="Arial"/>
                <w:sz w:val="20"/>
                <w:szCs w:val="20"/>
              </w:rPr>
              <w:t>CCI HD</w:t>
            </w:r>
          </w:p>
        </w:tc>
        <w:tc>
          <w:tcPr>
            <w:tcW w:w="1417" w:type="dxa"/>
          </w:tcPr>
          <w:p w:rsidR="00D53DC7" w:rsidRPr="002A6A26" w:rsidRDefault="00D53DC7" w:rsidP="000C6A67">
            <w:pPr>
              <w:spacing w:after="0" w:line="240" w:lineRule="auto"/>
              <w:rPr>
                <w:rFonts w:ascii="Arial" w:hAnsi="Arial" w:cs="Arial"/>
                <w:sz w:val="20"/>
                <w:szCs w:val="20"/>
              </w:rPr>
            </w:pPr>
          </w:p>
          <w:p w:rsidR="00D53DC7" w:rsidRPr="002A6A26" w:rsidRDefault="00D53DC7" w:rsidP="004B4D08">
            <w:pPr>
              <w:spacing w:after="0" w:line="240" w:lineRule="auto"/>
              <w:rPr>
                <w:rFonts w:ascii="Arial" w:hAnsi="Arial" w:cs="Arial"/>
                <w:sz w:val="20"/>
                <w:szCs w:val="20"/>
              </w:rPr>
            </w:pPr>
            <w:r w:rsidRPr="002A6A26">
              <w:rPr>
                <w:rFonts w:ascii="Arial" w:hAnsi="Arial" w:cs="Arial"/>
                <w:sz w:val="20"/>
                <w:szCs w:val="20"/>
              </w:rPr>
              <w:t xml:space="preserve">Evenimente regionale (6) </w:t>
            </w:r>
            <w:r w:rsidR="004B4D08" w:rsidRPr="002A6A26">
              <w:rPr>
                <w:rFonts w:ascii="Arial" w:hAnsi="Arial" w:cs="Arial"/>
                <w:sz w:val="20"/>
                <w:szCs w:val="20"/>
              </w:rPr>
              <w:t>ș</w:t>
            </w:r>
            <w:r w:rsidRPr="002A6A26">
              <w:rPr>
                <w:rFonts w:ascii="Arial" w:hAnsi="Arial" w:cs="Arial"/>
                <w:sz w:val="20"/>
                <w:szCs w:val="20"/>
              </w:rPr>
              <w:t xml:space="preserve">i judetene(6) </w:t>
            </w:r>
          </w:p>
        </w:tc>
        <w:tc>
          <w:tcPr>
            <w:tcW w:w="3078" w:type="dxa"/>
            <w:tcBorders>
              <w:right w:val="single" w:sz="12" w:space="0" w:color="auto"/>
            </w:tcBorders>
          </w:tcPr>
          <w:p w:rsidR="00D53DC7" w:rsidRPr="002A6A26" w:rsidRDefault="00D53DC7" w:rsidP="000C6A67">
            <w:pPr>
              <w:pStyle w:val="BodyText"/>
              <w:spacing w:after="0" w:line="240" w:lineRule="auto"/>
              <w:rPr>
                <w:rFonts w:ascii="Arial" w:hAnsi="Arial" w:cs="Arial"/>
                <w:bCs/>
                <w:sz w:val="20"/>
                <w:szCs w:val="20"/>
              </w:rPr>
            </w:pPr>
          </w:p>
          <w:p w:rsidR="00D53DC7" w:rsidRPr="002A6A26" w:rsidRDefault="00D53DC7" w:rsidP="000C6A67">
            <w:pPr>
              <w:pStyle w:val="BodyText"/>
              <w:spacing w:after="0" w:line="240" w:lineRule="auto"/>
              <w:rPr>
                <w:rFonts w:ascii="Arial" w:hAnsi="Arial" w:cs="Arial"/>
                <w:bCs/>
                <w:sz w:val="20"/>
                <w:szCs w:val="20"/>
              </w:rPr>
            </w:pPr>
            <w:r w:rsidRPr="002A6A26">
              <w:rPr>
                <w:rFonts w:ascii="Arial" w:hAnsi="Arial" w:cs="Arial"/>
                <w:bCs/>
                <w:sz w:val="20"/>
                <w:szCs w:val="20"/>
              </w:rPr>
              <w:t xml:space="preserve">Receptivitatea RU din unități școlare și a partenerilor </w:t>
            </w:r>
          </w:p>
        </w:tc>
      </w:tr>
    </w:tbl>
    <w:p w:rsidR="00272CA6" w:rsidRDefault="00272CA6" w:rsidP="000C6A67">
      <w:pPr>
        <w:spacing w:after="0" w:line="240" w:lineRule="auto"/>
        <w:rPr>
          <w:lang w:eastAsia="ro-RO"/>
        </w:rPr>
      </w:pPr>
    </w:p>
    <w:p w:rsidR="00272CA6" w:rsidRDefault="00272CA6" w:rsidP="000C6A67">
      <w:pPr>
        <w:spacing w:after="0" w:line="240" w:lineRule="auto"/>
        <w:rPr>
          <w:lang w:eastAsia="ro-RO"/>
        </w:rPr>
      </w:pPr>
    </w:p>
    <w:p w:rsidR="006902A5" w:rsidRDefault="006902A5" w:rsidP="000C6A67">
      <w:pPr>
        <w:spacing w:after="0" w:line="240" w:lineRule="auto"/>
        <w:rPr>
          <w:lang w:eastAsia="ro-RO"/>
        </w:rPr>
      </w:pPr>
    </w:p>
    <w:p w:rsidR="00272CA6" w:rsidRPr="00272CA6" w:rsidRDefault="00272CA6" w:rsidP="000C6A67">
      <w:pPr>
        <w:spacing w:after="0" w:line="240" w:lineRule="auto"/>
        <w:rPr>
          <w:lang w:eastAsia="ro-RO"/>
        </w:rPr>
        <w:sectPr w:rsidR="00272CA6" w:rsidRPr="00272CA6" w:rsidSect="00272CA6">
          <w:pgSz w:w="16840" w:h="11907" w:orient="landscape" w:code="9"/>
          <w:pgMar w:top="1418" w:right="1134" w:bottom="1134" w:left="1134" w:header="720" w:footer="720" w:gutter="0"/>
          <w:cols w:space="720"/>
          <w:docGrid w:linePitch="360"/>
        </w:sectPr>
      </w:pPr>
    </w:p>
    <w:p w:rsidR="00406DCE" w:rsidRPr="00DD5F85" w:rsidRDefault="00FE3CCA" w:rsidP="000C6A67">
      <w:pPr>
        <w:pStyle w:val="Heading1"/>
        <w:spacing w:before="0" w:line="240" w:lineRule="auto"/>
        <w:jc w:val="center"/>
        <w:rPr>
          <w:rFonts w:ascii="Arial" w:hAnsi="Arial" w:cs="Arial"/>
          <w:b w:val="0"/>
          <w:color w:val="auto"/>
          <w:lang w:eastAsia="ro-RO"/>
        </w:rPr>
      </w:pPr>
      <w:bookmarkStart w:id="126" w:name="_Toc488066095"/>
      <w:r w:rsidRPr="00DD5F85">
        <w:rPr>
          <w:rFonts w:ascii="Arial" w:hAnsi="Arial" w:cs="Arial"/>
          <w:color w:val="auto"/>
          <w:lang w:eastAsia="ro-RO"/>
        </w:rPr>
        <w:lastRenderedPageBreak/>
        <w:t>11</w:t>
      </w:r>
      <w:r w:rsidR="00406DCE" w:rsidRPr="00DD5F85">
        <w:rPr>
          <w:rFonts w:ascii="Arial" w:hAnsi="Arial" w:cs="Arial"/>
          <w:color w:val="auto"/>
          <w:lang w:eastAsia="ro-RO"/>
        </w:rPr>
        <w:t>. Contribuţia învăţământului superior la dezvoltarea regională</w:t>
      </w:r>
      <w:bookmarkEnd w:id="126"/>
    </w:p>
    <w:p w:rsidR="00FE7DCF" w:rsidRPr="00597FB2" w:rsidRDefault="00FE7DCF" w:rsidP="000C6A67">
      <w:pPr>
        <w:spacing w:after="0" w:line="240" w:lineRule="auto"/>
        <w:jc w:val="both"/>
        <w:rPr>
          <w:rFonts w:ascii="Arial" w:hAnsi="Arial" w:cs="Arial"/>
          <w:b/>
          <w:bCs/>
          <w:sz w:val="24"/>
          <w:szCs w:val="24"/>
        </w:rPr>
      </w:pPr>
    </w:p>
    <w:p w:rsidR="00FE7DCF" w:rsidRPr="00FC0458" w:rsidRDefault="00FE7DCF" w:rsidP="00445724">
      <w:pPr>
        <w:pStyle w:val="ListParagraph"/>
        <w:numPr>
          <w:ilvl w:val="0"/>
          <w:numId w:val="33"/>
        </w:numPr>
        <w:jc w:val="both"/>
        <w:rPr>
          <w:rFonts w:ascii="Arial" w:hAnsi="Arial" w:cs="Arial"/>
          <w:b/>
          <w:bCs/>
          <w:sz w:val="24"/>
          <w:szCs w:val="24"/>
        </w:rPr>
      </w:pPr>
      <w:r w:rsidRPr="00FC0458">
        <w:rPr>
          <w:rFonts w:ascii="Arial" w:hAnsi="Arial" w:cs="Arial"/>
          <w:b/>
          <w:bCs/>
          <w:sz w:val="24"/>
          <w:szCs w:val="24"/>
          <w:u w:val="single"/>
        </w:rPr>
        <w:t>Context</w:t>
      </w:r>
      <w:r w:rsidRPr="00FC0458">
        <w:rPr>
          <w:rFonts w:ascii="Arial" w:hAnsi="Arial" w:cs="Arial"/>
          <w:b/>
          <w:bCs/>
          <w:sz w:val="24"/>
          <w:szCs w:val="24"/>
        </w:rPr>
        <w:t xml:space="preserve"> </w:t>
      </w:r>
    </w:p>
    <w:p w:rsidR="00FC0458" w:rsidRPr="00FC0458" w:rsidRDefault="00FC0458" w:rsidP="00FC0458">
      <w:pPr>
        <w:pStyle w:val="ListParagraph"/>
        <w:jc w:val="both"/>
        <w:rPr>
          <w:rFonts w:ascii="Arial" w:hAnsi="Arial" w:cs="Arial"/>
          <w:b/>
          <w:bCs/>
          <w:sz w:val="24"/>
          <w:szCs w:val="24"/>
        </w:rPr>
      </w:pPr>
    </w:p>
    <w:p w:rsidR="00FE7DCF" w:rsidRPr="00FC0458" w:rsidRDefault="00FE7DCF" w:rsidP="00FC0458">
      <w:pPr>
        <w:pStyle w:val="Header"/>
        <w:tabs>
          <w:tab w:val="left" w:pos="284"/>
          <w:tab w:val="right" w:pos="709"/>
        </w:tabs>
        <w:jc w:val="both"/>
        <w:rPr>
          <w:rFonts w:ascii="Arial" w:hAnsi="Arial" w:cs="Arial"/>
          <w:sz w:val="24"/>
          <w:szCs w:val="24"/>
        </w:rPr>
      </w:pPr>
      <w:r w:rsidRPr="00FC0458">
        <w:rPr>
          <w:rFonts w:ascii="Arial" w:hAnsi="Arial" w:cs="Arial"/>
          <w:sz w:val="24"/>
          <w:szCs w:val="24"/>
        </w:rPr>
        <w:t xml:space="preserve">Strategia Naţională pentru Dezvoltare Durabilă a României Orizonturi 2013-2020-2030 în cadrul </w:t>
      </w:r>
      <w:r w:rsidRPr="00FC0458">
        <w:rPr>
          <w:rFonts w:ascii="Arial" w:hAnsi="Arial" w:cs="Arial"/>
          <w:sz w:val="24"/>
          <w:szCs w:val="24"/>
          <w:u w:val="single"/>
        </w:rPr>
        <w:t>Temei inter - şi  trans – sectorială 1.2. Cercetarea ştiinţifică şi dezvoltarea tehnologică,</w:t>
      </w:r>
      <w:r w:rsidRPr="00FC0458">
        <w:rPr>
          <w:rFonts w:ascii="Arial" w:hAnsi="Arial" w:cs="Arial"/>
          <w:sz w:val="24"/>
          <w:szCs w:val="24"/>
        </w:rPr>
        <w:t xml:space="preserve"> inovarea – în interdependență cu educația și formarea profesională, are repere, de Orizont 2013,2020 și 2030. </w:t>
      </w:r>
    </w:p>
    <w:p w:rsidR="00FE7DCF" w:rsidRPr="002E6486" w:rsidRDefault="00FE7DCF" w:rsidP="000C1A44">
      <w:pPr>
        <w:pStyle w:val="p178"/>
        <w:spacing w:before="0" w:beforeAutospacing="0" w:after="0" w:afterAutospacing="0"/>
        <w:jc w:val="both"/>
        <w:rPr>
          <w:rFonts w:ascii="Arial" w:hAnsi="Arial" w:cs="Arial"/>
          <w:b/>
        </w:rPr>
      </w:pPr>
      <w:r>
        <w:rPr>
          <w:rFonts w:ascii="Arial" w:hAnsi="Arial" w:cs="Arial"/>
          <w:b/>
        </w:rPr>
        <w:t xml:space="preserve">Pentru Orizont 2013 </w:t>
      </w:r>
      <w:r w:rsidRPr="002E6486">
        <w:rPr>
          <w:rFonts w:ascii="Arial" w:hAnsi="Arial" w:cs="Arial"/>
        </w:rPr>
        <w:t>Obiectivul naţional general este</w:t>
      </w:r>
      <w:r>
        <w:rPr>
          <w:rFonts w:ascii="Arial" w:hAnsi="Arial" w:cs="Arial"/>
          <w:b/>
        </w:rPr>
        <w:t xml:space="preserve"> </w:t>
      </w:r>
      <w:r w:rsidR="00D83694">
        <w:rPr>
          <w:rFonts w:ascii="Arial" w:hAnsi="Arial" w:cs="Arial"/>
        </w:rPr>
        <w:t>a</w:t>
      </w:r>
      <w:r w:rsidRPr="00FC0458">
        <w:rPr>
          <w:rFonts w:ascii="Arial" w:hAnsi="Arial" w:cs="Arial"/>
        </w:rPr>
        <w:t>tingerea mediei UE la indicatorii de bază ce descriu structura şi performanţa sistemului de cercetare, dezvoltare şi inovare</w:t>
      </w:r>
      <w:r w:rsidRPr="00FC0458">
        <w:rPr>
          <w:rStyle w:val="ft16"/>
          <w:rFonts w:ascii="Arial" w:hAnsi="Arial" w:cs="Arial"/>
        </w:rPr>
        <w:t xml:space="preserve">. Pentru care </w:t>
      </w:r>
      <w:r w:rsidRPr="00FC0458">
        <w:rPr>
          <w:rFonts w:ascii="Arial" w:hAnsi="Arial" w:cs="Arial"/>
        </w:rPr>
        <w:t xml:space="preserve">au fost definite trei </w:t>
      </w:r>
      <w:r w:rsidRPr="00FC0458">
        <w:rPr>
          <w:rStyle w:val="ft11"/>
          <w:rFonts w:ascii="Arial" w:hAnsi="Arial" w:cs="Arial"/>
        </w:rPr>
        <w:t>obiective strategice</w:t>
      </w:r>
      <w:r w:rsidRPr="00FC0458">
        <w:rPr>
          <w:rFonts w:ascii="Arial" w:hAnsi="Arial" w:cs="Arial"/>
        </w:rPr>
        <w:t>:</w:t>
      </w:r>
    </w:p>
    <w:p w:rsidR="00FE7DCF" w:rsidRPr="002E6486" w:rsidRDefault="00FE7DCF" w:rsidP="000C1A44">
      <w:pPr>
        <w:pStyle w:val="p20"/>
        <w:spacing w:before="0" w:beforeAutospacing="0" w:after="0" w:afterAutospacing="0"/>
        <w:jc w:val="both"/>
        <w:rPr>
          <w:rFonts w:ascii="Arial" w:hAnsi="Arial" w:cs="Arial"/>
        </w:rPr>
      </w:pPr>
      <w:r w:rsidRPr="002E6486">
        <w:rPr>
          <w:rStyle w:val="ft11"/>
          <w:rFonts w:ascii="Arial" w:hAnsi="Arial" w:cs="Arial"/>
        </w:rPr>
        <w:t xml:space="preserve">(a) Crearea de cunoştinţe </w:t>
      </w:r>
      <w:r w:rsidRPr="002E6486">
        <w:rPr>
          <w:rFonts w:ascii="Arial" w:hAnsi="Arial" w:cs="Arial"/>
        </w:rPr>
        <w:t>prin obţinerea unor rezultate ştiinţifice şi tehnologice de vârf, creşterea vizibilităţii internaţionale a cercetării româneşti şi transferul rezultatelor în economie şi societate, ameliorarea substanţială, calitativă şi cantitativă, a performanţei capitalului uman din cercetare, inclusiv prin dezvoltarea unor poli de excelenţă;</w:t>
      </w:r>
    </w:p>
    <w:p w:rsidR="00FE7DCF" w:rsidRPr="002E6486" w:rsidRDefault="00FE7DCF" w:rsidP="000C1A44">
      <w:pPr>
        <w:pStyle w:val="p85"/>
        <w:spacing w:before="0" w:beforeAutospacing="0" w:after="0" w:afterAutospacing="0"/>
        <w:jc w:val="both"/>
        <w:rPr>
          <w:rFonts w:ascii="Arial" w:hAnsi="Arial" w:cs="Arial"/>
        </w:rPr>
      </w:pPr>
      <w:r w:rsidRPr="002E6486">
        <w:rPr>
          <w:rStyle w:val="ft11"/>
          <w:rFonts w:ascii="Arial" w:hAnsi="Arial" w:cs="Arial"/>
        </w:rPr>
        <w:t>(b)</w:t>
      </w:r>
      <w:r w:rsidRPr="002E6486">
        <w:rPr>
          <w:rStyle w:val="ft26"/>
          <w:rFonts w:ascii="Arial" w:eastAsia="Calibri" w:hAnsi="Arial" w:cs="Arial"/>
          <w:b/>
        </w:rPr>
        <w:t xml:space="preserve">Creşterea competitivităţii economiei româneşti </w:t>
      </w:r>
      <w:r w:rsidRPr="002E6486">
        <w:rPr>
          <w:rStyle w:val="ft10"/>
          <w:rFonts w:ascii="Arial" w:hAnsi="Arial" w:cs="Arial"/>
          <w:b/>
        </w:rPr>
        <w:t>prin promovarea inovării</w:t>
      </w:r>
      <w:r w:rsidRPr="002E6486">
        <w:rPr>
          <w:rStyle w:val="ft10"/>
          <w:rFonts w:ascii="Arial" w:hAnsi="Arial" w:cs="Arial"/>
        </w:rPr>
        <w:t xml:space="preserve"> cu impact efectiv la nivelul operatorilor economici, accelerarea transferului tehnologic, deplasarea accentului spre exerciţii de rezolvare a problemelor complexe cu aplicabilitate directă, stimularea parteneriatelor cu firmele din sectoarele producţiei şi serviciilor pe baze competitive, crearea de centre de competenţă şi platforme tehnologice;</w:t>
      </w:r>
    </w:p>
    <w:p w:rsidR="00FE7DCF" w:rsidRPr="002E6486" w:rsidRDefault="00FE7DCF" w:rsidP="000C1A44">
      <w:pPr>
        <w:pStyle w:val="p31"/>
        <w:spacing w:before="0" w:beforeAutospacing="0" w:after="0" w:afterAutospacing="0"/>
        <w:jc w:val="both"/>
        <w:rPr>
          <w:rFonts w:ascii="Arial" w:hAnsi="Arial" w:cs="Arial"/>
        </w:rPr>
      </w:pPr>
      <w:r w:rsidRPr="002E6486">
        <w:rPr>
          <w:rStyle w:val="ft11"/>
          <w:rFonts w:ascii="Arial" w:hAnsi="Arial" w:cs="Arial"/>
        </w:rPr>
        <w:t>(c)</w:t>
      </w:r>
      <w:r w:rsidRPr="002E6486">
        <w:rPr>
          <w:rStyle w:val="ft31"/>
          <w:rFonts w:ascii="Arial" w:hAnsi="Arial" w:cs="Arial"/>
          <w:b/>
        </w:rPr>
        <w:t xml:space="preserve">Creşterea calităţii sociale </w:t>
      </w:r>
      <w:r w:rsidRPr="002E6486">
        <w:rPr>
          <w:rFonts w:ascii="Arial" w:hAnsi="Arial" w:cs="Arial"/>
          <w:b/>
        </w:rPr>
        <w:t>a cercetării</w:t>
      </w:r>
      <w:r w:rsidRPr="002E6486">
        <w:rPr>
          <w:rFonts w:ascii="Arial" w:hAnsi="Arial" w:cs="Arial"/>
        </w:rPr>
        <w:t xml:space="preserve"> prin generarea de soluţii conceptuale şi tehnologice cu impact direct în elaborarea şi implementarea politicilor publice şi corelarea acestora în special în domenii precum sănătatea publică, protecţia mediului, infrastructura, amenajarea teritoriului şi gestionarea durabilă a resurselor naţionale pe baze eco-responsabile.</w:t>
      </w:r>
    </w:p>
    <w:p w:rsidR="00FE7DCF" w:rsidRPr="002E6486" w:rsidRDefault="00FE7DCF" w:rsidP="000C1A44">
      <w:pPr>
        <w:pStyle w:val="p112"/>
        <w:spacing w:before="0" w:beforeAutospacing="0" w:after="0" w:afterAutospacing="0"/>
        <w:jc w:val="both"/>
        <w:rPr>
          <w:rFonts w:ascii="Arial" w:hAnsi="Arial" w:cs="Arial"/>
        </w:rPr>
      </w:pPr>
      <w:r w:rsidRPr="002E6486">
        <w:rPr>
          <w:rFonts w:ascii="Arial" w:hAnsi="Arial" w:cs="Arial"/>
        </w:rPr>
        <w:t xml:space="preserve">Pentru implementarea acestei viziuni strategice </w:t>
      </w:r>
      <w:r w:rsidRPr="002E6486">
        <w:rPr>
          <w:rFonts w:ascii="Arial" w:hAnsi="Arial" w:cs="Arial"/>
          <w:b/>
        </w:rPr>
        <w:t xml:space="preserve">au fost stabilite </w:t>
      </w:r>
      <w:r w:rsidRPr="002E6486">
        <w:rPr>
          <w:rStyle w:val="ft11"/>
          <w:rFonts w:ascii="Arial" w:hAnsi="Arial" w:cs="Arial"/>
        </w:rPr>
        <w:t>obiective specifice</w:t>
      </w:r>
      <w:r w:rsidRPr="002E6486">
        <w:rPr>
          <w:rStyle w:val="ft12"/>
          <w:rFonts w:ascii="Arial" w:hAnsi="Arial" w:cs="Arial"/>
          <w:b/>
        </w:rPr>
        <w:t>,</w:t>
      </w:r>
      <w:r w:rsidRPr="002E6486">
        <w:rPr>
          <w:rStyle w:val="ft12"/>
          <w:rFonts w:ascii="Arial" w:hAnsi="Arial" w:cs="Arial"/>
        </w:rPr>
        <w:t xml:space="preserve"> </w:t>
      </w:r>
      <w:r w:rsidRPr="002E6486">
        <w:rPr>
          <w:rFonts w:ascii="Arial" w:hAnsi="Arial" w:cs="Arial"/>
        </w:rPr>
        <w:t xml:space="preserve">unele dintre acestea conţinând şi ţinte numerice cu referinţă la media UE, și care necesită o analiză și evaluare după depășirea perioadei de referință. </w:t>
      </w:r>
    </w:p>
    <w:p w:rsidR="00FE7DCF" w:rsidRPr="002E6486" w:rsidRDefault="00FE7DCF" w:rsidP="000C1A44">
      <w:pPr>
        <w:pStyle w:val="p27"/>
        <w:spacing w:before="0" w:beforeAutospacing="0" w:after="0" w:afterAutospacing="0"/>
        <w:jc w:val="both"/>
        <w:rPr>
          <w:rFonts w:ascii="Arial" w:hAnsi="Arial" w:cs="Arial"/>
        </w:rPr>
      </w:pPr>
      <w:r w:rsidRPr="002E6486">
        <w:rPr>
          <w:rFonts w:ascii="Arial" w:hAnsi="Arial" w:cs="Arial"/>
          <w:noProof/>
        </w:rPr>
        <w:drawing>
          <wp:inline distT="0" distB="0" distL="0" distR="0">
            <wp:extent cx="142875" cy="193040"/>
            <wp:effectExtent l="19050" t="0" r="9525" b="0"/>
            <wp:docPr id="67" name="inl_img1" descr="http://www.htmlpublish.com/newTestDocStorage/DocStorage/60bf777035974e08b2d4da150d860637/2012-06-12_dezvoltare_durabila_snddfinalromana2008_images/2012-06-12_dezvoltare_durabila_snddfinalromana200891x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l_img1" descr="http://www.htmlpublish.com/newTestDocStorage/DocStorage/60bf777035974e08b2d4da150d860637/2012-06-12_dezvoltare_durabila_snddfinalromana2008_images/2012-06-12_dezvoltare_durabila_snddfinalromana200891xi1.jpg"/>
                    <pic:cNvPicPr>
                      <a:picLocks noChangeAspect="1" noChangeArrowheads="1"/>
                    </pic:cNvPicPr>
                  </pic:nvPicPr>
                  <pic:blipFill>
                    <a:blip r:embed="rId69" cstate="print"/>
                    <a:srcRect/>
                    <a:stretch>
                      <a:fillRect/>
                    </a:stretch>
                  </pic:blipFill>
                  <pic:spPr bwMode="auto">
                    <a:xfrm>
                      <a:off x="0" y="0"/>
                      <a:ext cx="142875" cy="193040"/>
                    </a:xfrm>
                    <a:prstGeom prst="rect">
                      <a:avLst/>
                    </a:prstGeom>
                    <a:noFill/>
                    <a:ln w="9525">
                      <a:noFill/>
                      <a:miter lim="800000"/>
                      <a:headEnd/>
                      <a:tailEnd/>
                    </a:ln>
                  </pic:spPr>
                </pic:pic>
              </a:graphicData>
            </a:graphic>
          </wp:inline>
        </w:drawing>
      </w:r>
      <w:r w:rsidRPr="002E6486">
        <w:rPr>
          <w:rStyle w:val="ft11"/>
          <w:rFonts w:ascii="Arial" w:hAnsi="Arial" w:cs="Arial"/>
        </w:rPr>
        <w:t xml:space="preserve">Creşterea performanţei </w:t>
      </w:r>
      <w:r w:rsidRPr="002E6486">
        <w:rPr>
          <w:rFonts w:ascii="Arial" w:hAnsi="Arial" w:cs="Arial"/>
        </w:rPr>
        <w:t>prin plasarea cercetării din România în grupul primelor 35 de ţări în privinta apariţiilor în publicaţiile indexate ISI (locul 48 în 1995-2005), creşterea de 10 ori a numărului de brevete EPO la un milion de locuitori (1,72 în 2003 faţă de media UE de 137), triplarea numărului de brevete OSIM faţă de 2006 şi creşterea ponderii brevetelor high-tech, dublarea ponderii firmelor inovative (19% în 2002-2004);</w:t>
      </w:r>
    </w:p>
    <w:p w:rsidR="00FE7DCF" w:rsidRPr="002E6486" w:rsidRDefault="00FE7DCF" w:rsidP="000C1A44">
      <w:pPr>
        <w:pStyle w:val="p27"/>
        <w:spacing w:before="0" w:beforeAutospacing="0" w:after="0" w:afterAutospacing="0"/>
        <w:jc w:val="both"/>
        <w:rPr>
          <w:rFonts w:ascii="Arial" w:hAnsi="Arial" w:cs="Arial"/>
        </w:rPr>
      </w:pPr>
      <w:r w:rsidRPr="002E6486">
        <w:rPr>
          <w:rFonts w:ascii="Arial" w:hAnsi="Arial" w:cs="Arial"/>
          <w:noProof/>
        </w:rPr>
        <w:drawing>
          <wp:inline distT="0" distB="0" distL="0" distR="0">
            <wp:extent cx="142875" cy="193040"/>
            <wp:effectExtent l="19050" t="0" r="9525" b="0"/>
            <wp:docPr id="68" name="inl_img2" descr="http://www.htmlpublish.com/newTestDocStorage/DocStorage/60bf777035974e08b2d4da150d860637/2012-06-12_dezvoltare_durabila_snddfinalromana2008_images/2012-06-12_dezvoltare_durabila_snddfinalromana200891x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l_img2" descr="http://www.htmlpublish.com/newTestDocStorage/DocStorage/60bf777035974e08b2d4da150d860637/2012-06-12_dezvoltare_durabila_snddfinalromana2008_images/2012-06-12_dezvoltare_durabila_snddfinalromana200891xi2.jpg"/>
                    <pic:cNvPicPr>
                      <a:picLocks noChangeAspect="1" noChangeArrowheads="1"/>
                    </pic:cNvPicPr>
                  </pic:nvPicPr>
                  <pic:blipFill>
                    <a:blip r:embed="rId69" cstate="print"/>
                    <a:srcRect/>
                    <a:stretch>
                      <a:fillRect/>
                    </a:stretch>
                  </pic:blipFill>
                  <pic:spPr bwMode="auto">
                    <a:xfrm>
                      <a:off x="0" y="0"/>
                      <a:ext cx="142875" cy="193040"/>
                    </a:xfrm>
                    <a:prstGeom prst="rect">
                      <a:avLst/>
                    </a:prstGeom>
                    <a:noFill/>
                    <a:ln w="9525">
                      <a:noFill/>
                      <a:miter lim="800000"/>
                      <a:headEnd/>
                      <a:tailEnd/>
                    </a:ln>
                  </pic:spPr>
                </pic:pic>
              </a:graphicData>
            </a:graphic>
          </wp:inline>
        </w:drawing>
      </w:r>
      <w:r w:rsidRPr="002E6486">
        <w:rPr>
          <w:rStyle w:val="ft11"/>
          <w:rFonts w:ascii="Arial" w:hAnsi="Arial" w:cs="Arial"/>
        </w:rPr>
        <w:t xml:space="preserve">Dezvoltarea resurselor sistemului </w:t>
      </w:r>
      <w:r w:rsidRPr="002E6486">
        <w:rPr>
          <w:rFonts w:ascii="Arial" w:hAnsi="Arial" w:cs="Arial"/>
        </w:rPr>
        <w:t>prin triplarea numărului de cercetători.</w:t>
      </w:r>
    </w:p>
    <w:p w:rsidR="000C1A44" w:rsidRDefault="005A44AF" w:rsidP="000C1A44">
      <w:pPr>
        <w:pStyle w:val="p95"/>
        <w:spacing w:before="0" w:beforeAutospacing="0" w:after="0" w:afterAutospacing="0"/>
        <w:jc w:val="both"/>
        <w:rPr>
          <w:rFonts w:ascii="Arial" w:hAnsi="Arial" w:cs="Arial"/>
        </w:rPr>
      </w:pPr>
      <w:r>
        <w:rPr>
          <w:rFonts w:ascii="Arial" w:hAnsi="Arial" w:cs="Arial"/>
          <w:noProof/>
        </w:rPr>
        <w:pict>
          <v:shape id="inl_img3" o:spid="_x0000_i1026" type="#_x0000_t75" alt="http://www.htmlpublish.com/newTestDocStorage/DocStorage/60bf777035974e08b2d4da150d860637/2012-06-12_dezvoltare_durabila_snddfinalromana2008_images/2012-06-12_dezvoltare_durabila_snddfinalromana200891xi3.jpg" style="width:12pt;height:15.75pt;visibility:visible;mso-wrap-style:square" o:bullet="t">
            <v:imagedata r:id="rId70" o:title="2012-06-12_dezvoltare_durabila_snddfinalromana200891xi3"/>
          </v:shape>
        </w:pict>
      </w:r>
      <w:r w:rsidR="00FE7DCF" w:rsidRPr="002E6486">
        <w:rPr>
          <w:rStyle w:val="ft11"/>
          <w:rFonts w:ascii="Arial" w:hAnsi="Arial" w:cs="Arial"/>
        </w:rPr>
        <w:t xml:space="preserve">Antrenarea sectorului privat </w:t>
      </w:r>
      <w:r w:rsidR="00FE7DCF" w:rsidRPr="002E6486">
        <w:rPr>
          <w:rFonts w:ascii="Arial" w:hAnsi="Arial" w:cs="Arial"/>
        </w:rPr>
        <w:t>prin creşterea cheltuielilor private pentru cercetare-dezvoltare la 1,5% din PIB.</w:t>
      </w:r>
    </w:p>
    <w:p w:rsidR="00FE7DCF" w:rsidRPr="002E6486" w:rsidRDefault="00FE7DCF" w:rsidP="000C1A44">
      <w:pPr>
        <w:pStyle w:val="p95"/>
        <w:spacing w:before="0" w:beforeAutospacing="0" w:after="0" w:afterAutospacing="0"/>
        <w:jc w:val="both"/>
        <w:rPr>
          <w:rFonts w:ascii="Arial" w:hAnsi="Arial" w:cs="Arial"/>
        </w:rPr>
      </w:pPr>
      <w:r w:rsidRPr="002E6486">
        <w:rPr>
          <w:rFonts w:ascii="Arial" w:hAnsi="Arial" w:cs="Arial"/>
          <w:noProof/>
        </w:rPr>
        <w:drawing>
          <wp:inline distT="0" distB="0" distL="0" distR="0">
            <wp:extent cx="142875" cy="193040"/>
            <wp:effectExtent l="19050" t="0" r="9525" b="0"/>
            <wp:docPr id="70" name="inl_img4" descr="http://www.htmlpublish.com/newTestDocStorage/DocStorage/60bf777035974e08b2d4da150d860637/2012-06-12_dezvoltare_durabila_snddfinalromana2008_images/2012-06-12_dezvoltare_durabila_snddfinalromana200891xi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l_img4" descr="http://www.htmlpublish.com/newTestDocStorage/DocStorage/60bf777035974e08b2d4da150d860637/2012-06-12_dezvoltare_durabila_snddfinalromana2008_images/2012-06-12_dezvoltare_durabila_snddfinalromana200891xi4.jpg"/>
                    <pic:cNvPicPr>
                      <a:picLocks noChangeAspect="1" noChangeArrowheads="1"/>
                    </pic:cNvPicPr>
                  </pic:nvPicPr>
                  <pic:blipFill>
                    <a:blip r:embed="rId69" cstate="print"/>
                    <a:srcRect/>
                    <a:stretch>
                      <a:fillRect/>
                    </a:stretch>
                  </pic:blipFill>
                  <pic:spPr bwMode="auto">
                    <a:xfrm>
                      <a:off x="0" y="0"/>
                      <a:ext cx="142875" cy="193040"/>
                    </a:xfrm>
                    <a:prstGeom prst="rect">
                      <a:avLst/>
                    </a:prstGeom>
                    <a:noFill/>
                    <a:ln w="9525">
                      <a:noFill/>
                      <a:miter lim="800000"/>
                      <a:headEnd/>
                      <a:tailEnd/>
                    </a:ln>
                  </pic:spPr>
                </pic:pic>
              </a:graphicData>
            </a:graphic>
          </wp:inline>
        </w:drawing>
      </w:r>
      <w:r w:rsidRPr="002E6486">
        <w:rPr>
          <w:rStyle w:val="ft11"/>
          <w:rFonts w:ascii="Arial" w:hAnsi="Arial" w:cs="Arial"/>
        </w:rPr>
        <w:t xml:space="preserve">Creşterea capacităţii instituţionale </w:t>
      </w:r>
      <w:r w:rsidRPr="002E6486">
        <w:rPr>
          <w:rFonts w:ascii="Arial" w:hAnsi="Arial" w:cs="Arial"/>
        </w:rPr>
        <w:t>prin reducerea fragmentării actuale a sistemului şi încurajarea participării la reţele de cercetare pe plan naţional şi internaţional.</w:t>
      </w:r>
    </w:p>
    <w:p w:rsidR="00FE7DCF" w:rsidRPr="002E6486" w:rsidRDefault="00FE7DCF" w:rsidP="000C1A44">
      <w:pPr>
        <w:pStyle w:val="p26"/>
        <w:spacing w:before="0" w:beforeAutospacing="0" w:after="0" w:afterAutospacing="0"/>
        <w:jc w:val="both"/>
        <w:rPr>
          <w:rFonts w:ascii="Arial" w:hAnsi="Arial" w:cs="Arial"/>
        </w:rPr>
      </w:pPr>
      <w:r w:rsidRPr="002E6486">
        <w:rPr>
          <w:rFonts w:ascii="Arial" w:hAnsi="Arial" w:cs="Arial"/>
          <w:noProof/>
        </w:rPr>
        <w:drawing>
          <wp:inline distT="0" distB="0" distL="0" distR="0">
            <wp:extent cx="142875" cy="193040"/>
            <wp:effectExtent l="19050" t="0" r="9525" b="0"/>
            <wp:docPr id="71" name="inl_img1" descr="http://www.htmlpublish.com/newTestDocStorage/DocStorage/60bf777035974e08b2d4da150d860637/2012-06-12_dezvoltare_durabila_snddfinalromana2008_images/2012-06-12_dezvoltare_durabila_snddfinalromana200892x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l_img1" descr="http://www.htmlpublish.com/newTestDocStorage/DocStorage/60bf777035974e08b2d4da150d860637/2012-06-12_dezvoltare_durabila_snddfinalromana2008_images/2012-06-12_dezvoltare_durabila_snddfinalromana200892xi1.jpg"/>
                    <pic:cNvPicPr>
                      <a:picLocks noChangeAspect="1" noChangeArrowheads="1"/>
                    </pic:cNvPicPr>
                  </pic:nvPicPr>
                  <pic:blipFill>
                    <a:blip r:embed="rId69" cstate="print"/>
                    <a:srcRect/>
                    <a:stretch>
                      <a:fillRect/>
                    </a:stretch>
                  </pic:blipFill>
                  <pic:spPr bwMode="auto">
                    <a:xfrm>
                      <a:off x="0" y="0"/>
                      <a:ext cx="142875" cy="193040"/>
                    </a:xfrm>
                    <a:prstGeom prst="rect">
                      <a:avLst/>
                    </a:prstGeom>
                    <a:noFill/>
                    <a:ln w="9525">
                      <a:noFill/>
                      <a:miter lim="800000"/>
                      <a:headEnd/>
                      <a:tailEnd/>
                    </a:ln>
                  </pic:spPr>
                </pic:pic>
              </a:graphicData>
            </a:graphic>
          </wp:inline>
        </w:drawing>
      </w:r>
      <w:r w:rsidRPr="002E6486">
        <w:rPr>
          <w:rStyle w:val="ft11"/>
          <w:rFonts w:ascii="Arial" w:hAnsi="Arial" w:cs="Arial"/>
        </w:rPr>
        <w:t>Extinderea cooperării internaţionale.</w:t>
      </w:r>
    </w:p>
    <w:p w:rsidR="00FE7DCF" w:rsidRPr="002E6486" w:rsidRDefault="00FE7DCF" w:rsidP="000C1A44">
      <w:pPr>
        <w:pStyle w:val="p13"/>
        <w:spacing w:before="0" w:beforeAutospacing="0" w:after="0" w:afterAutospacing="0"/>
        <w:jc w:val="both"/>
        <w:rPr>
          <w:rFonts w:ascii="Arial" w:hAnsi="Arial" w:cs="Arial"/>
        </w:rPr>
      </w:pPr>
      <w:r w:rsidRPr="002E6486">
        <w:rPr>
          <w:rFonts w:ascii="Arial" w:hAnsi="Arial" w:cs="Arial"/>
        </w:rPr>
        <w:t>Programul Operaţional Sectorial “Creşterea competitivităţii economice” a avut drept scop sprijinirea cercetării, dezvoltării tehnologice şi inovării prin promovarea parteneriatelor între universităţi sau institute de cercetare şi întreprinderi.Prin acest Program au fost alocate circa 646,5 milioane euro, din care circa 83% reprezintă contribuţia Fondului European de Dezvoltare Regională, la care se va adăuga o contribuţie privată estimată la circa 180 milioane euro.</w:t>
      </w:r>
    </w:p>
    <w:p w:rsidR="00FE7DCF" w:rsidRPr="002E6486" w:rsidRDefault="00FE7DCF" w:rsidP="000C1A44">
      <w:pPr>
        <w:pStyle w:val="p103"/>
        <w:spacing w:before="0" w:beforeAutospacing="0" w:after="0" w:afterAutospacing="0"/>
        <w:jc w:val="both"/>
        <w:rPr>
          <w:rFonts w:ascii="Arial" w:hAnsi="Arial" w:cs="Arial"/>
          <w:b/>
        </w:rPr>
      </w:pPr>
      <w:r>
        <w:rPr>
          <w:rFonts w:ascii="Arial" w:hAnsi="Arial" w:cs="Arial"/>
          <w:b/>
        </w:rPr>
        <w:t>Pentru Orizont 2020</w:t>
      </w:r>
      <w:r w:rsidRPr="0042163D">
        <w:rPr>
          <w:rFonts w:ascii="Arial" w:hAnsi="Arial" w:cs="Arial"/>
        </w:rPr>
        <w:t xml:space="preserve"> Obiectivul general este: </w:t>
      </w:r>
      <w:r w:rsidRPr="00FC0458">
        <w:rPr>
          <w:rFonts w:ascii="Arial" w:hAnsi="Arial" w:cs="Arial"/>
        </w:rPr>
        <w:t>Încadrarea cercetării româneşti în fluxul principal al evoluţiilor ştiinţifice şi tehnologice din UE; generalizarea activităţilor inovative; apariţia unor centre de excelenţă cu impact internaţional.</w:t>
      </w:r>
    </w:p>
    <w:p w:rsidR="00FE7DCF" w:rsidRPr="002E6486" w:rsidRDefault="00FE7DCF" w:rsidP="000C1A44">
      <w:pPr>
        <w:pStyle w:val="p13"/>
        <w:spacing w:before="0" w:beforeAutospacing="0" w:after="0" w:afterAutospacing="0"/>
        <w:jc w:val="both"/>
        <w:rPr>
          <w:rFonts w:ascii="Arial" w:hAnsi="Arial" w:cs="Arial"/>
        </w:rPr>
      </w:pPr>
      <w:r w:rsidRPr="002E6486">
        <w:rPr>
          <w:rFonts w:ascii="Arial" w:hAnsi="Arial" w:cs="Arial"/>
        </w:rPr>
        <w:t xml:space="preserve">Se are în vedere perfecţionarea, în continuare, a cadrului legislativ, regulatoriu şi instituţional, dezvoltarea interfeţei cu firmele inovative şi promovarea cofinanţării cu </w:t>
      </w:r>
      <w:r w:rsidRPr="002E6486">
        <w:rPr>
          <w:rFonts w:ascii="Arial" w:hAnsi="Arial" w:cs="Arial"/>
        </w:rPr>
        <w:lastRenderedPageBreak/>
        <w:t>capitalul privat. Cheltuielile publice pentru cercetare-dezvoltare-inovare în universităţi şi unităţi specializate se vor ridica la cel puţin 3% din PIB.</w:t>
      </w:r>
    </w:p>
    <w:p w:rsidR="00FE7DCF" w:rsidRPr="00FC0458" w:rsidRDefault="00FE7DCF" w:rsidP="000C1A44">
      <w:pPr>
        <w:pStyle w:val="p18"/>
        <w:spacing w:before="0" w:beforeAutospacing="0" w:after="0" w:afterAutospacing="0"/>
        <w:jc w:val="both"/>
        <w:rPr>
          <w:rFonts w:ascii="Arial" w:hAnsi="Arial" w:cs="Arial"/>
        </w:rPr>
      </w:pPr>
      <w:r>
        <w:rPr>
          <w:rFonts w:ascii="Arial" w:hAnsi="Arial" w:cs="Arial"/>
          <w:b/>
        </w:rPr>
        <w:t xml:space="preserve">Pentru Orizont 2030 </w:t>
      </w:r>
      <w:r w:rsidRPr="0042163D">
        <w:rPr>
          <w:rFonts w:ascii="Arial" w:hAnsi="Arial" w:cs="Arial"/>
        </w:rPr>
        <w:t>Obiectivul general este</w:t>
      </w:r>
      <w:r w:rsidRPr="00FC0458">
        <w:rPr>
          <w:rFonts w:ascii="Arial" w:hAnsi="Arial" w:cs="Arial"/>
        </w:rPr>
        <w:t>: Statornicirea principalelor elemente ale societăţii şi economiei bazate pe cunoaştere; contribuţii esenţiale ale cercetării româneşti la realizarea obiectivelor complexe</w:t>
      </w:r>
    </w:p>
    <w:p w:rsidR="00FE7DCF" w:rsidRPr="002E6486" w:rsidRDefault="00FE7DCF" w:rsidP="000C6A67">
      <w:pPr>
        <w:spacing w:after="0" w:line="240" w:lineRule="auto"/>
        <w:jc w:val="both"/>
        <w:rPr>
          <w:rFonts w:ascii="Arial" w:hAnsi="Arial" w:cs="Arial"/>
          <w:b/>
          <w:sz w:val="24"/>
          <w:szCs w:val="24"/>
        </w:rPr>
      </w:pPr>
    </w:p>
    <w:p w:rsidR="00FE7DCF" w:rsidRPr="002E6486" w:rsidRDefault="00FE7DCF" w:rsidP="000C6A67">
      <w:pPr>
        <w:spacing w:after="0" w:line="240" w:lineRule="auto"/>
        <w:jc w:val="both"/>
        <w:rPr>
          <w:rFonts w:ascii="Arial" w:hAnsi="Arial" w:cs="Arial"/>
          <w:b/>
          <w:sz w:val="24"/>
          <w:szCs w:val="24"/>
        </w:rPr>
      </w:pPr>
      <w:r w:rsidRPr="002E6486">
        <w:rPr>
          <w:rFonts w:ascii="Arial" w:hAnsi="Arial" w:cs="Arial"/>
          <w:b/>
          <w:sz w:val="24"/>
          <w:szCs w:val="24"/>
        </w:rPr>
        <w:t>CONTEXT NAȚIONAL</w:t>
      </w:r>
    </w:p>
    <w:p w:rsidR="00FE7DCF" w:rsidRPr="002E6486" w:rsidRDefault="00FE7DCF" w:rsidP="000C6A67">
      <w:pPr>
        <w:spacing w:after="0" w:line="240" w:lineRule="auto"/>
        <w:jc w:val="both"/>
        <w:rPr>
          <w:rFonts w:ascii="Arial" w:hAnsi="Arial" w:cs="Arial"/>
          <w:sz w:val="24"/>
          <w:szCs w:val="24"/>
        </w:rPr>
      </w:pPr>
      <w:r w:rsidRPr="00911CFD">
        <w:rPr>
          <w:rFonts w:ascii="Arial" w:hAnsi="Arial" w:cs="Arial"/>
          <w:b/>
          <w:sz w:val="24"/>
          <w:szCs w:val="24"/>
        </w:rPr>
        <w:t>Strategia Națională de Cercetare, Dezvoltare și Inovare 2014 – 2020</w:t>
      </w:r>
      <w:r w:rsidRPr="002E6486">
        <w:rPr>
          <w:rFonts w:ascii="Arial" w:hAnsi="Arial" w:cs="Arial"/>
          <w:sz w:val="24"/>
          <w:szCs w:val="24"/>
        </w:rPr>
        <w:t xml:space="preserve"> este un document programatic pentru ciclul urmator, intr-un context in care Romania trebuie sa faca saltul calitativ si de anvergura in zona CDI. Strategia este conceputa in 6 capitole  (inroducere, viziune, obiective, direcții de acțiune, ținte și guvernanța).</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Strategia Europa 2020 a stabilit trei strategii principale de consolidare a creşterii pentru a combate deficienţele structurale ale continentului într-un scenariu de criză:</w:t>
      </w:r>
    </w:p>
    <w:p w:rsidR="00FE7DCF" w:rsidRPr="00FC0458" w:rsidRDefault="00FE7DCF" w:rsidP="00445724">
      <w:pPr>
        <w:pStyle w:val="ListParagraph"/>
        <w:numPr>
          <w:ilvl w:val="0"/>
          <w:numId w:val="32"/>
        </w:numPr>
        <w:contextualSpacing/>
        <w:jc w:val="both"/>
        <w:rPr>
          <w:rFonts w:ascii="Arial" w:hAnsi="Arial" w:cs="Arial"/>
          <w:sz w:val="24"/>
          <w:szCs w:val="24"/>
        </w:rPr>
      </w:pPr>
      <w:r w:rsidRPr="00FC0458">
        <w:rPr>
          <w:rFonts w:ascii="Arial" w:hAnsi="Arial" w:cs="Arial"/>
          <w:sz w:val="24"/>
          <w:szCs w:val="24"/>
        </w:rPr>
        <w:t>creşterea inteligentă, bazată pe cunoştinţe şi inovare;</w:t>
      </w:r>
    </w:p>
    <w:p w:rsidR="00FE7DCF" w:rsidRPr="002E6486" w:rsidRDefault="00FE7DCF" w:rsidP="00445724">
      <w:pPr>
        <w:pStyle w:val="ListParagraph"/>
        <w:numPr>
          <w:ilvl w:val="0"/>
          <w:numId w:val="32"/>
        </w:numPr>
        <w:contextualSpacing/>
        <w:jc w:val="both"/>
        <w:rPr>
          <w:rFonts w:ascii="Arial" w:hAnsi="Arial" w:cs="Arial"/>
          <w:sz w:val="24"/>
          <w:szCs w:val="24"/>
        </w:rPr>
      </w:pPr>
      <w:r w:rsidRPr="002E6486">
        <w:rPr>
          <w:rFonts w:ascii="Arial" w:hAnsi="Arial" w:cs="Arial"/>
          <w:sz w:val="24"/>
          <w:szCs w:val="24"/>
        </w:rPr>
        <w:t xml:space="preserve">creşterea durabilă, prin promovarea unei economii mai eficiente din punct de vedere al resurselor, mai verde şi mai competitivă; şi </w:t>
      </w:r>
    </w:p>
    <w:p w:rsidR="00FE7DCF" w:rsidRPr="00FC0458" w:rsidRDefault="00FE7DCF" w:rsidP="00445724">
      <w:pPr>
        <w:pStyle w:val="ListParagraph"/>
        <w:numPr>
          <w:ilvl w:val="0"/>
          <w:numId w:val="32"/>
        </w:numPr>
        <w:contextualSpacing/>
        <w:jc w:val="both"/>
        <w:rPr>
          <w:rFonts w:ascii="Arial" w:hAnsi="Arial" w:cs="Arial"/>
          <w:sz w:val="24"/>
          <w:szCs w:val="24"/>
        </w:rPr>
      </w:pPr>
      <w:r w:rsidRPr="00FC0458">
        <w:rPr>
          <w:rFonts w:ascii="Arial" w:hAnsi="Arial" w:cs="Arial"/>
          <w:sz w:val="24"/>
          <w:szCs w:val="24"/>
        </w:rPr>
        <w:t>creşterea favorabilă incluziunii, prin promovarea unei economii cu o rată ridicată a ocupării forţei de muncă care să  asigure coeziunea economică, socială şi teritorială.</w:t>
      </w:r>
    </w:p>
    <w:p w:rsidR="00FE7DCF" w:rsidRPr="002E6486" w:rsidRDefault="00FE7DCF" w:rsidP="000C6A67">
      <w:pPr>
        <w:spacing w:after="0" w:line="240" w:lineRule="auto"/>
        <w:ind w:left="60"/>
        <w:jc w:val="both"/>
        <w:rPr>
          <w:rFonts w:ascii="Arial" w:hAnsi="Arial" w:cs="Arial"/>
          <w:sz w:val="24"/>
          <w:szCs w:val="24"/>
        </w:rPr>
      </w:pPr>
      <w:r w:rsidRPr="002E6486">
        <w:rPr>
          <w:rFonts w:ascii="Arial" w:hAnsi="Arial" w:cs="Arial"/>
          <w:sz w:val="24"/>
          <w:szCs w:val="24"/>
        </w:rPr>
        <w:t>Investiţiile în cercetare, inovare şi antreprenoriat reprezintă nucleul acestei abordări. În strategia națională se specifica contextul strategic european, astfel: în 2011 Comisia Europeană (CE) a lansat iniţiativa emblematică ''O Uniune a Inovării''</w:t>
      </w:r>
      <w:r w:rsidRPr="002E6486">
        <w:rPr>
          <w:rStyle w:val="FootnoteReference"/>
          <w:rFonts w:ascii="Arial" w:hAnsi="Arial" w:cs="Arial"/>
          <w:sz w:val="24"/>
          <w:szCs w:val="24"/>
        </w:rPr>
        <w:footnoteReference w:id="70"/>
      </w:r>
      <w:r w:rsidRPr="002E6486">
        <w:rPr>
          <w:rFonts w:ascii="Arial" w:hAnsi="Arial" w:cs="Arial"/>
          <w:sz w:val="24"/>
          <w:szCs w:val="24"/>
        </w:rPr>
        <w:t>, care introduce noţiunea de 'strategie de specializare inteligentă' ce are drept scopul sporirea impactului politicilor de cercetare şi inovare ale Statelor Membre asupra creşterii  economice.</w:t>
      </w:r>
    </w:p>
    <w:p w:rsidR="00FE7DCF" w:rsidRPr="002E6486" w:rsidRDefault="00FE7DCF" w:rsidP="000C6A67">
      <w:pPr>
        <w:spacing w:after="0" w:line="240" w:lineRule="auto"/>
        <w:ind w:left="60"/>
        <w:jc w:val="both"/>
        <w:rPr>
          <w:rFonts w:ascii="Arial" w:hAnsi="Arial" w:cs="Arial"/>
          <w:sz w:val="24"/>
          <w:szCs w:val="24"/>
        </w:rPr>
      </w:pPr>
      <w:r w:rsidRPr="002E6486">
        <w:rPr>
          <w:rFonts w:ascii="Arial" w:hAnsi="Arial" w:cs="Arial"/>
          <w:sz w:val="24"/>
          <w:szCs w:val="24"/>
        </w:rPr>
        <w:t>Elaborarea acestui document strategic s-a desfăşurat în contextul mai larg al strategiei Europa 2020</w:t>
      </w:r>
      <w:r w:rsidRPr="002E6486">
        <w:rPr>
          <w:rStyle w:val="FootnoteReference"/>
          <w:rFonts w:ascii="Arial" w:hAnsi="Arial" w:cs="Arial"/>
          <w:sz w:val="24"/>
          <w:szCs w:val="24"/>
        </w:rPr>
        <w:footnoteReference w:id="71"/>
      </w:r>
      <w:r w:rsidRPr="002E6486">
        <w:rPr>
          <w:rFonts w:ascii="Arial" w:hAnsi="Arial" w:cs="Arial"/>
          <w:sz w:val="24"/>
          <w:szCs w:val="24"/>
        </w:rPr>
        <w:t>, în mod particular al iniţiativei O Uniune a inovării</w:t>
      </w:r>
      <w:r w:rsidRPr="002E6486">
        <w:rPr>
          <w:rStyle w:val="FootnoteReference"/>
          <w:rFonts w:ascii="Arial" w:hAnsi="Arial" w:cs="Arial"/>
          <w:sz w:val="24"/>
          <w:szCs w:val="24"/>
        </w:rPr>
        <w:footnoteReference w:id="72"/>
      </w:r>
      <w:r w:rsidRPr="002E6486">
        <w:rPr>
          <w:rFonts w:ascii="Arial" w:hAnsi="Arial" w:cs="Arial"/>
          <w:sz w:val="24"/>
          <w:szCs w:val="24"/>
        </w:rPr>
        <w:t xml:space="preserve"> şi al principalului instrument de implementare – Orizont 2020</w:t>
      </w:r>
      <w:r w:rsidRPr="002E6486">
        <w:rPr>
          <w:rFonts w:ascii="Arial" w:hAnsi="Arial" w:cs="Arial"/>
          <w:sz w:val="24"/>
          <w:szCs w:val="24"/>
          <w:vertAlign w:val="superscript"/>
        </w:rPr>
        <w:t>3</w:t>
      </w:r>
      <w:r w:rsidRPr="002E6486">
        <w:rPr>
          <w:rFonts w:ascii="Arial" w:hAnsi="Arial" w:cs="Arial"/>
          <w:sz w:val="24"/>
          <w:szCs w:val="24"/>
        </w:rPr>
        <w:t>, precum şi în contextul corelării cu politicile de coeziune.</w:t>
      </w:r>
    </w:p>
    <w:p w:rsidR="00FE7DCF" w:rsidRPr="002E6486" w:rsidRDefault="00FE7DCF" w:rsidP="000C6A67">
      <w:pPr>
        <w:spacing w:after="0" w:line="240" w:lineRule="auto"/>
        <w:ind w:left="60"/>
        <w:jc w:val="both"/>
        <w:rPr>
          <w:rFonts w:ascii="Arial" w:hAnsi="Arial" w:cs="Arial"/>
          <w:sz w:val="24"/>
          <w:szCs w:val="24"/>
        </w:rPr>
      </w:pPr>
      <w:r w:rsidRPr="002E6486">
        <w:rPr>
          <w:rFonts w:ascii="Arial" w:hAnsi="Arial" w:cs="Arial"/>
          <w:sz w:val="24"/>
          <w:szCs w:val="24"/>
        </w:rPr>
        <w:t>Strategia CDI 2014-2020 vizează următoarele tipuri de priorităţi:</w:t>
      </w:r>
    </w:p>
    <w:p w:rsidR="00FE7DCF" w:rsidRPr="002E6486" w:rsidRDefault="00FE7DCF" w:rsidP="00445724">
      <w:pPr>
        <w:pStyle w:val="ListParagraph"/>
        <w:numPr>
          <w:ilvl w:val="0"/>
          <w:numId w:val="12"/>
        </w:numPr>
        <w:contextualSpacing/>
        <w:jc w:val="both"/>
        <w:rPr>
          <w:rFonts w:ascii="Arial" w:hAnsi="Arial" w:cs="Arial"/>
          <w:sz w:val="24"/>
          <w:szCs w:val="24"/>
        </w:rPr>
      </w:pPr>
      <w:r w:rsidRPr="002E6486">
        <w:rPr>
          <w:rFonts w:ascii="Arial" w:hAnsi="Arial" w:cs="Arial"/>
          <w:sz w:val="24"/>
          <w:szCs w:val="24"/>
        </w:rPr>
        <w:t>Priorităţile de specializare inteligentă presupun definirea şi consolidarea unor domenii de competenţă ridicată, în care există avantaje comparative reale, sau potențiale, și care pot contribui semnificativ la PIB. Prin concentrarea de resurse şi mobilizarea unei mase critice de cercetători, aceste domenii pot asigura, inclusiv în dimensiunea lor regională, competitivitatea pe lanţurile de valoare adăugată regionale şi/sau globale.</w:t>
      </w:r>
    </w:p>
    <w:p w:rsidR="00FE7DCF" w:rsidRPr="002E6486" w:rsidRDefault="00FE7DCF" w:rsidP="00445724">
      <w:pPr>
        <w:pStyle w:val="ListParagraph"/>
        <w:numPr>
          <w:ilvl w:val="0"/>
          <w:numId w:val="12"/>
        </w:numPr>
        <w:contextualSpacing/>
        <w:jc w:val="both"/>
        <w:rPr>
          <w:rFonts w:ascii="Arial" w:hAnsi="Arial" w:cs="Arial"/>
          <w:sz w:val="24"/>
          <w:szCs w:val="24"/>
        </w:rPr>
      </w:pPr>
      <w:r w:rsidRPr="002E6486">
        <w:rPr>
          <w:rFonts w:ascii="Arial" w:hAnsi="Arial" w:cs="Arial"/>
          <w:sz w:val="24"/>
          <w:szCs w:val="24"/>
        </w:rPr>
        <w:t>Priorităţile cu relevanţă publică vizează alocarea de resurse în domenii în care cercetarea şi dezvoltarea tehnologică răspund unor nevoi sociale concrete şi presante. Aceste priorităţi presupun dezvoltarea capacităţii sectorului public de a supraveghea spaţiul tehnologiilor emergente şi de a solicita soluţii inovatoare de la operatorii CDI publici şi privaţi. Cercetarea fundamentală rămâne prioritară în cadrul Strategiei CDI 2014-2020 – incluzând disciplinele umaniste şi socio-economice – ca sursă pentru cercetarea de frontieră și interdisciplinară.</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Strategia nationala propune un program amplu pe toate componentele in vederea cresterii performantelor CDI in Romania si pentru absobtia fondurilor euroepene.</w:t>
      </w:r>
    </w:p>
    <w:p w:rsidR="00FE7DCF" w:rsidRPr="002E6486" w:rsidRDefault="00FE7DCF" w:rsidP="000C6A67">
      <w:pPr>
        <w:spacing w:after="0" w:line="240" w:lineRule="auto"/>
        <w:ind w:left="60"/>
        <w:jc w:val="both"/>
        <w:rPr>
          <w:rFonts w:ascii="Arial" w:hAnsi="Arial" w:cs="Arial"/>
          <w:sz w:val="24"/>
          <w:szCs w:val="24"/>
        </w:rPr>
      </w:pPr>
    </w:p>
    <w:p w:rsidR="00FE7DCF" w:rsidRPr="00597FB2" w:rsidRDefault="00FE7DCF" w:rsidP="000C6A67">
      <w:pPr>
        <w:spacing w:after="0" w:line="240" w:lineRule="auto"/>
        <w:jc w:val="both"/>
        <w:rPr>
          <w:rStyle w:val="Normal1"/>
          <w:rFonts w:ascii="Arial" w:hAnsi="Arial" w:cs="Arial"/>
          <w:sz w:val="24"/>
          <w:szCs w:val="24"/>
          <w:u w:val="single"/>
        </w:rPr>
      </w:pPr>
      <w:r w:rsidRPr="00597FB2">
        <w:rPr>
          <w:rStyle w:val="Normal1"/>
          <w:rFonts w:ascii="Arial" w:hAnsi="Arial" w:cs="Arial"/>
          <w:sz w:val="24"/>
          <w:szCs w:val="24"/>
          <w:u w:val="single"/>
        </w:rPr>
        <w:t>2. Profilul demografic al regiunii Vest.din perspectiva învăţământului superior</w:t>
      </w:r>
    </w:p>
    <w:p w:rsidR="00FE7DCF" w:rsidRPr="002E6486" w:rsidRDefault="00FE7DCF" w:rsidP="000C6A67">
      <w:pPr>
        <w:spacing w:after="0" w:line="240" w:lineRule="auto"/>
        <w:jc w:val="both"/>
        <w:rPr>
          <w:rFonts w:ascii="Arial" w:hAnsi="Arial" w:cs="Arial"/>
          <w:sz w:val="24"/>
          <w:szCs w:val="24"/>
        </w:rPr>
      </w:pPr>
      <w:r w:rsidRPr="00FC0458">
        <w:rPr>
          <w:rFonts w:ascii="Arial" w:hAnsi="Arial" w:cs="Arial"/>
          <w:sz w:val="24"/>
          <w:szCs w:val="24"/>
        </w:rPr>
        <w:t>CONTEXT</w:t>
      </w:r>
      <w:r w:rsidR="00911CFD" w:rsidRPr="00FC0458">
        <w:rPr>
          <w:rFonts w:ascii="Arial" w:hAnsi="Arial" w:cs="Arial"/>
          <w:sz w:val="24"/>
          <w:szCs w:val="24"/>
        </w:rPr>
        <w:t>UL</w:t>
      </w:r>
      <w:r w:rsidRPr="00FC0458">
        <w:rPr>
          <w:rFonts w:ascii="Arial" w:hAnsi="Arial" w:cs="Arial"/>
          <w:sz w:val="24"/>
          <w:szCs w:val="24"/>
        </w:rPr>
        <w:t xml:space="preserve"> REGIONAL se poate contura prin evaluarea</w:t>
      </w:r>
      <w:r w:rsidRPr="002E6486">
        <w:rPr>
          <w:rFonts w:ascii="Arial" w:hAnsi="Arial" w:cs="Arial"/>
          <w:sz w:val="24"/>
          <w:szCs w:val="24"/>
        </w:rPr>
        <w:t xml:space="preserve"> stadiului dezvoltării durabile în Regiunea Vest şi elaborarea indexului aferent format din indicatori selectaţi în funcţie </w:t>
      </w:r>
      <w:r w:rsidRPr="002E6486">
        <w:rPr>
          <w:rFonts w:ascii="Arial" w:hAnsi="Arial" w:cs="Arial"/>
          <w:sz w:val="24"/>
          <w:szCs w:val="24"/>
        </w:rPr>
        <w:lastRenderedPageBreak/>
        <w:t xml:space="preserve">de specificul socio-economic şi de mediu al Regiunii Vest, </w:t>
      </w:r>
      <w:r w:rsidR="00FC0458">
        <w:rPr>
          <w:rFonts w:ascii="Arial" w:hAnsi="Arial" w:cs="Arial"/>
          <w:sz w:val="24"/>
          <w:szCs w:val="24"/>
        </w:rPr>
        <w:t xml:space="preserve">ceea ce </w:t>
      </w:r>
      <w:r w:rsidRPr="002E6486">
        <w:rPr>
          <w:rFonts w:ascii="Arial" w:hAnsi="Arial" w:cs="Arial"/>
          <w:sz w:val="24"/>
          <w:szCs w:val="24"/>
        </w:rPr>
        <w:t xml:space="preserve">s-a realizat prin proiectul ADR Vest </w:t>
      </w:r>
      <w:r w:rsidRPr="002E6486">
        <w:rPr>
          <w:rFonts w:ascii="Arial" w:hAnsi="Arial" w:cs="Arial"/>
          <w:b/>
          <w:sz w:val="24"/>
          <w:szCs w:val="24"/>
        </w:rPr>
        <w:t>„Sustenabilitatea - Motor al Dezvoltării în Regiunea Vest"</w:t>
      </w:r>
      <w:r w:rsidRPr="002E6486">
        <w:rPr>
          <w:rFonts w:ascii="Arial" w:hAnsi="Arial" w:cs="Arial"/>
          <w:sz w:val="24"/>
          <w:szCs w:val="24"/>
        </w:rPr>
        <w:t xml:space="preserve"> .</w:t>
      </w:r>
    </w:p>
    <w:p w:rsidR="00FE7DCF" w:rsidRPr="00FC0458" w:rsidRDefault="00FE7DCF" w:rsidP="000C6A67">
      <w:pPr>
        <w:spacing w:after="0" w:line="240" w:lineRule="auto"/>
        <w:jc w:val="both"/>
        <w:rPr>
          <w:rFonts w:ascii="Arial" w:hAnsi="Arial" w:cs="Arial"/>
          <w:b/>
          <w:sz w:val="24"/>
          <w:szCs w:val="24"/>
        </w:rPr>
      </w:pPr>
      <w:r w:rsidRPr="00FC0458">
        <w:rPr>
          <w:rFonts w:ascii="Arial" w:hAnsi="Arial" w:cs="Arial"/>
          <w:b/>
          <w:sz w:val="24"/>
          <w:szCs w:val="24"/>
        </w:rPr>
        <w:t>Conform datelor din proiect ”Regiunea Vest se află pe unul din ultimele locuri pe plan naţional, din punct de vedere al ponderii cheltuielilor alocate activităţilor de cercetare şi dezvoltare în produsul intern brut regional, valoarea acestora reprezentând numai 50% din media naţională.”</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 xml:space="preserve">In aces context  din perspectiva  dezvoltării durabile aceasta zona este una cu risc major care poate afecta în mod critic viitorul regiunii, asa cum se arata in raport. </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Exista un interes scazut al absolvenţilor universitari de a se orienta cǎtre dezvoltarea unei cariere profesionala în domeniul cercetǎrii, cu precǎdere în ştiinţe tehnice şi inginerie.</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In raport se arata ca ”rezultate nu indică o tendinţă de intensificare a activităţilor inovative, dimpotrivă se evidenţiază o stagnare deşi în regiune îşi desfăşoară activitatea un număr important de institute de cercetare şi de companii transnaţionale active în sectoare cu înaltǎ valoarea adǎugatǎ”.</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 xml:space="preserve">Capitolul 7 al Raportului face referire la regiunea Vest comparativ cu contextul national. Paragraful 7.7 este dedicat educației </w:t>
      </w:r>
      <w:r w:rsidR="003B610F">
        <w:rPr>
          <w:rFonts w:ascii="Arial" w:hAnsi="Arial" w:cs="Arial"/>
          <w:sz w:val="24"/>
          <w:szCs w:val="24"/>
        </w:rPr>
        <w:t>ș</w:t>
      </w:r>
      <w:r w:rsidRPr="002E6486">
        <w:rPr>
          <w:rFonts w:ascii="Arial" w:hAnsi="Arial" w:cs="Arial"/>
          <w:sz w:val="24"/>
          <w:szCs w:val="24"/>
        </w:rPr>
        <w:t xml:space="preserve">i culturii astfel:” Sistemul educaţional din Regiunea Vest este bine reprezentat pe toate palierele prevăzute de  legislaţia naţională. </w:t>
      </w:r>
    </w:p>
    <w:p w:rsidR="00FE7DCF" w:rsidRPr="006813AB" w:rsidRDefault="00FE7DCF" w:rsidP="000C6A67">
      <w:pPr>
        <w:spacing w:after="0" w:line="240" w:lineRule="auto"/>
        <w:jc w:val="both"/>
        <w:rPr>
          <w:rStyle w:val="Normal1"/>
          <w:rFonts w:ascii="Arial" w:hAnsi="Arial" w:cs="Arial"/>
          <w:sz w:val="24"/>
          <w:szCs w:val="24"/>
        </w:rPr>
      </w:pPr>
      <w:r w:rsidRPr="002E6486">
        <w:rPr>
          <w:rFonts w:ascii="Arial" w:hAnsi="Arial" w:cs="Arial"/>
          <w:sz w:val="24"/>
          <w:szCs w:val="24"/>
        </w:rPr>
        <w:t>Paragraful 7.8 se refera la Cercetare științifică și inovare care acoperă la nivelul regiunii o varietate mare de domenii, de la construcţiile de vagoane, viticultură şi creşterea bovinelor (în Arad), la construcţiile de maşini silvicultură, pomicultură şi creşterea ovinelor (în Caraş-</w:t>
      </w:r>
      <w:r w:rsidR="007479BC">
        <w:rPr>
          <w:rFonts w:ascii="Arial" w:hAnsi="Arial" w:cs="Arial"/>
          <w:sz w:val="24"/>
          <w:szCs w:val="24"/>
        </w:rPr>
        <w:t>Severin),</w:t>
      </w:r>
      <w:r w:rsidRPr="002E6486">
        <w:rPr>
          <w:rFonts w:ascii="Arial" w:hAnsi="Arial" w:cs="Arial"/>
          <w:sz w:val="24"/>
          <w:szCs w:val="24"/>
        </w:rPr>
        <w:t xml:space="preserve"> electrochimie, fizică, ecologie, sănătate publică, agricultură, medicină şi ştiinţe sociale (în Timiş).</w:t>
      </w:r>
    </w:p>
    <w:p w:rsidR="00C041AB" w:rsidRDefault="00FE7DCF" w:rsidP="000C6A67">
      <w:pPr>
        <w:spacing w:after="0" w:line="240" w:lineRule="auto"/>
        <w:jc w:val="both"/>
        <w:rPr>
          <w:rFonts w:ascii="Arial" w:hAnsi="Arial" w:cs="Arial"/>
          <w:b/>
          <w:bCs/>
          <w:sz w:val="24"/>
          <w:szCs w:val="24"/>
        </w:rPr>
      </w:pPr>
      <w:r w:rsidRPr="00597FB2">
        <w:rPr>
          <w:rFonts w:ascii="Arial" w:hAnsi="Arial" w:cs="Arial"/>
          <w:b/>
          <w:bCs/>
          <w:sz w:val="24"/>
          <w:szCs w:val="24"/>
        </w:rPr>
        <w:t xml:space="preserve">2.1. Analiza evoluţiilor şi prognozelor demografice </w:t>
      </w:r>
    </w:p>
    <w:p w:rsidR="00C041AB" w:rsidRPr="002F202A" w:rsidRDefault="00C041AB" w:rsidP="000C6A67">
      <w:pPr>
        <w:spacing w:after="0" w:line="240" w:lineRule="auto"/>
        <w:jc w:val="both"/>
        <w:rPr>
          <w:rFonts w:ascii="Arial" w:hAnsi="Arial" w:cs="Arial"/>
          <w:sz w:val="24"/>
          <w:szCs w:val="24"/>
        </w:rPr>
      </w:pPr>
      <w:r w:rsidRPr="002F202A">
        <w:rPr>
          <w:rFonts w:ascii="Arial" w:hAnsi="Arial" w:cs="Arial"/>
          <w:sz w:val="24"/>
          <w:szCs w:val="24"/>
        </w:rPr>
        <w:t>Datele statistice privind situația studenților din IS național în perioada 2015-2016 , la nivel national, arată că în învâțământul superior  sunt  374</w:t>
      </w:r>
      <w:r w:rsidR="007479BC">
        <w:rPr>
          <w:rFonts w:ascii="Arial" w:hAnsi="Arial" w:cs="Arial"/>
          <w:sz w:val="24"/>
          <w:szCs w:val="24"/>
        </w:rPr>
        <w:t>.</w:t>
      </w:r>
      <w:r w:rsidRPr="002F202A">
        <w:rPr>
          <w:rFonts w:ascii="Arial" w:hAnsi="Arial" w:cs="Arial"/>
          <w:sz w:val="24"/>
          <w:szCs w:val="24"/>
        </w:rPr>
        <w:t>800 de absolvenți</w:t>
      </w:r>
      <w:r w:rsidR="00E53080">
        <w:rPr>
          <w:rFonts w:ascii="Arial" w:hAnsi="Arial" w:cs="Arial"/>
          <w:sz w:val="24"/>
          <w:szCs w:val="24"/>
        </w:rPr>
        <w:t xml:space="preserve"> </w:t>
      </w:r>
      <w:r w:rsidRPr="002F202A">
        <w:rPr>
          <w:rFonts w:ascii="Arial" w:hAnsi="Arial" w:cs="Arial"/>
          <w:sz w:val="24"/>
          <w:szCs w:val="24"/>
        </w:rPr>
        <w:t>(352</w:t>
      </w:r>
      <w:r w:rsidR="007479BC">
        <w:rPr>
          <w:rFonts w:ascii="Arial" w:hAnsi="Arial" w:cs="Arial"/>
          <w:sz w:val="24"/>
          <w:szCs w:val="24"/>
        </w:rPr>
        <w:t>.</w:t>
      </w:r>
      <w:r w:rsidRPr="002F202A">
        <w:rPr>
          <w:rFonts w:ascii="Arial" w:hAnsi="Arial" w:cs="Arial"/>
          <w:sz w:val="24"/>
          <w:szCs w:val="24"/>
        </w:rPr>
        <w:t xml:space="preserve">743 cu diploma de </w:t>
      </w:r>
      <w:r w:rsidR="00E53080">
        <w:rPr>
          <w:rFonts w:ascii="Arial" w:hAnsi="Arial" w:cs="Arial"/>
          <w:sz w:val="24"/>
          <w:szCs w:val="24"/>
        </w:rPr>
        <w:t>b</w:t>
      </w:r>
      <w:r w:rsidRPr="002F202A">
        <w:rPr>
          <w:rFonts w:ascii="Arial" w:hAnsi="Arial" w:cs="Arial"/>
          <w:sz w:val="24"/>
          <w:szCs w:val="24"/>
        </w:rPr>
        <w:t xml:space="preserve">acalaureat  național </w:t>
      </w:r>
      <w:r w:rsidR="00E53080">
        <w:rPr>
          <w:rFonts w:ascii="Arial" w:hAnsi="Arial" w:cs="Arial"/>
          <w:sz w:val="24"/>
          <w:szCs w:val="24"/>
        </w:rPr>
        <w:t>ș</w:t>
      </w:r>
      <w:r w:rsidRPr="002F202A">
        <w:rPr>
          <w:rFonts w:ascii="Arial" w:hAnsi="Arial" w:cs="Arial"/>
          <w:sz w:val="24"/>
          <w:szCs w:val="24"/>
        </w:rPr>
        <w:t>i 22</w:t>
      </w:r>
      <w:r w:rsidR="007479BC">
        <w:rPr>
          <w:rFonts w:ascii="Arial" w:hAnsi="Arial" w:cs="Arial"/>
          <w:sz w:val="24"/>
          <w:szCs w:val="24"/>
        </w:rPr>
        <w:t>.</w:t>
      </w:r>
      <w:r w:rsidRPr="002F202A">
        <w:rPr>
          <w:rFonts w:ascii="Arial" w:hAnsi="Arial" w:cs="Arial"/>
          <w:sz w:val="24"/>
          <w:szCs w:val="24"/>
        </w:rPr>
        <w:t>037 cu diploma din alt</w:t>
      </w:r>
      <w:r w:rsidR="007479BC">
        <w:rPr>
          <w:rFonts w:ascii="Arial" w:hAnsi="Arial" w:cs="Arial"/>
          <w:sz w:val="24"/>
          <w:szCs w:val="24"/>
        </w:rPr>
        <w:t>ă</w:t>
      </w:r>
      <w:r w:rsidRPr="002F202A">
        <w:rPr>
          <w:rFonts w:ascii="Arial" w:hAnsi="Arial" w:cs="Arial"/>
          <w:sz w:val="24"/>
          <w:szCs w:val="24"/>
        </w:rPr>
        <w:t xml:space="preserve"> </w:t>
      </w:r>
      <w:r w:rsidR="00E53080">
        <w:rPr>
          <w:rFonts w:ascii="Arial" w:hAnsi="Arial" w:cs="Arial"/>
          <w:sz w:val="24"/>
          <w:szCs w:val="24"/>
        </w:rPr>
        <w:t>ț</w:t>
      </w:r>
      <w:r w:rsidRPr="002F202A">
        <w:rPr>
          <w:rFonts w:ascii="Arial" w:hAnsi="Arial" w:cs="Arial"/>
          <w:sz w:val="24"/>
          <w:szCs w:val="24"/>
        </w:rPr>
        <w:t>ar</w:t>
      </w:r>
      <w:r w:rsidR="00E53080">
        <w:rPr>
          <w:rFonts w:ascii="Arial" w:hAnsi="Arial" w:cs="Arial"/>
          <w:sz w:val="24"/>
          <w:szCs w:val="24"/>
        </w:rPr>
        <w:t>ă). Un num</w:t>
      </w:r>
      <w:r w:rsidR="007479BC">
        <w:rPr>
          <w:rFonts w:ascii="Arial" w:hAnsi="Arial" w:cs="Arial"/>
          <w:sz w:val="24"/>
          <w:szCs w:val="24"/>
        </w:rPr>
        <w:t>ă</w:t>
      </w:r>
      <w:r w:rsidR="00E53080">
        <w:rPr>
          <w:rFonts w:ascii="Arial" w:hAnsi="Arial" w:cs="Arial"/>
          <w:sz w:val="24"/>
          <w:szCs w:val="24"/>
        </w:rPr>
        <w:t>r de  319.</w:t>
      </w:r>
      <w:r w:rsidRPr="002F202A">
        <w:rPr>
          <w:rFonts w:ascii="Arial" w:hAnsi="Arial" w:cs="Arial"/>
          <w:sz w:val="24"/>
          <w:szCs w:val="24"/>
        </w:rPr>
        <w:t>330 de studenți sunt înscriși în învățămăntul public de stat  și 55</w:t>
      </w:r>
      <w:r w:rsidR="00E53080">
        <w:rPr>
          <w:rFonts w:ascii="Arial" w:hAnsi="Arial" w:cs="Arial"/>
          <w:sz w:val="24"/>
          <w:szCs w:val="24"/>
        </w:rPr>
        <w:t>.</w:t>
      </w:r>
      <w:r w:rsidRPr="002F202A">
        <w:rPr>
          <w:rFonts w:ascii="Arial" w:hAnsi="Arial" w:cs="Arial"/>
          <w:sz w:val="24"/>
          <w:szCs w:val="24"/>
        </w:rPr>
        <w:t>470 în învățământ privat.</w:t>
      </w:r>
    </w:p>
    <w:p w:rsidR="00C041AB" w:rsidRPr="002F202A" w:rsidRDefault="00C041AB" w:rsidP="000C6A67">
      <w:pPr>
        <w:spacing w:after="0" w:line="240" w:lineRule="auto"/>
        <w:jc w:val="both"/>
        <w:rPr>
          <w:rFonts w:ascii="Arial" w:hAnsi="Arial" w:cs="Arial"/>
          <w:sz w:val="24"/>
          <w:szCs w:val="24"/>
        </w:rPr>
      </w:pPr>
      <w:r w:rsidRPr="002F202A">
        <w:rPr>
          <w:rFonts w:ascii="Arial" w:hAnsi="Arial" w:cs="Arial"/>
          <w:sz w:val="24"/>
          <w:szCs w:val="24"/>
        </w:rPr>
        <w:t>Numărul studențiilor în universitățile publice este de 319</w:t>
      </w:r>
      <w:r w:rsidR="00E53080">
        <w:rPr>
          <w:rFonts w:ascii="Arial" w:hAnsi="Arial" w:cs="Arial"/>
          <w:sz w:val="24"/>
          <w:szCs w:val="24"/>
        </w:rPr>
        <w:t>.</w:t>
      </w:r>
      <w:r w:rsidRPr="002F202A">
        <w:rPr>
          <w:rFonts w:ascii="Arial" w:hAnsi="Arial" w:cs="Arial"/>
          <w:sz w:val="24"/>
          <w:szCs w:val="24"/>
        </w:rPr>
        <w:t>330 de cca</w:t>
      </w:r>
      <w:r w:rsidR="007479BC">
        <w:rPr>
          <w:rFonts w:ascii="Arial" w:hAnsi="Arial" w:cs="Arial"/>
          <w:sz w:val="24"/>
          <w:szCs w:val="24"/>
        </w:rPr>
        <w:t>.</w:t>
      </w:r>
      <w:r w:rsidRPr="002F202A">
        <w:rPr>
          <w:rFonts w:ascii="Arial" w:hAnsi="Arial" w:cs="Arial"/>
          <w:sz w:val="24"/>
          <w:szCs w:val="24"/>
        </w:rPr>
        <w:t xml:space="preserve"> 5 ori mai mare decât a studenților de la universitatile private</w:t>
      </w:r>
      <w:r w:rsidR="00E53080">
        <w:rPr>
          <w:rFonts w:ascii="Arial" w:hAnsi="Arial" w:cs="Arial"/>
          <w:sz w:val="24"/>
          <w:szCs w:val="24"/>
        </w:rPr>
        <w:t xml:space="preserve"> (</w:t>
      </w:r>
      <w:r w:rsidRPr="002F202A">
        <w:rPr>
          <w:rFonts w:ascii="Arial" w:hAnsi="Arial" w:cs="Arial"/>
          <w:sz w:val="24"/>
          <w:szCs w:val="24"/>
        </w:rPr>
        <w:t>55</w:t>
      </w:r>
      <w:r w:rsidR="007479BC">
        <w:rPr>
          <w:rFonts w:ascii="Arial" w:hAnsi="Arial" w:cs="Arial"/>
          <w:sz w:val="24"/>
          <w:szCs w:val="24"/>
        </w:rPr>
        <w:t>.</w:t>
      </w:r>
      <w:r w:rsidRPr="002F202A">
        <w:rPr>
          <w:rFonts w:ascii="Arial" w:hAnsi="Arial" w:cs="Arial"/>
          <w:sz w:val="24"/>
          <w:szCs w:val="24"/>
        </w:rPr>
        <w:t>470). Deasemenea, dac</w:t>
      </w:r>
      <w:r w:rsidR="007479BC">
        <w:rPr>
          <w:rFonts w:ascii="Arial" w:hAnsi="Arial" w:cs="Arial"/>
          <w:sz w:val="24"/>
          <w:szCs w:val="24"/>
        </w:rPr>
        <w:t>ă</w:t>
      </w:r>
      <w:r w:rsidRPr="002F202A">
        <w:rPr>
          <w:rFonts w:ascii="Arial" w:hAnsi="Arial" w:cs="Arial"/>
          <w:sz w:val="24"/>
          <w:szCs w:val="24"/>
        </w:rPr>
        <w:t xml:space="preserve"> analizăm ponderea studenților pe formele de învățămant se constată diferențe. In toate cazurile, în învățământul public și cel privat, se remarcă num</w:t>
      </w:r>
      <w:r w:rsidR="007479BC">
        <w:rPr>
          <w:rFonts w:ascii="Arial" w:hAnsi="Arial" w:cs="Arial"/>
          <w:sz w:val="24"/>
          <w:szCs w:val="24"/>
        </w:rPr>
        <w:t>ă</w:t>
      </w:r>
      <w:r w:rsidRPr="002F202A">
        <w:rPr>
          <w:rFonts w:ascii="Arial" w:hAnsi="Arial" w:cs="Arial"/>
          <w:sz w:val="24"/>
          <w:szCs w:val="24"/>
        </w:rPr>
        <w:t xml:space="preserve">rul mare de studenți, cu diploma de </w:t>
      </w:r>
      <w:r w:rsidR="007479BC">
        <w:rPr>
          <w:rFonts w:ascii="Arial" w:hAnsi="Arial" w:cs="Arial"/>
          <w:sz w:val="24"/>
          <w:szCs w:val="24"/>
        </w:rPr>
        <w:t>bacalaureat</w:t>
      </w:r>
      <w:r w:rsidRPr="002F202A">
        <w:rPr>
          <w:rFonts w:ascii="Arial" w:hAnsi="Arial" w:cs="Arial"/>
          <w:sz w:val="24"/>
          <w:szCs w:val="24"/>
        </w:rPr>
        <w:t xml:space="preserve"> în România și în alte tăr</w:t>
      </w:r>
      <w:r w:rsidR="00E53080">
        <w:rPr>
          <w:rFonts w:ascii="Arial" w:hAnsi="Arial" w:cs="Arial"/>
          <w:sz w:val="24"/>
          <w:szCs w:val="24"/>
        </w:rPr>
        <w:t xml:space="preserve">i, la forma de învățământ de zi </w:t>
      </w:r>
      <w:r w:rsidRPr="002F202A">
        <w:rPr>
          <w:rFonts w:ascii="Arial" w:hAnsi="Arial" w:cs="Arial"/>
          <w:sz w:val="24"/>
          <w:szCs w:val="24"/>
        </w:rPr>
        <w:t>(295</w:t>
      </w:r>
      <w:r w:rsidR="007479BC">
        <w:rPr>
          <w:rFonts w:ascii="Arial" w:hAnsi="Arial" w:cs="Arial"/>
          <w:sz w:val="24"/>
          <w:szCs w:val="24"/>
        </w:rPr>
        <w:t>.</w:t>
      </w:r>
      <w:r w:rsidRPr="002F202A">
        <w:rPr>
          <w:rFonts w:ascii="Arial" w:hAnsi="Arial" w:cs="Arial"/>
          <w:sz w:val="24"/>
          <w:szCs w:val="24"/>
        </w:rPr>
        <w:t>385 studen</w:t>
      </w:r>
      <w:r w:rsidR="007479BC">
        <w:rPr>
          <w:rFonts w:ascii="Arial" w:hAnsi="Arial" w:cs="Arial"/>
          <w:sz w:val="24"/>
          <w:szCs w:val="24"/>
        </w:rPr>
        <w:t>ț</w:t>
      </w:r>
      <w:r w:rsidRPr="002F202A">
        <w:rPr>
          <w:rFonts w:ascii="Arial" w:hAnsi="Arial" w:cs="Arial"/>
          <w:sz w:val="24"/>
          <w:szCs w:val="24"/>
        </w:rPr>
        <w:t xml:space="preserve">i în universitățile publice </w:t>
      </w:r>
      <w:r w:rsidR="00E53080">
        <w:rPr>
          <w:rFonts w:ascii="Arial" w:hAnsi="Arial" w:cs="Arial"/>
          <w:sz w:val="24"/>
          <w:szCs w:val="24"/>
        </w:rPr>
        <w:t>ș</w:t>
      </w:r>
      <w:r w:rsidRPr="002F202A">
        <w:rPr>
          <w:rFonts w:ascii="Arial" w:hAnsi="Arial" w:cs="Arial"/>
          <w:sz w:val="24"/>
          <w:szCs w:val="24"/>
        </w:rPr>
        <w:t>i 44</w:t>
      </w:r>
      <w:r w:rsidR="007479BC">
        <w:rPr>
          <w:rFonts w:ascii="Arial" w:hAnsi="Arial" w:cs="Arial"/>
          <w:sz w:val="24"/>
          <w:szCs w:val="24"/>
        </w:rPr>
        <w:t>.</w:t>
      </w:r>
      <w:r w:rsidRPr="002F202A">
        <w:rPr>
          <w:rFonts w:ascii="Arial" w:hAnsi="Arial" w:cs="Arial"/>
          <w:sz w:val="24"/>
          <w:szCs w:val="24"/>
        </w:rPr>
        <w:t>564 în universitățile private). Opțiunea pentru învățământul de zi este că oferă mai multe oportunități pentru formarea competențelor  profesionale. Învățământul seral are cel mai mic num</w:t>
      </w:r>
      <w:r w:rsidR="00E53080">
        <w:rPr>
          <w:rFonts w:ascii="Arial" w:hAnsi="Arial" w:cs="Arial"/>
          <w:sz w:val="24"/>
          <w:szCs w:val="24"/>
        </w:rPr>
        <w:t>ă</w:t>
      </w:r>
      <w:r w:rsidRPr="002F202A">
        <w:rPr>
          <w:rFonts w:ascii="Arial" w:hAnsi="Arial" w:cs="Arial"/>
          <w:sz w:val="24"/>
          <w:szCs w:val="24"/>
        </w:rPr>
        <w:t>r de studenți și de remarcat că  studenții sunt</w:t>
      </w:r>
      <w:r>
        <w:rPr>
          <w:rFonts w:ascii="Arial" w:hAnsi="Arial" w:cs="Arial"/>
          <w:sz w:val="24"/>
          <w:szCs w:val="24"/>
        </w:rPr>
        <w:t xml:space="preserve"> cu diploma de bacalaureat</w:t>
      </w:r>
      <w:r w:rsidRPr="002F202A">
        <w:rPr>
          <w:rFonts w:ascii="Arial" w:hAnsi="Arial" w:cs="Arial"/>
          <w:sz w:val="24"/>
          <w:szCs w:val="24"/>
        </w:rPr>
        <w:t xml:space="preserve"> </w:t>
      </w:r>
      <w:r w:rsidR="00E53080">
        <w:rPr>
          <w:rFonts w:ascii="Arial" w:hAnsi="Arial" w:cs="Arial"/>
          <w:sz w:val="24"/>
          <w:szCs w:val="24"/>
        </w:rPr>
        <w:t>î</w:t>
      </w:r>
      <w:r w:rsidRPr="002F202A">
        <w:rPr>
          <w:rFonts w:ascii="Arial" w:hAnsi="Arial" w:cs="Arial"/>
          <w:sz w:val="24"/>
          <w:szCs w:val="24"/>
        </w:rPr>
        <w:t>n România.</w:t>
      </w:r>
      <w:r w:rsidR="00A4188F">
        <w:rPr>
          <w:rFonts w:ascii="Arial" w:hAnsi="Arial" w:cs="Arial"/>
          <w:sz w:val="24"/>
          <w:szCs w:val="24"/>
        </w:rPr>
        <w:t xml:space="preserve"> </w:t>
      </w:r>
      <w:r w:rsidRPr="002F202A">
        <w:rPr>
          <w:rFonts w:ascii="Arial" w:hAnsi="Arial" w:cs="Arial"/>
          <w:sz w:val="24"/>
          <w:szCs w:val="24"/>
        </w:rPr>
        <w:t xml:space="preserve">În cazul învățământului la distanță, studenții din universitățile publice, cu diploma de </w:t>
      </w:r>
      <w:r>
        <w:rPr>
          <w:rFonts w:ascii="Arial" w:hAnsi="Arial" w:cs="Arial"/>
          <w:sz w:val="24"/>
          <w:szCs w:val="24"/>
        </w:rPr>
        <w:t>bacalaureat</w:t>
      </w:r>
      <w:r w:rsidRPr="002F202A">
        <w:rPr>
          <w:rFonts w:ascii="Arial" w:hAnsi="Arial" w:cs="Arial"/>
          <w:sz w:val="24"/>
          <w:szCs w:val="24"/>
        </w:rPr>
        <w:t xml:space="preserve"> </w:t>
      </w:r>
      <w:r w:rsidR="00E53080">
        <w:rPr>
          <w:rFonts w:ascii="Arial" w:hAnsi="Arial" w:cs="Arial"/>
          <w:sz w:val="24"/>
          <w:szCs w:val="24"/>
        </w:rPr>
        <w:t>î</w:t>
      </w:r>
      <w:r w:rsidRPr="002F202A">
        <w:rPr>
          <w:rFonts w:ascii="Arial" w:hAnsi="Arial" w:cs="Arial"/>
          <w:sz w:val="24"/>
          <w:szCs w:val="24"/>
        </w:rPr>
        <w:t xml:space="preserve">n Romania și cu </w:t>
      </w:r>
      <w:r>
        <w:rPr>
          <w:rFonts w:ascii="Arial" w:hAnsi="Arial" w:cs="Arial"/>
          <w:sz w:val="24"/>
          <w:szCs w:val="24"/>
        </w:rPr>
        <w:t>bacalaureat</w:t>
      </w:r>
      <w:r w:rsidRPr="002F202A">
        <w:rPr>
          <w:rFonts w:ascii="Arial" w:hAnsi="Arial" w:cs="Arial"/>
          <w:sz w:val="24"/>
          <w:szCs w:val="24"/>
        </w:rPr>
        <w:t xml:space="preserve"> în alte țări, sunt în num</w:t>
      </w:r>
      <w:r w:rsidR="00A4188F">
        <w:rPr>
          <w:rFonts w:ascii="Arial" w:hAnsi="Arial" w:cs="Arial"/>
          <w:sz w:val="24"/>
          <w:szCs w:val="24"/>
        </w:rPr>
        <w:t>ă</w:t>
      </w:r>
      <w:r w:rsidRPr="002F202A">
        <w:rPr>
          <w:rFonts w:ascii="Arial" w:hAnsi="Arial" w:cs="Arial"/>
          <w:sz w:val="24"/>
          <w:szCs w:val="24"/>
        </w:rPr>
        <w:t>r de 16</w:t>
      </w:r>
      <w:r w:rsidR="00A4188F">
        <w:rPr>
          <w:rFonts w:ascii="Arial" w:hAnsi="Arial" w:cs="Arial"/>
          <w:sz w:val="24"/>
          <w:szCs w:val="24"/>
        </w:rPr>
        <w:t>.</w:t>
      </w:r>
      <w:r w:rsidRPr="002F202A">
        <w:rPr>
          <w:rFonts w:ascii="Arial" w:hAnsi="Arial" w:cs="Arial"/>
          <w:sz w:val="24"/>
          <w:szCs w:val="24"/>
        </w:rPr>
        <w:t>582 față de 4</w:t>
      </w:r>
      <w:r w:rsidR="00A4188F">
        <w:rPr>
          <w:rFonts w:ascii="Arial" w:hAnsi="Arial" w:cs="Arial"/>
          <w:sz w:val="24"/>
          <w:szCs w:val="24"/>
        </w:rPr>
        <w:t>.</w:t>
      </w:r>
      <w:r w:rsidRPr="002F202A">
        <w:rPr>
          <w:rFonts w:ascii="Arial" w:hAnsi="Arial" w:cs="Arial"/>
          <w:sz w:val="24"/>
          <w:szCs w:val="24"/>
        </w:rPr>
        <w:t>491 în universitățile private.</w:t>
      </w:r>
      <w:r w:rsidR="00E53080">
        <w:rPr>
          <w:rFonts w:ascii="Arial" w:hAnsi="Arial" w:cs="Arial"/>
          <w:sz w:val="24"/>
          <w:szCs w:val="24"/>
        </w:rPr>
        <w:t xml:space="preserve"> </w:t>
      </w:r>
      <w:r w:rsidRPr="002F202A">
        <w:rPr>
          <w:rFonts w:ascii="Arial" w:hAnsi="Arial" w:cs="Arial"/>
          <w:sz w:val="24"/>
          <w:szCs w:val="24"/>
        </w:rPr>
        <w:t>Învățămantul cu frecvență redusă este frecventat de mai mulți  studen</w:t>
      </w:r>
      <w:r w:rsidR="00A4188F">
        <w:rPr>
          <w:rFonts w:ascii="Arial" w:hAnsi="Arial" w:cs="Arial"/>
          <w:sz w:val="24"/>
          <w:szCs w:val="24"/>
        </w:rPr>
        <w:t>ți</w:t>
      </w:r>
      <w:r w:rsidRPr="002F202A">
        <w:rPr>
          <w:rFonts w:ascii="Arial" w:hAnsi="Arial" w:cs="Arial"/>
          <w:sz w:val="24"/>
          <w:szCs w:val="24"/>
        </w:rPr>
        <w:t xml:space="preserve">, cu diploma de </w:t>
      </w:r>
      <w:r>
        <w:rPr>
          <w:rFonts w:ascii="Arial" w:hAnsi="Arial" w:cs="Arial"/>
          <w:sz w:val="24"/>
          <w:szCs w:val="24"/>
        </w:rPr>
        <w:t>bacalaureat</w:t>
      </w:r>
      <w:r w:rsidRPr="002F202A">
        <w:rPr>
          <w:rFonts w:ascii="Arial" w:hAnsi="Arial" w:cs="Arial"/>
          <w:sz w:val="24"/>
          <w:szCs w:val="24"/>
        </w:rPr>
        <w:t xml:space="preserve">  în România și în alte țări, în universitățile publice față de universitățile private.</w:t>
      </w:r>
    </w:p>
    <w:p w:rsidR="00C041AB" w:rsidRPr="002F202A" w:rsidRDefault="00C041AB" w:rsidP="000C6A67">
      <w:pPr>
        <w:spacing w:after="0" w:line="240" w:lineRule="auto"/>
        <w:ind w:firstLine="720"/>
        <w:jc w:val="both"/>
        <w:rPr>
          <w:rFonts w:ascii="Arial" w:hAnsi="Arial" w:cs="Arial"/>
          <w:sz w:val="24"/>
          <w:szCs w:val="24"/>
        </w:rPr>
      </w:pPr>
      <w:r w:rsidRPr="002F202A">
        <w:rPr>
          <w:rFonts w:ascii="Arial" w:hAnsi="Arial" w:cs="Arial"/>
          <w:sz w:val="24"/>
          <w:szCs w:val="24"/>
        </w:rPr>
        <w:t>Analiza situației la învățătură a studenților la nivel național la sfârșitul anului 2015-2016  evidențiază că din total studenților în învățământul superior, 63% sunt integraliști, 29,7% sunt promovati prin credite și 7,3% sunt repetenți cu situație școlară. În învățământul seral la universitățile publice avem 5,6% studenti integraliști și 94,4% de studenți repetenti cu situație scolară neîncheiață. În cazul învățământul la distanță promovabilitatea studenților este de cca 89% atat la universitățile publice cât și la cele private. Învățămîntul cu frecvență redusa în universitățile publice are  47%  studenți integraliști  și 47,2% studenți promovați prin credite față de 55,7% studenți integraliști și 32,4% studenți promovați prin credite la universitățile private.</w:t>
      </w:r>
    </w:p>
    <w:p w:rsidR="00FE7DCF" w:rsidRPr="00597FB2" w:rsidRDefault="00FE7DCF" w:rsidP="000C6A67">
      <w:pPr>
        <w:spacing w:after="0" w:line="240" w:lineRule="auto"/>
        <w:jc w:val="both"/>
        <w:rPr>
          <w:rFonts w:ascii="Arial" w:hAnsi="Arial" w:cs="Arial"/>
          <w:bCs/>
          <w:sz w:val="24"/>
          <w:szCs w:val="24"/>
        </w:rPr>
      </w:pPr>
      <w:r w:rsidRPr="00597FB2">
        <w:rPr>
          <w:rFonts w:ascii="Arial" w:hAnsi="Arial" w:cs="Arial"/>
          <w:bCs/>
          <w:sz w:val="24"/>
          <w:szCs w:val="24"/>
        </w:rPr>
        <w:lastRenderedPageBreak/>
        <w:t xml:space="preserve"> </w:t>
      </w:r>
    </w:p>
    <w:p w:rsidR="00FE7DCF" w:rsidRPr="00597FB2" w:rsidRDefault="00FE7DCF" w:rsidP="0029759D">
      <w:pPr>
        <w:spacing w:after="0" w:line="240" w:lineRule="auto"/>
        <w:jc w:val="both"/>
        <w:rPr>
          <w:rFonts w:ascii="Arial" w:hAnsi="Arial" w:cs="Arial"/>
          <w:b/>
          <w:bCs/>
          <w:sz w:val="24"/>
          <w:szCs w:val="24"/>
        </w:rPr>
      </w:pPr>
      <w:r w:rsidRPr="00597FB2">
        <w:rPr>
          <w:rFonts w:ascii="Arial" w:hAnsi="Arial" w:cs="Arial"/>
          <w:b/>
          <w:bCs/>
          <w:sz w:val="24"/>
          <w:szCs w:val="24"/>
        </w:rPr>
        <w:t>2.2. Implicaţiile evoluţiilor demografice pentru învă</w:t>
      </w:r>
      <w:r w:rsidR="00597FB2" w:rsidRPr="00597FB2">
        <w:rPr>
          <w:rFonts w:ascii="Arial" w:hAnsi="Arial" w:cs="Arial"/>
          <w:b/>
          <w:bCs/>
          <w:sz w:val="24"/>
          <w:szCs w:val="24"/>
        </w:rPr>
        <w:t xml:space="preserve">ţământul superior - </w:t>
      </w:r>
    </w:p>
    <w:p w:rsidR="00FE7DCF" w:rsidRPr="00597FB2" w:rsidRDefault="00FE7DCF" w:rsidP="0029759D">
      <w:pPr>
        <w:spacing w:after="0" w:line="240" w:lineRule="auto"/>
        <w:jc w:val="both"/>
        <w:rPr>
          <w:rStyle w:val="Normal1"/>
          <w:rFonts w:ascii="Arial" w:hAnsi="Arial" w:cs="Arial"/>
          <w:b/>
          <w:bCs/>
          <w:sz w:val="24"/>
          <w:szCs w:val="24"/>
          <w:u w:val="single"/>
        </w:rPr>
      </w:pPr>
      <w:r w:rsidRPr="00597FB2">
        <w:rPr>
          <w:rStyle w:val="Normal1"/>
          <w:rFonts w:ascii="Arial" w:hAnsi="Arial" w:cs="Arial"/>
          <w:sz w:val="24"/>
          <w:szCs w:val="24"/>
          <w:u w:val="single"/>
        </w:rPr>
        <w:t>2. Pr</w:t>
      </w:r>
      <w:r w:rsidR="00597FB2" w:rsidRPr="00597FB2">
        <w:rPr>
          <w:rStyle w:val="Normal1"/>
          <w:rFonts w:ascii="Arial" w:hAnsi="Arial" w:cs="Arial"/>
          <w:sz w:val="24"/>
          <w:szCs w:val="24"/>
          <w:u w:val="single"/>
        </w:rPr>
        <w:t xml:space="preserve">ofilul economic al regiunii Vest </w:t>
      </w:r>
      <w:r w:rsidRPr="00597FB2">
        <w:rPr>
          <w:rStyle w:val="Normal1"/>
          <w:rFonts w:ascii="Arial" w:hAnsi="Arial" w:cs="Arial"/>
          <w:sz w:val="24"/>
          <w:szCs w:val="24"/>
          <w:u w:val="single"/>
        </w:rPr>
        <w:t>din perspectiva învăţământului superior</w:t>
      </w:r>
    </w:p>
    <w:p w:rsidR="00FE7DCF" w:rsidRPr="00597FB2" w:rsidRDefault="00FE7DCF" w:rsidP="0029759D">
      <w:pPr>
        <w:spacing w:after="0" w:line="240" w:lineRule="auto"/>
        <w:jc w:val="both"/>
        <w:rPr>
          <w:rFonts w:ascii="Arial" w:hAnsi="Arial" w:cs="Arial"/>
          <w:b/>
          <w:bCs/>
          <w:sz w:val="24"/>
          <w:szCs w:val="24"/>
        </w:rPr>
      </w:pPr>
      <w:r w:rsidRPr="00597FB2">
        <w:rPr>
          <w:rFonts w:ascii="Arial" w:hAnsi="Arial" w:cs="Arial"/>
          <w:b/>
          <w:bCs/>
          <w:sz w:val="24"/>
          <w:szCs w:val="24"/>
        </w:rPr>
        <w:t xml:space="preserve">2.1. Analiza evoluţiilor şi prognozelor economice </w:t>
      </w:r>
      <w:r w:rsidRPr="00597FB2">
        <w:rPr>
          <w:rFonts w:ascii="Arial" w:hAnsi="Arial" w:cs="Arial"/>
          <w:bCs/>
          <w:sz w:val="24"/>
          <w:szCs w:val="24"/>
        </w:rPr>
        <w:t xml:space="preserve"> </w:t>
      </w:r>
    </w:p>
    <w:p w:rsidR="00FE7DCF" w:rsidRPr="00597FB2" w:rsidRDefault="00FE7DCF" w:rsidP="0029759D">
      <w:pPr>
        <w:spacing w:after="0" w:line="240" w:lineRule="auto"/>
        <w:jc w:val="both"/>
        <w:rPr>
          <w:rFonts w:ascii="Arial" w:hAnsi="Arial" w:cs="Arial"/>
          <w:b/>
          <w:bCs/>
          <w:sz w:val="24"/>
          <w:szCs w:val="24"/>
        </w:rPr>
      </w:pPr>
      <w:r w:rsidRPr="00597FB2">
        <w:rPr>
          <w:rFonts w:ascii="Arial" w:hAnsi="Arial" w:cs="Arial"/>
          <w:b/>
          <w:bCs/>
          <w:sz w:val="24"/>
          <w:szCs w:val="24"/>
        </w:rPr>
        <w:t xml:space="preserve">2.2. Implicaţiile evoluţiilor economice pentru învăţământul superior - </w:t>
      </w:r>
    </w:p>
    <w:p w:rsidR="00C041AB" w:rsidRPr="002F202A" w:rsidRDefault="00C041AB" w:rsidP="0029759D">
      <w:pPr>
        <w:spacing w:after="0" w:line="240" w:lineRule="auto"/>
        <w:jc w:val="both"/>
        <w:rPr>
          <w:rFonts w:ascii="Arial" w:hAnsi="Arial" w:cs="Arial"/>
          <w:sz w:val="24"/>
          <w:szCs w:val="24"/>
        </w:rPr>
      </w:pPr>
      <w:r w:rsidRPr="000C12E4">
        <w:rPr>
          <w:rFonts w:ascii="Arial" w:hAnsi="Arial" w:cs="Arial"/>
          <w:b/>
          <w:sz w:val="24"/>
          <w:szCs w:val="24"/>
        </w:rPr>
        <w:t>Studenții promovati și absolvenți</w:t>
      </w:r>
      <w:r w:rsidRPr="002F202A">
        <w:rPr>
          <w:rFonts w:ascii="Arial" w:hAnsi="Arial" w:cs="Arial"/>
          <w:sz w:val="24"/>
          <w:szCs w:val="24"/>
        </w:rPr>
        <w:t xml:space="preserve"> în învățământul universitar de licență sunt 347</w:t>
      </w:r>
      <w:r w:rsidR="00E3550C">
        <w:rPr>
          <w:rFonts w:ascii="Arial" w:hAnsi="Arial" w:cs="Arial"/>
          <w:sz w:val="24"/>
          <w:szCs w:val="24"/>
        </w:rPr>
        <w:t>.</w:t>
      </w:r>
      <w:r w:rsidRPr="002F202A">
        <w:rPr>
          <w:rFonts w:ascii="Arial" w:hAnsi="Arial" w:cs="Arial"/>
          <w:sz w:val="24"/>
          <w:szCs w:val="24"/>
        </w:rPr>
        <w:t>396, la nivel de țară,  în funcție de domeniile de specializare, dupa cum urmează:</w:t>
      </w:r>
    </w:p>
    <w:p w:rsidR="00C041AB" w:rsidRPr="002F202A" w:rsidRDefault="00C041AB" w:rsidP="0029759D">
      <w:pPr>
        <w:spacing w:after="0" w:line="240" w:lineRule="auto"/>
        <w:jc w:val="both"/>
        <w:rPr>
          <w:rFonts w:ascii="Arial" w:hAnsi="Arial" w:cs="Arial"/>
          <w:sz w:val="24"/>
          <w:szCs w:val="24"/>
        </w:rPr>
      </w:pPr>
      <w:r w:rsidRPr="004D0173">
        <w:rPr>
          <w:rFonts w:ascii="Arial" w:hAnsi="Arial" w:cs="Arial"/>
          <w:b/>
          <w:i/>
          <w:sz w:val="24"/>
          <w:szCs w:val="24"/>
        </w:rPr>
        <w:t>Educație</w:t>
      </w:r>
      <w:r w:rsidRPr="004D0173">
        <w:rPr>
          <w:rFonts w:ascii="Arial" w:hAnsi="Arial" w:cs="Arial"/>
          <w:b/>
          <w:sz w:val="24"/>
          <w:szCs w:val="24"/>
        </w:rPr>
        <w:t xml:space="preserve"> </w:t>
      </w:r>
      <w:r w:rsidRPr="002F202A">
        <w:rPr>
          <w:rFonts w:ascii="Arial" w:hAnsi="Arial" w:cs="Arial"/>
          <w:sz w:val="24"/>
          <w:szCs w:val="24"/>
        </w:rPr>
        <w:t>10</w:t>
      </w:r>
      <w:r w:rsidR="00E3550C">
        <w:rPr>
          <w:rFonts w:ascii="Arial" w:hAnsi="Arial" w:cs="Arial"/>
          <w:sz w:val="24"/>
          <w:szCs w:val="24"/>
        </w:rPr>
        <w:t>.</w:t>
      </w:r>
      <w:r w:rsidRPr="002F202A">
        <w:rPr>
          <w:rFonts w:ascii="Arial" w:hAnsi="Arial" w:cs="Arial"/>
          <w:sz w:val="24"/>
          <w:szCs w:val="24"/>
        </w:rPr>
        <w:t>957 studenți dintre care 3</w:t>
      </w:r>
      <w:r w:rsidR="00E3550C">
        <w:rPr>
          <w:rFonts w:ascii="Arial" w:hAnsi="Arial" w:cs="Arial"/>
          <w:sz w:val="24"/>
          <w:szCs w:val="24"/>
        </w:rPr>
        <w:t>.</w:t>
      </w:r>
      <w:r w:rsidRPr="002F202A">
        <w:rPr>
          <w:rFonts w:ascii="Arial" w:hAnsi="Arial" w:cs="Arial"/>
          <w:sz w:val="24"/>
          <w:szCs w:val="24"/>
        </w:rPr>
        <w:t xml:space="preserve">394 sunt absolvenți, </w:t>
      </w:r>
    </w:p>
    <w:p w:rsidR="00C041AB" w:rsidRPr="002F202A" w:rsidRDefault="00C041AB" w:rsidP="0029759D">
      <w:pPr>
        <w:spacing w:after="0" w:line="240" w:lineRule="auto"/>
        <w:jc w:val="both"/>
        <w:rPr>
          <w:rFonts w:ascii="Arial" w:hAnsi="Arial" w:cs="Arial"/>
          <w:sz w:val="24"/>
          <w:szCs w:val="24"/>
        </w:rPr>
      </w:pPr>
      <w:r w:rsidRPr="002F202A">
        <w:rPr>
          <w:rFonts w:ascii="Arial" w:hAnsi="Arial" w:cs="Arial"/>
          <w:sz w:val="24"/>
          <w:szCs w:val="24"/>
        </w:rPr>
        <w:t xml:space="preserve"> </w:t>
      </w:r>
      <w:r w:rsidRPr="004D0173">
        <w:rPr>
          <w:rFonts w:ascii="Arial" w:hAnsi="Arial" w:cs="Arial"/>
          <w:b/>
          <w:i/>
          <w:sz w:val="24"/>
          <w:szCs w:val="24"/>
        </w:rPr>
        <w:t>Arte și științe umaniste</w:t>
      </w:r>
      <w:r w:rsidR="00E3550C">
        <w:rPr>
          <w:rFonts w:ascii="Arial" w:hAnsi="Arial" w:cs="Arial"/>
          <w:sz w:val="24"/>
          <w:szCs w:val="24"/>
        </w:rPr>
        <w:t xml:space="preserve">  29.</w:t>
      </w:r>
      <w:r w:rsidRPr="002F202A">
        <w:rPr>
          <w:rFonts w:ascii="Arial" w:hAnsi="Arial" w:cs="Arial"/>
          <w:sz w:val="24"/>
          <w:szCs w:val="24"/>
        </w:rPr>
        <w:t>710 studenți dintre care 7</w:t>
      </w:r>
      <w:r w:rsidR="00E3550C">
        <w:rPr>
          <w:rFonts w:ascii="Arial" w:hAnsi="Arial" w:cs="Arial"/>
          <w:sz w:val="24"/>
          <w:szCs w:val="24"/>
        </w:rPr>
        <w:t>.</w:t>
      </w:r>
      <w:r w:rsidRPr="002F202A">
        <w:rPr>
          <w:rFonts w:ascii="Arial" w:hAnsi="Arial" w:cs="Arial"/>
          <w:sz w:val="24"/>
          <w:szCs w:val="24"/>
        </w:rPr>
        <w:t>755 sunt absolvenți,</w:t>
      </w:r>
    </w:p>
    <w:p w:rsidR="00C041AB" w:rsidRPr="002F202A" w:rsidRDefault="00C041AB" w:rsidP="0029759D">
      <w:pPr>
        <w:spacing w:after="0" w:line="240" w:lineRule="auto"/>
        <w:jc w:val="both"/>
        <w:rPr>
          <w:rFonts w:ascii="Arial" w:hAnsi="Arial" w:cs="Arial"/>
          <w:sz w:val="24"/>
          <w:szCs w:val="24"/>
        </w:rPr>
      </w:pPr>
      <w:r w:rsidRPr="004D0173">
        <w:rPr>
          <w:rFonts w:ascii="Arial" w:hAnsi="Arial" w:cs="Arial"/>
          <w:b/>
          <w:i/>
          <w:sz w:val="24"/>
          <w:szCs w:val="24"/>
        </w:rPr>
        <w:t>Științe sociale,</w:t>
      </w:r>
      <w:r w:rsidR="00E3550C">
        <w:rPr>
          <w:rFonts w:ascii="Arial" w:hAnsi="Arial" w:cs="Arial"/>
          <w:b/>
          <w:i/>
          <w:sz w:val="24"/>
          <w:szCs w:val="24"/>
        </w:rPr>
        <w:t xml:space="preserve"> </w:t>
      </w:r>
      <w:r w:rsidRPr="004D0173">
        <w:rPr>
          <w:rFonts w:ascii="Arial" w:hAnsi="Arial" w:cs="Arial"/>
          <w:b/>
          <w:i/>
          <w:sz w:val="24"/>
          <w:szCs w:val="24"/>
        </w:rPr>
        <w:t>jurnalism și informații</w:t>
      </w:r>
      <w:r w:rsidRPr="002F202A">
        <w:rPr>
          <w:rFonts w:ascii="Arial" w:hAnsi="Arial" w:cs="Arial"/>
          <w:sz w:val="24"/>
          <w:szCs w:val="24"/>
        </w:rPr>
        <w:t xml:space="preserve"> 26</w:t>
      </w:r>
      <w:r w:rsidR="00E3550C">
        <w:rPr>
          <w:rFonts w:ascii="Arial" w:hAnsi="Arial" w:cs="Arial"/>
          <w:sz w:val="24"/>
          <w:szCs w:val="24"/>
        </w:rPr>
        <w:t>.</w:t>
      </w:r>
      <w:r w:rsidRPr="002F202A">
        <w:rPr>
          <w:rFonts w:ascii="Arial" w:hAnsi="Arial" w:cs="Arial"/>
          <w:sz w:val="24"/>
          <w:szCs w:val="24"/>
        </w:rPr>
        <w:t>457 studenți dint</w:t>
      </w:r>
      <w:r w:rsidR="00E3550C">
        <w:rPr>
          <w:rFonts w:ascii="Arial" w:hAnsi="Arial" w:cs="Arial"/>
          <w:sz w:val="24"/>
          <w:szCs w:val="24"/>
        </w:rPr>
        <w:t>re care 7.</w:t>
      </w:r>
      <w:r w:rsidRPr="002F202A">
        <w:rPr>
          <w:rFonts w:ascii="Arial" w:hAnsi="Arial" w:cs="Arial"/>
          <w:sz w:val="24"/>
          <w:szCs w:val="24"/>
        </w:rPr>
        <w:t>564 sunt absolvenți,</w:t>
      </w:r>
    </w:p>
    <w:p w:rsidR="00C041AB" w:rsidRPr="002F202A" w:rsidRDefault="00C041AB" w:rsidP="0029759D">
      <w:pPr>
        <w:spacing w:after="0" w:line="240" w:lineRule="auto"/>
        <w:jc w:val="both"/>
        <w:rPr>
          <w:rFonts w:ascii="Arial" w:hAnsi="Arial" w:cs="Arial"/>
          <w:sz w:val="24"/>
          <w:szCs w:val="24"/>
        </w:rPr>
      </w:pPr>
      <w:r w:rsidRPr="004D0173">
        <w:rPr>
          <w:rFonts w:ascii="Arial" w:hAnsi="Arial" w:cs="Arial"/>
          <w:b/>
          <w:i/>
          <w:sz w:val="24"/>
          <w:szCs w:val="24"/>
        </w:rPr>
        <w:t>Afaceri,administrație și drept</w:t>
      </w:r>
      <w:r w:rsidR="00E3550C">
        <w:rPr>
          <w:rFonts w:ascii="Arial" w:hAnsi="Arial" w:cs="Arial"/>
          <w:sz w:val="24"/>
          <w:szCs w:val="24"/>
        </w:rPr>
        <w:t xml:space="preserve"> 80.785 studenți  dintre care 22.</w:t>
      </w:r>
      <w:r w:rsidRPr="002F202A">
        <w:rPr>
          <w:rFonts w:ascii="Arial" w:hAnsi="Arial" w:cs="Arial"/>
          <w:sz w:val="24"/>
          <w:szCs w:val="24"/>
        </w:rPr>
        <w:t>058 sunt absolvenți,</w:t>
      </w:r>
    </w:p>
    <w:p w:rsidR="00C041AB" w:rsidRPr="002F202A" w:rsidRDefault="00C041AB" w:rsidP="0029759D">
      <w:pPr>
        <w:spacing w:after="0" w:line="240" w:lineRule="auto"/>
        <w:jc w:val="both"/>
        <w:rPr>
          <w:rFonts w:ascii="Arial" w:hAnsi="Arial" w:cs="Arial"/>
          <w:sz w:val="24"/>
          <w:szCs w:val="24"/>
        </w:rPr>
      </w:pPr>
      <w:r w:rsidRPr="004D0173">
        <w:rPr>
          <w:rFonts w:ascii="Arial" w:hAnsi="Arial" w:cs="Arial"/>
          <w:b/>
          <w:i/>
          <w:sz w:val="24"/>
          <w:szCs w:val="24"/>
        </w:rPr>
        <w:t>Științe natural,matematică și statistică</w:t>
      </w:r>
      <w:r w:rsidR="00E3550C">
        <w:rPr>
          <w:rFonts w:ascii="Arial" w:hAnsi="Arial" w:cs="Arial"/>
          <w:sz w:val="24"/>
          <w:szCs w:val="24"/>
        </w:rPr>
        <w:t xml:space="preserve">  15.903 studenți dintre care 4.</w:t>
      </w:r>
      <w:r w:rsidRPr="002F202A">
        <w:rPr>
          <w:rFonts w:ascii="Arial" w:hAnsi="Arial" w:cs="Arial"/>
          <w:sz w:val="24"/>
          <w:szCs w:val="24"/>
        </w:rPr>
        <w:t>275 sunt absolvenți,</w:t>
      </w:r>
    </w:p>
    <w:p w:rsidR="00C041AB" w:rsidRPr="002F202A" w:rsidRDefault="00C041AB" w:rsidP="0029759D">
      <w:pPr>
        <w:spacing w:after="0" w:line="240" w:lineRule="auto"/>
        <w:jc w:val="both"/>
        <w:rPr>
          <w:rFonts w:ascii="Arial" w:hAnsi="Arial" w:cs="Arial"/>
          <w:sz w:val="24"/>
          <w:szCs w:val="24"/>
        </w:rPr>
      </w:pPr>
      <w:r w:rsidRPr="004D0173">
        <w:rPr>
          <w:rFonts w:ascii="Arial" w:hAnsi="Arial" w:cs="Arial"/>
          <w:b/>
          <w:i/>
          <w:sz w:val="24"/>
          <w:szCs w:val="24"/>
        </w:rPr>
        <w:t>Tehnologia informației și comunicații</w:t>
      </w:r>
      <w:r w:rsidRPr="002F202A">
        <w:rPr>
          <w:rFonts w:ascii="Arial" w:hAnsi="Arial" w:cs="Arial"/>
          <w:i/>
          <w:sz w:val="24"/>
          <w:szCs w:val="24"/>
        </w:rPr>
        <w:t xml:space="preserve"> (TIC)</w:t>
      </w:r>
      <w:r w:rsidR="00E3550C">
        <w:rPr>
          <w:rFonts w:ascii="Arial" w:hAnsi="Arial" w:cs="Arial"/>
          <w:sz w:val="24"/>
          <w:szCs w:val="24"/>
        </w:rPr>
        <w:t xml:space="preserve">  21.161 studenți dintre care 4.</w:t>
      </w:r>
      <w:r w:rsidRPr="002F202A">
        <w:rPr>
          <w:rFonts w:ascii="Arial" w:hAnsi="Arial" w:cs="Arial"/>
          <w:sz w:val="24"/>
          <w:szCs w:val="24"/>
        </w:rPr>
        <w:t>439 sunt absolvenți,</w:t>
      </w:r>
    </w:p>
    <w:p w:rsidR="00C041AB" w:rsidRPr="002F202A" w:rsidRDefault="00C041AB" w:rsidP="0029759D">
      <w:pPr>
        <w:spacing w:after="0" w:line="240" w:lineRule="auto"/>
        <w:jc w:val="both"/>
        <w:rPr>
          <w:rFonts w:ascii="Arial" w:hAnsi="Arial" w:cs="Arial"/>
          <w:sz w:val="24"/>
          <w:szCs w:val="24"/>
        </w:rPr>
      </w:pPr>
      <w:r w:rsidRPr="004D0173">
        <w:rPr>
          <w:rFonts w:ascii="Arial" w:hAnsi="Arial" w:cs="Arial"/>
          <w:b/>
          <w:i/>
          <w:sz w:val="24"/>
          <w:szCs w:val="24"/>
        </w:rPr>
        <w:t>Inginerie, prelucrări și construcții</w:t>
      </w:r>
      <w:r w:rsidRPr="002F202A">
        <w:rPr>
          <w:rFonts w:ascii="Arial" w:hAnsi="Arial" w:cs="Arial"/>
          <w:sz w:val="24"/>
          <w:szCs w:val="24"/>
        </w:rPr>
        <w:t xml:space="preserve"> </w:t>
      </w:r>
      <w:r w:rsidR="00E3550C">
        <w:rPr>
          <w:rFonts w:ascii="Arial" w:hAnsi="Arial" w:cs="Arial"/>
          <w:sz w:val="24"/>
          <w:szCs w:val="24"/>
        </w:rPr>
        <w:t xml:space="preserve"> 70.598 studenți dintre care 14.</w:t>
      </w:r>
      <w:r w:rsidRPr="002F202A">
        <w:rPr>
          <w:rFonts w:ascii="Arial" w:hAnsi="Arial" w:cs="Arial"/>
          <w:sz w:val="24"/>
          <w:szCs w:val="24"/>
        </w:rPr>
        <w:t>403 sunt absolvenți,</w:t>
      </w:r>
    </w:p>
    <w:p w:rsidR="00E3550C" w:rsidRDefault="00C041AB" w:rsidP="0029759D">
      <w:pPr>
        <w:spacing w:after="0" w:line="240" w:lineRule="auto"/>
        <w:jc w:val="both"/>
        <w:rPr>
          <w:rFonts w:ascii="Arial" w:hAnsi="Arial" w:cs="Arial"/>
          <w:sz w:val="24"/>
          <w:szCs w:val="24"/>
        </w:rPr>
      </w:pPr>
      <w:r w:rsidRPr="004D0173">
        <w:rPr>
          <w:rFonts w:ascii="Arial" w:hAnsi="Arial" w:cs="Arial"/>
          <w:b/>
          <w:i/>
          <w:sz w:val="24"/>
          <w:szCs w:val="24"/>
        </w:rPr>
        <w:t>Agricultură, silvicultură, piscicultură</w:t>
      </w:r>
      <w:r w:rsidRPr="002F202A">
        <w:rPr>
          <w:rFonts w:ascii="Arial" w:hAnsi="Arial" w:cs="Arial"/>
          <w:i/>
          <w:sz w:val="24"/>
          <w:szCs w:val="24"/>
        </w:rPr>
        <w:t xml:space="preserve"> și știinte veterinare</w:t>
      </w:r>
      <w:r w:rsidR="00E3550C">
        <w:rPr>
          <w:rFonts w:ascii="Arial" w:hAnsi="Arial" w:cs="Arial"/>
          <w:sz w:val="24"/>
          <w:szCs w:val="24"/>
        </w:rPr>
        <w:t xml:space="preserve"> 60.</w:t>
      </w:r>
      <w:r w:rsidRPr="002F202A">
        <w:rPr>
          <w:rFonts w:ascii="Arial" w:hAnsi="Arial" w:cs="Arial"/>
          <w:sz w:val="24"/>
          <w:szCs w:val="24"/>
        </w:rPr>
        <w:t xml:space="preserve">441 studenți dintre care </w:t>
      </w:r>
    </w:p>
    <w:p w:rsidR="00C041AB" w:rsidRPr="002F202A" w:rsidRDefault="00E3550C" w:rsidP="0029759D">
      <w:pPr>
        <w:spacing w:after="0" w:line="240" w:lineRule="auto"/>
        <w:jc w:val="both"/>
        <w:rPr>
          <w:rFonts w:ascii="Arial" w:hAnsi="Arial" w:cs="Arial"/>
          <w:sz w:val="24"/>
          <w:szCs w:val="24"/>
        </w:rPr>
      </w:pPr>
      <w:r>
        <w:rPr>
          <w:rFonts w:ascii="Arial" w:hAnsi="Arial" w:cs="Arial"/>
          <w:sz w:val="24"/>
          <w:szCs w:val="24"/>
        </w:rPr>
        <w:t>3.</w:t>
      </w:r>
      <w:r w:rsidR="00C041AB" w:rsidRPr="002F202A">
        <w:rPr>
          <w:rFonts w:ascii="Arial" w:hAnsi="Arial" w:cs="Arial"/>
          <w:sz w:val="24"/>
          <w:szCs w:val="24"/>
        </w:rPr>
        <w:t>762 sunt absolvenți,</w:t>
      </w:r>
    </w:p>
    <w:p w:rsidR="00C041AB" w:rsidRPr="002F202A" w:rsidRDefault="00C041AB" w:rsidP="0029759D">
      <w:pPr>
        <w:spacing w:after="0" w:line="240" w:lineRule="auto"/>
        <w:jc w:val="both"/>
        <w:rPr>
          <w:rFonts w:ascii="Arial" w:hAnsi="Arial" w:cs="Arial"/>
          <w:sz w:val="24"/>
          <w:szCs w:val="24"/>
        </w:rPr>
      </w:pPr>
      <w:r w:rsidRPr="004D0173">
        <w:rPr>
          <w:rFonts w:ascii="Arial" w:hAnsi="Arial" w:cs="Arial"/>
          <w:b/>
          <w:i/>
          <w:sz w:val="24"/>
          <w:szCs w:val="24"/>
        </w:rPr>
        <w:t>Sănătate și asistență socială</w:t>
      </w:r>
      <w:r w:rsidR="00E3550C">
        <w:rPr>
          <w:rFonts w:ascii="Arial" w:hAnsi="Arial" w:cs="Arial"/>
          <w:sz w:val="24"/>
          <w:szCs w:val="24"/>
        </w:rPr>
        <w:t xml:space="preserve">  60.441 studenți dintre care 11.</w:t>
      </w:r>
      <w:r w:rsidRPr="002F202A">
        <w:rPr>
          <w:rFonts w:ascii="Arial" w:hAnsi="Arial" w:cs="Arial"/>
          <w:sz w:val="24"/>
          <w:szCs w:val="24"/>
        </w:rPr>
        <w:t>262 sunt absolvenți,</w:t>
      </w:r>
    </w:p>
    <w:p w:rsidR="00C041AB" w:rsidRPr="002F202A" w:rsidRDefault="00C041AB" w:rsidP="0029759D">
      <w:pPr>
        <w:spacing w:after="0" w:line="240" w:lineRule="auto"/>
        <w:jc w:val="both"/>
        <w:rPr>
          <w:rFonts w:ascii="Arial" w:hAnsi="Arial" w:cs="Arial"/>
          <w:sz w:val="24"/>
          <w:szCs w:val="24"/>
        </w:rPr>
      </w:pPr>
      <w:r w:rsidRPr="004D0173">
        <w:rPr>
          <w:rFonts w:ascii="Arial" w:hAnsi="Arial" w:cs="Arial"/>
          <w:b/>
          <w:i/>
          <w:sz w:val="24"/>
          <w:szCs w:val="24"/>
        </w:rPr>
        <w:t>Servicii</w:t>
      </w:r>
      <w:r w:rsidRPr="004D0173">
        <w:rPr>
          <w:rFonts w:ascii="Arial" w:hAnsi="Arial" w:cs="Arial"/>
          <w:b/>
          <w:sz w:val="24"/>
          <w:szCs w:val="24"/>
        </w:rPr>
        <w:t xml:space="preserve">  </w:t>
      </w:r>
      <w:r w:rsidR="00E3550C">
        <w:rPr>
          <w:rFonts w:ascii="Arial" w:hAnsi="Arial" w:cs="Arial"/>
          <w:sz w:val="24"/>
          <w:szCs w:val="24"/>
        </w:rPr>
        <w:t>13.103 studenți dintre care 14.</w:t>
      </w:r>
      <w:r w:rsidRPr="002F202A">
        <w:rPr>
          <w:rFonts w:ascii="Arial" w:hAnsi="Arial" w:cs="Arial"/>
          <w:sz w:val="24"/>
          <w:szCs w:val="24"/>
        </w:rPr>
        <w:t>403 sunt absolvenți</w:t>
      </w:r>
      <w:r w:rsidR="00E3550C">
        <w:rPr>
          <w:rFonts w:ascii="Arial" w:hAnsi="Arial" w:cs="Arial"/>
          <w:sz w:val="24"/>
          <w:szCs w:val="24"/>
        </w:rPr>
        <w:t>.</w:t>
      </w:r>
    </w:p>
    <w:p w:rsidR="00C041AB" w:rsidRDefault="00C041AB" w:rsidP="00E53080">
      <w:pPr>
        <w:spacing w:after="0" w:line="240" w:lineRule="auto"/>
        <w:jc w:val="both"/>
        <w:rPr>
          <w:rStyle w:val="Normal1"/>
          <w:rFonts w:ascii="Arial" w:hAnsi="Arial" w:cs="Arial"/>
          <w:sz w:val="24"/>
          <w:szCs w:val="24"/>
          <w:u w:val="single"/>
        </w:rPr>
      </w:pPr>
    </w:p>
    <w:p w:rsidR="00FE7DCF" w:rsidRPr="00597FB2" w:rsidRDefault="00FE7DCF" w:rsidP="00E53080">
      <w:pPr>
        <w:spacing w:after="0" w:line="240" w:lineRule="auto"/>
        <w:jc w:val="both"/>
        <w:rPr>
          <w:rStyle w:val="Normal1"/>
          <w:rFonts w:ascii="Arial" w:hAnsi="Arial" w:cs="Arial"/>
          <w:b/>
          <w:bCs/>
          <w:sz w:val="24"/>
          <w:szCs w:val="24"/>
          <w:u w:val="single"/>
        </w:rPr>
      </w:pPr>
      <w:r w:rsidRPr="004D0173">
        <w:rPr>
          <w:rStyle w:val="Normal1"/>
          <w:rFonts w:ascii="Arial" w:hAnsi="Arial" w:cs="Arial"/>
          <w:sz w:val="24"/>
          <w:szCs w:val="24"/>
          <w:u w:val="single"/>
        </w:rPr>
        <w:t>3. Prof</w:t>
      </w:r>
      <w:r w:rsidR="00C041AB" w:rsidRPr="004D0173">
        <w:rPr>
          <w:rStyle w:val="Normal1"/>
          <w:rFonts w:ascii="Arial" w:hAnsi="Arial" w:cs="Arial"/>
          <w:sz w:val="24"/>
          <w:szCs w:val="24"/>
          <w:u w:val="single"/>
        </w:rPr>
        <w:t>ilul de</w:t>
      </w:r>
      <w:r w:rsidR="00C041AB">
        <w:rPr>
          <w:rStyle w:val="Normal1"/>
          <w:rFonts w:ascii="Arial" w:hAnsi="Arial" w:cs="Arial"/>
          <w:sz w:val="24"/>
          <w:szCs w:val="24"/>
          <w:u w:val="single"/>
        </w:rPr>
        <w:t xml:space="preserve"> piaţa muncii al regiunii Vest </w:t>
      </w:r>
      <w:r w:rsidRPr="00597FB2">
        <w:rPr>
          <w:rStyle w:val="Normal1"/>
          <w:rFonts w:ascii="Arial" w:hAnsi="Arial" w:cs="Arial"/>
          <w:sz w:val="24"/>
          <w:szCs w:val="24"/>
          <w:u w:val="single"/>
        </w:rPr>
        <w:t>din perspectiva învăţământului superior</w:t>
      </w:r>
    </w:p>
    <w:p w:rsidR="00FE7DCF" w:rsidRPr="00597FB2" w:rsidRDefault="00FE7DCF" w:rsidP="00E53080">
      <w:pPr>
        <w:spacing w:after="0" w:line="240" w:lineRule="auto"/>
        <w:jc w:val="both"/>
        <w:rPr>
          <w:rFonts w:ascii="Arial" w:hAnsi="Arial" w:cs="Arial"/>
          <w:b/>
          <w:bCs/>
          <w:sz w:val="24"/>
          <w:szCs w:val="24"/>
        </w:rPr>
      </w:pPr>
      <w:r w:rsidRPr="00597FB2">
        <w:rPr>
          <w:rFonts w:ascii="Arial" w:hAnsi="Arial" w:cs="Arial"/>
          <w:b/>
          <w:bCs/>
          <w:sz w:val="24"/>
          <w:szCs w:val="24"/>
        </w:rPr>
        <w:t xml:space="preserve">3.1. Analiza evoluţiilor şi prognozelor privind piaţa muncii  </w:t>
      </w:r>
    </w:p>
    <w:p w:rsidR="00FE7DCF" w:rsidRDefault="00FE7DCF" w:rsidP="00E53080">
      <w:pPr>
        <w:spacing w:after="0" w:line="240" w:lineRule="auto"/>
        <w:jc w:val="both"/>
        <w:rPr>
          <w:rFonts w:ascii="Arial" w:hAnsi="Arial" w:cs="Arial"/>
          <w:b/>
          <w:bCs/>
          <w:sz w:val="24"/>
          <w:szCs w:val="24"/>
        </w:rPr>
      </w:pPr>
      <w:r w:rsidRPr="00597FB2">
        <w:rPr>
          <w:rFonts w:ascii="Arial" w:hAnsi="Arial" w:cs="Arial"/>
          <w:b/>
          <w:bCs/>
          <w:sz w:val="24"/>
          <w:szCs w:val="24"/>
        </w:rPr>
        <w:t xml:space="preserve">3.2. Implicaţiile evoluţiilor pieţei muncii pentru învăţământul superior </w:t>
      </w:r>
    </w:p>
    <w:p w:rsidR="004670DC" w:rsidRPr="002F202A" w:rsidRDefault="004670DC" w:rsidP="00E53080">
      <w:pPr>
        <w:tabs>
          <w:tab w:val="left" w:pos="8579"/>
        </w:tabs>
        <w:spacing w:after="0" w:line="240" w:lineRule="auto"/>
        <w:jc w:val="both"/>
        <w:rPr>
          <w:rFonts w:ascii="Arial" w:hAnsi="Arial" w:cs="Arial"/>
          <w:sz w:val="24"/>
          <w:szCs w:val="24"/>
        </w:rPr>
      </w:pPr>
      <w:r w:rsidRPr="004670DC">
        <w:rPr>
          <w:rFonts w:ascii="Arial" w:hAnsi="Arial" w:cs="Arial"/>
          <w:b/>
          <w:sz w:val="24"/>
          <w:szCs w:val="24"/>
        </w:rPr>
        <w:t>Numarul absolvenții cu succes în învățământul universitar de master</w:t>
      </w:r>
      <w:r w:rsidRPr="002F202A">
        <w:rPr>
          <w:rFonts w:ascii="Arial" w:hAnsi="Arial" w:cs="Arial"/>
          <w:sz w:val="24"/>
          <w:szCs w:val="24"/>
        </w:rPr>
        <w:t xml:space="preserve"> la nivel national este de 38</w:t>
      </w:r>
      <w:r w:rsidR="001906A2">
        <w:rPr>
          <w:rFonts w:ascii="Arial" w:hAnsi="Arial" w:cs="Arial"/>
          <w:sz w:val="24"/>
          <w:szCs w:val="24"/>
        </w:rPr>
        <w:t>.</w:t>
      </w:r>
      <w:r w:rsidRPr="002F202A">
        <w:rPr>
          <w:rFonts w:ascii="Arial" w:hAnsi="Arial" w:cs="Arial"/>
          <w:sz w:val="24"/>
          <w:szCs w:val="24"/>
        </w:rPr>
        <w:t xml:space="preserve">713(798 cu </w:t>
      </w:r>
      <w:r w:rsidR="00972E5C" w:rsidRPr="002F202A">
        <w:rPr>
          <w:rFonts w:ascii="Arial" w:hAnsi="Arial" w:cs="Arial"/>
          <w:sz w:val="24"/>
          <w:szCs w:val="24"/>
        </w:rPr>
        <w:t>bac</w:t>
      </w:r>
      <w:r w:rsidR="00972E5C">
        <w:rPr>
          <w:rFonts w:ascii="Arial" w:hAnsi="Arial" w:cs="Arial"/>
          <w:sz w:val="24"/>
          <w:szCs w:val="24"/>
        </w:rPr>
        <w:t>alaureat</w:t>
      </w:r>
      <w:r w:rsidRPr="002F202A">
        <w:rPr>
          <w:rFonts w:ascii="Arial" w:hAnsi="Arial" w:cs="Arial"/>
          <w:sz w:val="24"/>
          <w:szCs w:val="24"/>
        </w:rPr>
        <w:t xml:space="preserve"> în alte țări) dintre care 35</w:t>
      </w:r>
      <w:r w:rsidR="001906A2">
        <w:rPr>
          <w:rFonts w:ascii="Arial" w:hAnsi="Arial" w:cs="Arial"/>
          <w:sz w:val="24"/>
          <w:szCs w:val="24"/>
        </w:rPr>
        <w:t>.</w:t>
      </w:r>
      <w:r w:rsidRPr="002F202A">
        <w:rPr>
          <w:rFonts w:ascii="Arial" w:hAnsi="Arial" w:cs="Arial"/>
          <w:sz w:val="24"/>
          <w:szCs w:val="24"/>
        </w:rPr>
        <w:t>990 la master, 2</w:t>
      </w:r>
      <w:r w:rsidR="001906A2">
        <w:rPr>
          <w:rFonts w:ascii="Arial" w:hAnsi="Arial" w:cs="Arial"/>
          <w:sz w:val="24"/>
          <w:szCs w:val="24"/>
        </w:rPr>
        <w:t>.</w:t>
      </w:r>
      <w:r w:rsidRPr="002F202A">
        <w:rPr>
          <w:rFonts w:ascii="Arial" w:hAnsi="Arial" w:cs="Arial"/>
          <w:sz w:val="24"/>
          <w:szCs w:val="24"/>
        </w:rPr>
        <w:t>723 la programele postuniversitare.</w:t>
      </w:r>
    </w:p>
    <w:p w:rsidR="004670DC" w:rsidRPr="004670DC" w:rsidRDefault="004670DC" w:rsidP="00E53080">
      <w:pPr>
        <w:tabs>
          <w:tab w:val="left" w:pos="8579"/>
        </w:tabs>
        <w:spacing w:after="0" w:line="240" w:lineRule="auto"/>
        <w:jc w:val="both"/>
        <w:rPr>
          <w:rFonts w:ascii="Arial" w:hAnsi="Arial" w:cs="Arial"/>
          <w:b/>
          <w:sz w:val="24"/>
          <w:szCs w:val="24"/>
        </w:rPr>
      </w:pPr>
      <w:r w:rsidRPr="004670DC">
        <w:rPr>
          <w:rFonts w:ascii="Arial" w:hAnsi="Arial" w:cs="Arial"/>
          <w:b/>
          <w:sz w:val="24"/>
          <w:szCs w:val="24"/>
        </w:rPr>
        <w:t xml:space="preserve">Optiunile absolvenții cu succes în învățământul universitar de master pe domenii de studii este următoarea: </w:t>
      </w:r>
    </w:p>
    <w:p w:rsidR="004670DC" w:rsidRPr="002F202A" w:rsidRDefault="004670DC" w:rsidP="00E53080">
      <w:pPr>
        <w:tabs>
          <w:tab w:val="left" w:pos="8579"/>
        </w:tabs>
        <w:spacing w:after="0" w:line="240" w:lineRule="auto"/>
        <w:jc w:val="both"/>
        <w:rPr>
          <w:rFonts w:ascii="Arial" w:hAnsi="Arial" w:cs="Arial"/>
          <w:sz w:val="24"/>
          <w:szCs w:val="24"/>
        </w:rPr>
      </w:pPr>
      <w:r w:rsidRPr="004670DC">
        <w:rPr>
          <w:rFonts w:ascii="Arial" w:hAnsi="Arial" w:cs="Arial"/>
          <w:b/>
          <w:sz w:val="24"/>
          <w:szCs w:val="24"/>
        </w:rPr>
        <w:t xml:space="preserve">Educație </w:t>
      </w:r>
      <w:r w:rsidRPr="002F202A">
        <w:rPr>
          <w:rFonts w:ascii="Arial" w:hAnsi="Arial" w:cs="Arial"/>
          <w:sz w:val="24"/>
          <w:szCs w:val="24"/>
        </w:rPr>
        <w:t>1</w:t>
      </w:r>
      <w:r w:rsidR="001906A2">
        <w:rPr>
          <w:rFonts w:ascii="Arial" w:hAnsi="Arial" w:cs="Arial"/>
          <w:sz w:val="24"/>
          <w:szCs w:val="24"/>
        </w:rPr>
        <w:t>.</w:t>
      </w:r>
      <w:r w:rsidRPr="002F202A">
        <w:rPr>
          <w:rFonts w:ascii="Arial" w:hAnsi="Arial" w:cs="Arial"/>
          <w:sz w:val="24"/>
          <w:szCs w:val="24"/>
        </w:rPr>
        <w:t xml:space="preserve">752(2 cu </w:t>
      </w:r>
      <w:r w:rsidR="00972E5C" w:rsidRPr="002F202A">
        <w:rPr>
          <w:rFonts w:ascii="Arial" w:hAnsi="Arial" w:cs="Arial"/>
          <w:sz w:val="24"/>
          <w:szCs w:val="24"/>
        </w:rPr>
        <w:t>bac</w:t>
      </w:r>
      <w:r w:rsidR="00972E5C">
        <w:rPr>
          <w:rFonts w:ascii="Arial" w:hAnsi="Arial" w:cs="Arial"/>
          <w:sz w:val="24"/>
          <w:szCs w:val="24"/>
        </w:rPr>
        <w:t>alaureat</w:t>
      </w:r>
      <w:r w:rsidRPr="002F202A">
        <w:rPr>
          <w:rFonts w:ascii="Arial" w:hAnsi="Arial" w:cs="Arial"/>
          <w:sz w:val="24"/>
          <w:szCs w:val="24"/>
        </w:rPr>
        <w:t xml:space="preserve"> în alte țări) absolvenți dintre care 1</w:t>
      </w:r>
      <w:r w:rsidR="001906A2">
        <w:rPr>
          <w:rFonts w:ascii="Arial" w:hAnsi="Arial" w:cs="Arial"/>
          <w:sz w:val="24"/>
          <w:szCs w:val="24"/>
        </w:rPr>
        <w:t>.</w:t>
      </w:r>
      <w:r w:rsidRPr="002F202A">
        <w:rPr>
          <w:rFonts w:ascii="Arial" w:hAnsi="Arial" w:cs="Arial"/>
          <w:sz w:val="24"/>
          <w:szCs w:val="24"/>
        </w:rPr>
        <w:t>305 la master și 2723 la programe postuniversitare</w:t>
      </w:r>
      <w:r w:rsidR="001906A2">
        <w:rPr>
          <w:rFonts w:ascii="Arial" w:hAnsi="Arial" w:cs="Arial"/>
          <w:sz w:val="24"/>
          <w:szCs w:val="24"/>
        </w:rPr>
        <w:t>;</w:t>
      </w:r>
      <w:r w:rsidRPr="002F202A">
        <w:rPr>
          <w:rFonts w:ascii="Arial" w:hAnsi="Arial" w:cs="Arial"/>
          <w:sz w:val="24"/>
          <w:szCs w:val="24"/>
        </w:rPr>
        <w:t xml:space="preserve"> </w:t>
      </w:r>
    </w:p>
    <w:p w:rsidR="004670DC" w:rsidRPr="002F202A" w:rsidRDefault="004670DC" w:rsidP="00E53080">
      <w:pPr>
        <w:tabs>
          <w:tab w:val="left" w:pos="8579"/>
        </w:tabs>
        <w:spacing w:after="0" w:line="240" w:lineRule="auto"/>
        <w:jc w:val="both"/>
        <w:rPr>
          <w:rFonts w:ascii="Arial" w:hAnsi="Arial" w:cs="Arial"/>
          <w:sz w:val="24"/>
          <w:szCs w:val="24"/>
        </w:rPr>
      </w:pPr>
      <w:r w:rsidRPr="004670DC">
        <w:rPr>
          <w:rFonts w:ascii="Arial" w:hAnsi="Arial" w:cs="Arial"/>
          <w:b/>
          <w:sz w:val="24"/>
          <w:szCs w:val="24"/>
        </w:rPr>
        <w:t>Arte și științe umaniste</w:t>
      </w:r>
      <w:r w:rsidRPr="002F202A">
        <w:rPr>
          <w:rFonts w:ascii="Arial" w:hAnsi="Arial" w:cs="Arial"/>
          <w:sz w:val="24"/>
          <w:szCs w:val="24"/>
        </w:rPr>
        <w:t xml:space="preserve">  3895(162 cu </w:t>
      </w:r>
      <w:r w:rsidR="001906A2" w:rsidRPr="002F202A">
        <w:rPr>
          <w:rFonts w:ascii="Arial" w:hAnsi="Arial" w:cs="Arial"/>
          <w:sz w:val="24"/>
          <w:szCs w:val="24"/>
        </w:rPr>
        <w:t>bac</w:t>
      </w:r>
      <w:r w:rsidR="00972E5C">
        <w:rPr>
          <w:rFonts w:ascii="Arial" w:hAnsi="Arial" w:cs="Arial"/>
          <w:sz w:val="24"/>
          <w:szCs w:val="24"/>
        </w:rPr>
        <w:t>a</w:t>
      </w:r>
      <w:r w:rsidR="001906A2">
        <w:rPr>
          <w:rFonts w:ascii="Arial" w:hAnsi="Arial" w:cs="Arial"/>
          <w:sz w:val="24"/>
          <w:szCs w:val="24"/>
        </w:rPr>
        <w:t>laureat</w:t>
      </w:r>
      <w:r w:rsidRPr="002F202A">
        <w:rPr>
          <w:rFonts w:ascii="Arial" w:hAnsi="Arial" w:cs="Arial"/>
          <w:sz w:val="24"/>
          <w:szCs w:val="24"/>
        </w:rPr>
        <w:t xml:space="preserve"> în alte țări) absolvenți dintre care 3765 la master și 130 la programe postuniversitare</w:t>
      </w:r>
      <w:r w:rsidR="001906A2">
        <w:rPr>
          <w:rFonts w:ascii="Arial" w:hAnsi="Arial" w:cs="Arial"/>
          <w:sz w:val="24"/>
          <w:szCs w:val="24"/>
        </w:rPr>
        <w:t>;</w:t>
      </w:r>
    </w:p>
    <w:p w:rsidR="004670DC" w:rsidRPr="00972E5C" w:rsidRDefault="004670DC" w:rsidP="00E53080">
      <w:pPr>
        <w:tabs>
          <w:tab w:val="left" w:pos="8579"/>
        </w:tabs>
        <w:spacing w:after="0" w:line="240" w:lineRule="auto"/>
        <w:jc w:val="both"/>
        <w:rPr>
          <w:rFonts w:ascii="Arial" w:hAnsi="Arial" w:cs="Arial"/>
          <w:b/>
          <w:sz w:val="24"/>
          <w:szCs w:val="24"/>
        </w:rPr>
      </w:pPr>
      <w:r w:rsidRPr="004670DC">
        <w:rPr>
          <w:rFonts w:ascii="Arial" w:hAnsi="Arial" w:cs="Arial"/>
          <w:b/>
          <w:sz w:val="24"/>
          <w:szCs w:val="24"/>
        </w:rPr>
        <w:t>Științe sociale,</w:t>
      </w:r>
      <w:r w:rsidR="00972E5C">
        <w:rPr>
          <w:rFonts w:ascii="Arial" w:hAnsi="Arial" w:cs="Arial"/>
          <w:b/>
          <w:sz w:val="24"/>
          <w:szCs w:val="24"/>
        </w:rPr>
        <w:t xml:space="preserve"> </w:t>
      </w:r>
      <w:r w:rsidRPr="004670DC">
        <w:rPr>
          <w:rFonts w:ascii="Arial" w:hAnsi="Arial" w:cs="Arial"/>
          <w:b/>
          <w:sz w:val="24"/>
          <w:szCs w:val="24"/>
        </w:rPr>
        <w:t>journalism și informații</w:t>
      </w:r>
      <w:r w:rsidRPr="002F202A">
        <w:rPr>
          <w:rFonts w:ascii="Arial" w:hAnsi="Arial" w:cs="Arial"/>
          <w:sz w:val="24"/>
          <w:szCs w:val="24"/>
        </w:rPr>
        <w:t xml:space="preserve">  4</w:t>
      </w:r>
      <w:r w:rsidR="001906A2">
        <w:rPr>
          <w:rFonts w:ascii="Arial" w:hAnsi="Arial" w:cs="Arial"/>
          <w:sz w:val="24"/>
          <w:szCs w:val="24"/>
        </w:rPr>
        <w:t>.</w:t>
      </w:r>
      <w:r w:rsidRPr="002F202A">
        <w:rPr>
          <w:rFonts w:ascii="Arial" w:hAnsi="Arial" w:cs="Arial"/>
          <w:sz w:val="24"/>
          <w:szCs w:val="24"/>
        </w:rPr>
        <w:t xml:space="preserve">010 (107 cu </w:t>
      </w:r>
      <w:r w:rsidR="00972E5C" w:rsidRPr="002F202A">
        <w:rPr>
          <w:rFonts w:ascii="Arial" w:hAnsi="Arial" w:cs="Arial"/>
          <w:sz w:val="24"/>
          <w:szCs w:val="24"/>
        </w:rPr>
        <w:t>bac</w:t>
      </w:r>
      <w:r w:rsidR="00972E5C">
        <w:rPr>
          <w:rFonts w:ascii="Arial" w:hAnsi="Arial" w:cs="Arial"/>
          <w:sz w:val="24"/>
          <w:szCs w:val="24"/>
        </w:rPr>
        <w:t>alaureat</w:t>
      </w:r>
      <w:r w:rsidRPr="002F202A">
        <w:rPr>
          <w:rFonts w:ascii="Arial" w:hAnsi="Arial" w:cs="Arial"/>
          <w:sz w:val="24"/>
          <w:szCs w:val="24"/>
        </w:rPr>
        <w:t xml:space="preserve"> în alte țări) absolvenți dintre care 3</w:t>
      </w:r>
      <w:r w:rsidR="001906A2">
        <w:rPr>
          <w:rFonts w:ascii="Arial" w:hAnsi="Arial" w:cs="Arial"/>
          <w:sz w:val="24"/>
          <w:szCs w:val="24"/>
        </w:rPr>
        <w:t>.</w:t>
      </w:r>
      <w:r w:rsidRPr="002F202A">
        <w:rPr>
          <w:rFonts w:ascii="Arial" w:hAnsi="Arial" w:cs="Arial"/>
          <w:sz w:val="24"/>
          <w:szCs w:val="24"/>
        </w:rPr>
        <w:t>787 la master și 223 la programe postuniversitare</w:t>
      </w:r>
      <w:r w:rsidR="001906A2">
        <w:rPr>
          <w:rFonts w:ascii="Arial" w:hAnsi="Arial" w:cs="Arial"/>
          <w:sz w:val="24"/>
          <w:szCs w:val="24"/>
        </w:rPr>
        <w:t>;</w:t>
      </w:r>
    </w:p>
    <w:p w:rsidR="004670DC" w:rsidRPr="002F202A" w:rsidRDefault="004670DC" w:rsidP="00E53080">
      <w:pPr>
        <w:tabs>
          <w:tab w:val="left" w:pos="8579"/>
        </w:tabs>
        <w:spacing w:after="0" w:line="240" w:lineRule="auto"/>
        <w:jc w:val="both"/>
        <w:rPr>
          <w:rFonts w:ascii="Arial" w:hAnsi="Arial" w:cs="Arial"/>
          <w:sz w:val="24"/>
          <w:szCs w:val="24"/>
        </w:rPr>
      </w:pPr>
      <w:r w:rsidRPr="004670DC">
        <w:rPr>
          <w:rFonts w:ascii="Arial" w:hAnsi="Arial" w:cs="Arial"/>
          <w:b/>
          <w:sz w:val="24"/>
          <w:szCs w:val="24"/>
        </w:rPr>
        <w:t>Afaceri,administrație și drept</w:t>
      </w:r>
      <w:r w:rsidRPr="002F202A">
        <w:rPr>
          <w:rFonts w:ascii="Arial" w:hAnsi="Arial" w:cs="Arial"/>
          <w:sz w:val="24"/>
          <w:szCs w:val="24"/>
        </w:rPr>
        <w:t xml:space="preserve"> 12</w:t>
      </w:r>
      <w:r w:rsidR="001906A2">
        <w:rPr>
          <w:rFonts w:ascii="Arial" w:hAnsi="Arial" w:cs="Arial"/>
          <w:sz w:val="24"/>
          <w:szCs w:val="24"/>
        </w:rPr>
        <w:t>.</w:t>
      </w:r>
      <w:r w:rsidRPr="002F202A">
        <w:rPr>
          <w:rFonts w:ascii="Arial" w:hAnsi="Arial" w:cs="Arial"/>
          <w:sz w:val="24"/>
          <w:szCs w:val="24"/>
        </w:rPr>
        <w:t xml:space="preserve">145(284 cu </w:t>
      </w:r>
      <w:r w:rsidR="00972E5C" w:rsidRPr="002F202A">
        <w:rPr>
          <w:rFonts w:ascii="Arial" w:hAnsi="Arial" w:cs="Arial"/>
          <w:sz w:val="24"/>
          <w:szCs w:val="24"/>
        </w:rPr>
        <w:t>bac</w:t>
      </w:r>
      <w:r w:rsidR="00972E5C">
        <w:rPr>
          <w:rFonts w:ascii="Arial" w:hAnsi="Arial" w:cs="Arial"/>
          <w:sz w:val="24"/>
          <w:szCs w:val="24"/>
        </w:rPr>
        <w:t>alaureat</w:t>
      </w:r>
      <w:r w:rsidR="00972E5C" w:rsidRPr="002F202A">
        <w:rPr>
          <w:rFonts w:ascii="Arial" w:hAnsi="Arial" w:cs="Arial"/>
          <w:sz w:val="24"/>
          <w:szCs w:val="24"/>
        </w:rPr>
        <w:t xml:space="preserve"> </w:t>
      </w:r>
      <w:r w:rsidRPr="002F202A">
        <w:rPr>
          <w:rFonts w:ascii="Arial" w:hAnsi="Arial" w:cs="Arial"/>
          <w:sz w:val="24"/>
          <w:szCs w:val="24"/>
        </w:rPr>
        <w:t>în alte țări) absolvenți dintre care 11</w:t>
      </w:r>
      <w:r w:rsidR="001906A2">
        <w:rPr>
          <w:rFonts w:ascii="Arial" w:hAnsi="Arial" w:cs="Arial"/>
          <w:sz w:val="24"/>
          <w:szCs w:val="24"/>
        </w:rPr>
        <w:t>.</w:t>
      </w:r>
      <w:r w:rsidRPr="002F202A">
        <w:rPr>
          <w:rFonts w:ascii="Arial" w:hAnsi="Arial" w:cs="Arial"/>
          <w:sz w:val="24"/>
          <w:szCs w:val="24"/>
        </w:rPr>
        <w:t>951 la master și 194 la programe postuniversitare</w:t>
      </w:r>
      <w:r w:rsidR="001906A2">
        <w:rPr>
          <w:rFonts w:ascii="Arial" w:hAnsi="Arial" w:cs="Arial"/>
          <w:sz w:val="24"/>
          <w:szCs w:val="24"/>
        </w:rPr>
        <w:t>;</w:t>
      </w:r>
    </w:p>
    <w:p w:rsidR="004670DC" w:rsidRPr="002F202A" w:rsidRDefault="004670DC" w:rsidP="00E53080">
      <w:pPr>
        <w:tabs>
          <w:tab w:val="left" w:pos="8579"/>
        </w:tabs>
        <w:spacing w:after="0" w:line="240" w:lineRule="auto"/>
        <w:jc w:val="both"/>
        <w:rPr>
          <w:rFonts w:ascii="Arial" w:hAnsi="Arial" w:cs="Arial"/>
          <w:sz w:val="24"/>
          <w:szCs w:val="24"/>
        </w:rPr>
      </w:pPr>
      <w:r w:rsidRPr="004670DC">
        <w:rPr>
          <w:rFonts w:ascii="Arial" w:hAnsi="Arial" w:cs="Arial"/>
          <w:b/>
          <w:sz w:val="24"/>
          <w:szCs w:val="24"/>
        </w:rPr>
        <w:t>Științe natural,matematică și statistică</w:t>
      </w:r>
      <w:r w:rsidRPr="002F202A">
        <w:rPr>
          <w:rFonts w:ascii="Arial" w:hAnsi="Arial" w:cs="Arial"/>
          <w:sz w:val="24"/>
          <w:szCs w:val="24"/>
        </w:rPr>
        <w:t xml:space="preserve">  2</w:t>
      </w:r>
      <w:r w:rsidR="001906A2">
        <w:rPr>
          <w:rFonts w:ascii="Arial" w:hAnsi="Arial" w:cs="Arial"/>
          <w:sz w:val="24"/>
          <w:szCs w:val="24"/>
        </w:rPr>
        <w:t>.</w:t>
      </w:r>
      <w:r w:rsidRPr="002F202A">
        <w:rPr>
          <w:rFonts w:ascii="Arial" w:hAnsi="Arial" w:cs="Arial"/>
          <w:sz w:val="24"/>
          <w:szCs w:val="24"/>
        </w:rPr>
        <w:t xml:space="preserve">521(29 cu </w:t>
      </w:r>
      <w:r w:rsidR="00972E5C" w:rsidRPr="002F202A">
        <w:rPr>
          <w:rFonts w:ascii="Arial" w:hAnsi="Arial" w:cs="Arial"/>
          <w:sz w:val="24"/>
          <w:szCs w:val="24"/>
        </w:rPr>
        <w:t>bac</w:t>
      </w:r>
      <w:r w:rsidR="00972E5C">
        <w:rPr>
          <w:rFonts w:ascii="Arial" w:hAnsi="Arial" w:cs="Arial"/>
          <w:sz w:val="24"/>
          <w:szCs w:val="24"/>
        </w:rPr>
        <w:t>alaureat</w:t>
      </w:r>
      <w:r w:rsidRPr="002F202A">
        <w:rPr>
          <w:rFonts w:ascii="Arial" w:hAnsi="Arial" w:cs="Arial"/>
          <w:sz w:val="24"/>
          <w:szCs w:val="24"/>
        </w:rPr>
        <w:t xml:space="preserve"> în alte țări) absolvenți dintre care 2</w:t>
      </w:r>
      <w:r w:rsidR="001906A2">
        <w:rPr>
          <w:rFonts w:ascii="Arial" w:hAnsi="Arial" w:cs="Arial"/>
          <w:sz w:val="24"/>
          <w:szCs w:val="24"/>
        </w:rPr>
        <w:t>.</w:t>
      </w:r>
      <w:r w:rsidRPr="002F202A">
        <w:rPr>
          <w:rFonts w:ascii="Arial" w:hAnsi="Arial" w:cs="Arial"/>
          <w:sz w:val="24"/>
          <w:szCs w:val="24"/>
        </w:rPr>
        <w:t>374 la master și 147 la programe postuniversitare</w:t>
      </w:r>
      <w:r w:rsidR="001906A2">
        <w:rPr>
          <w:rFonts w:ascii="Arial" w:hAnsi="Arial" w:cs="Arial"/>
          <w:sz w:val="24"/>
          <w:szCs w:val="24"/>
        </w:rPr>
        <w:t>;</w:t>
      </w:r>
    </w:p>
    <w:p w:rsidR="004670DC" w:rsidRPr="002F202A" w:rsidRDefault="004670DC" w:rsidP="00E53080">
      <w:pPr>
        <w:tabs>
          <w:tab w:val="left" w:pos="8579"/>
        </w:tabs>
        <w:spacing w:after="0" w:line="240" w:lineRule="auto"/>
        <w:jc w:val="both"/>
        <w:rPr>
          <w:rFonts w:ascii="Arial" w:hAnsi="Arial" w:cs="Arial"/>
          <w:sz w:val="24"/>
          <w:szCs w:val="24"/>
        </w:rPr>
      </w:pPr>
      <w:r w:rsidRPr="004670DC">
        <w:rPr>
          <w:rFonts w:ascii="Arial" w:hAnsi="Arial" w:cs="Arial"/>
          <w:b/>
          <w:sz w:val="24"/>
          <w:szCs w:val="24"/>
        </w:rPr>
        <w:t>Tehnologia informației și comunicații</w:t>
      </w:r>
      <w:r w:rsidRPr="002F202A">
        <w:rPr>
          <w:rFonts w:ascii="Arial" w:hAnsi="Arial" w:cs="Arial"/>
          <w:sz w:val="24"/>
          <w:szCs w:val="24"/>
        </w:rPr>
        <w:t xml:space="preserve"> (TIC)  1</w:t>
      </w:r>
      <w:r w:rsidR="001906A2">
        <w:rPr>
          <w:rFonts w:ascii="Arial" w:hAnsi="Arial" w:cs="Arial"/>
          <w:sz w:val="24"/>
          <w:szCs w:val="24"/>
        </w:rPr>
        <w:t>.</w:t>
      </w:r>
      <w:r w:rsidRPr="002F202A">
        <w:rPr>
          <w:rFonts w:ascii="Arial" w:hAnsi="Arial" w:cs="Arial"/>
          <w:sz w:val="24"/>
          <w:szCs w:val="24"/>
        </w:rPr>
        <w:t>606</w:t>
      </w:r>
      <w:r w:rsidR="00972E5C">
        <w:rPr>
          <w:rFonts w:ascii="Arial" w:hAnsi="Arial" w:cs="Arial"/>
          <w:sz w:val="24"/>
          <w:szCs w:val="24"/>
        </w:rPr>
        <w:t xml:space="preserve"> </w:t>
      </w:r>
      <w:r w:rsidRPr="002F202A">
        <w:rPr>
          <w:rFonts w:ascii="Arial" w:hAnsi="Arial" w:cs="Arial"/>
          <w:sz w:val="24"/>
          <w:szCs w:val="24"/>
        </w:rPr>
        <w:t xml:space="preserve">(20 cu </w:t>
      </w:r>
      <w:r w:rsidR="00972E5C" w:rsidRPr="002F202A">
        <w:rPr>
          <w:rFonts w:ascii="Arial" w:hAnsi="Arial" w:cs="Arial"/>
          <w:sz w:val="24"/>
          <w:szCs w:val="24"/>
        </w:rPr>
        <w:t>bac</w:t>
      </w:r>
      <w:r w:rsidR="00972E5C">
        <w:rPr>
          <w:rFonts w:ascii="Arial" w:hAnsi="Arial" w:cs="Arial"/>
          <w:sz w:val="24"/>
          <w:szCs w:val="24"/>
        </w:rPr>
        <w:t>alaureat</w:t>
      </w:r>
      <w:r w:rsidRPr="002F202A">
        <w:rPr>
          <w:rFonts w:ascii="Arial" w:hAnsi="Arial" w:cs="Arial"/>
          <w:sz w:val="24"/>
          <w:szCs w:val="24"/>
        </w:rPr>
        <w:t xml:space="preserve"> în alte țări) absolvenți dintre care 1584 la master și 22 la programe postuniversitare</w:t>
      </w:r>
      <w:r w:rsidR="001906A2">
        <w:rPr>
          <w:rFonts w:ascii="Arial" w:hAnsi="Arial" w:cs="Arial"/>
          <w:sz w:val="24"/>
          <w:szCs w:val="24"/>
        </w:rPr>
        <w:t>;</w:t>
      </w:r>
    </w:p>
    <w:p w:rsidR="004670DC" w:rsidRPr="002F202A" w:rsidRDefault="004670DC" w:rsidP="00E53080">
      <w:pPr>
        <w:tabs>
          <w:tab w:val="left" w:pos="8579"/>
        </w:tabs>
        <w:spacing w:after="0" w:line="240" w:lineRule="auto"/>
        <w:jc w:val="both"/>
        <w:rPr>
          <w:rFonts w:ascii="Arial" w:hAnsi="Arial" w:cs="Arial"/>
          <w:sz w:val="24"/>
          <w:szCs w:val="24"/>
        </w:rPr>
      </w:pPr>
      <w:r w:rsidRPr="004670DC">
        <w:rPr>
          <w:rFonts w:ascii="Arial" w:hAnsi="Arial" w:cs="Arial"/>
          <w:b/>
          <w:sz w:val="24"/>
          <w:szCs w:val="24"/>
        </w:rPr>
        <w:t>Inginerie,</w:t>
      </w:r>
      <w:r w:rsidR="009C57DD">
        <w:rPr>
          <w:rFonts w:ascii="Arial" w:hAnsi="Arial" w:cs="Arial"/>
          <w:b/>
          <w:sz w:val="24"/>
          <w:szCs w:val="24"/>
        </w:rPr>
        <w:t xml:space="preserve"> </w:t>
      </w:r>
      <w:r w:rsidRPr="004670DC">
        <w:rPr>
          <w:rFonts w:ascii="Arial" w:hAnsi="Arial" w:cs="Arial"/>
          <w:b/>
          <w:sz w:val="24"/>
          <w:szCs w:val="24"/>
        </w:rPr>
        <w:t>prelucrări și construcții</w:t>
      </w:r>
      <w:r w:rsidRPr="002F202A">
        <w:rPr>
          <w:rFonts w:ascii="Arial" w:hAnsi="Arial" w:cs="Arial"/>
          <w:sz w:val="24"/>
          <w:szCs w:val="24"/>
        </w:rPr>
        <w:t xml:space="preserve"> 7</w:t>
      </w:r>
      <w:r w:rsidR="001906A2">
        <w:rPr>
          <w:rFonts w:ascii="Arial" w:hAnsi="Arial" w:cs="Arial"/>
          <w:sz w:val="24"/>
          <w:szCs w:val="24"/>
        </w:rPr>
        <w:t>.</w:t>
      </w:r>
      <w:r w:rsidRPr="002F202A">
        <w:rPr>
          <w:rFonts w:ascii="Arial" w:hAnsi="Arial" w:cs="Arial"/>
          <w:sz w:val="24"/>
          <w:szCs w:val="24"/>
        </w:rPr>
        <w:t>329</w:t>
      </w:r>
      <w:r w:rsidR="00972E5C">
        <w:rPr>
          <w:rFonts w:ascii="Arial" w:hAnsi="Arial" w:cs="Arial"/>
          <w:sz w:val="24"/>
          <w:szCs w:val="24"/>
        </w:rPr>
        <w:t xml:space="preserve"> </w:t>
      </w:r>
      <w:r w:rsidRPr="002F202A">
        <w:rPr>
          <w:rFonts w:ascii="Arial" w:hAnsi="Arial" w:cs="Arial"/>
          <w:sz w:val="24"/>
          <w:szCs w:val="24"/>
        </w:rPr>
        <w:t xml:space="preserve">(106 cu </w:t>
      </w:r>
      <w:r w:rsidR="00972E5C" w:rsidRPr="002F202A">
        <w:rPr>
          <w:rFonts w:ascii="Arial" w:hAnsi="Arial" w:cs="Arial"/>
          <w:sz w:val="24"/>
          <w:szCs w:val="24"/>
        </w:rPr>
        <w:t>bac</w:t>
      </w:r>
      <w:r w:rsidR="00972E5C">
        <w:rPr>
          <w:rFonts w:ascii="Arial" w:hAnsi="Arial" w:cs="Arial"/>
          <w:sz w:val="24"/>
          <w:szCs w:val="24"/>
        </w:rPr>
        <w:t>alaureat</w:t>
      </w:r>
      <w:r w:rsidRPr="002F202A">
        <w:rPr>
          <w:rFonts w:ascii="Arial" w:hAnsi="Arial" w:cs="Arial"/>
          <w:sz w:val="24"/>
          <w:szCs w:val="24"/>
        </w:rPr>
        <w:t xml:space="preserve"> în alte țări) absolvenți dintre care 7</w:t>
      </w:r>
      <w:r w:rsidR="001906A2">
        <w:rPr>
          <w:rFonts w:ascii="Arial" w:hAnsi="Arial" w:cs="Arial"/>
          <w:sz w:val="24"/>
          <w:szCs w:val="24"/>
        </w:rPr>
        <w:t>.</w:t>
      </w:r>
      <w:r w:rsidRPr="002F202A">
        <w:rPr>
          <w:rFonts w:ascii="Arial" w:hAnsi="Arial" w:cs="Arial"/>
          <w:sz w:val="24"/>
          <w:szCs w:val="24"/>
        </w:rPr>
        <w:t>188 la master și 141 la programe postuniversitare</w:t>
      </w:r>
      <w:r w:rsidR="001906A2">
        <w:rPr>
          <w:rFonts w:ascii="Arial" w:hAnsi="Arial" w:cs="Arial"/>
          <w:sz w:val="24"/>
          <w:szCs w:val="24"/>
        </w:rPr>
        <w:t>;</w:t>
      </w:r>
      <w:r w:rsidRPr="002F202A">
        <w:rPr>
          <w:rFonts w:ascii="Arial" w:hAnsi="Arial" w:cs="Arial"/>
          <w:sz w:val="24"/>
          <w:szCs w:val="24"/>
        </w:rPr>
        <w:t xml:space="preserve">  </w:t>
      </w:r>
    </w:p>
    <w:p w:rsidR="004670DC" w:rsidRPr="002F202A" w:rsidRDefault="004670DC" w:rsidP="00E53080">
      <w:pPr>
        <w:tabs>
          <w:tab w:val="left" w:pos="8579"/>
        </w:tabs>
        <w:spacing w:after="0" w:line="240" w:lineRule="auto"/>
        <w:jc w:val="both"/>
        <w:rPr>
          <w:rFonts w:ascii="Arial" w:hAnsi="Arial" w:cs="Arial"/>
          <w:sz w:val="24"/>
          <w:szCs w:val="24"/>
        </w:rPr>
      </w:pPr>
      <w:r w:rsidRPr="004670DC">
        <w:rPr>
          <w:rFonts w:ascii="Arial" w:hAnsi="Arial" w:cs="Arial"/>
          <w:b/>
          <w:sz w:val="24"/>
          <w:szCs w:val="24"/>
        </w:rPr>
        <w:t>Agricultură,silvicultură,piscicultură și știinte veterinare</w:t>
      </w:r>
      <w:r w:rsidRPr="002F202A">
        <w:rPr>
          <w:rFonts w:ascii="Arial" w:hAnsi="Arial" w:cs="Arial"/>
          <w:sz w:val="24"/>
          <w:szCs w:val="24"/>
        </w:rPr>
        <w:t xml:space="preserve"> 1246(10 cu </w:t>
      </w:r>
      <w:r w:rsidR="00972E5C" w:rsidRPr="002F202A">
        <w:rPr>
          <w:rFonts w:ascii="Arial" w:hAnsi="Arial" w:cs="Arial"/>
          <w:sz w:val="24"/>
          <w:szCs w:val="24"/>
        </w:rPr>
        <w:t>bac</w:t>
      </w:r>
      <w:r w:rsidR="00972E5C">
        <w:rPr>
          <w:rFonts w:ascii="Arial" w:hAnsi="Arial" w:cs="Arial"/>
          <w:sz w:val="24"/>
          <w:szCs w:val="24"/>
        </w:rPr>
        <w:t>alaureat</w:t>
      </w:r>
      <w:r w:rsidRPr="002F202A">
        <w:rPr>
          <w:rFonts w:ascii="Arial" w:hAnsi="Arial" w:cs="Arial"/>
          <w:sz w:val="24"/>
          <w:szCs w:val="24"/>
        </w:rPr>
        <w:t xml:space="preserve"> în alte țări) absolvenți dintre care 1</w:t>
      </w:r>
      <w:r w:rsidR="001906A2">
        <w:rPr>
          <w:rFonts w:ascii="Arial" w:hAnsi="Arial" w:cs="Arial"/>
          <w:sz w:val="24"/>
          <w:szCs w:val="24"/>
        </w:rPr>
        <w:t>.</w:t>
      </w:r>
      <w:r w:rsidRPr="002F202A">
        <w:rPr>
          <w:rFonts w:ascii="Arial" w:hAnsi="Arial" w:cs="Arial"/>
          <w:sz w:val="24"/>
          <w:szCs w:val="24"/>
        </w:rPr>
        <w:t>246 la master</w:t>
      </w:r>
      <w:r w:rsidR="001906A2">
        <w:rPr>
          <w:rFonts w:ascii="Arial" w:hAnsi="Arial" w:cs="Arial"/>
          <w:sz w:val="24"/>
          <w:szCs w:val="24"/>
        </w:rPr>
        <w:t>;</w:t>
      </w:r>
      <w:r w:rsidRPr="002F202A">
        <w:rPr>
          <w:rFonts w:ascii="Arial" w:hAnsi="Arial" w:cs="Arial"/>
          <w:sz w:val="24"/>
          <w:szCs w:val="24"/>
        </w:rPr>
        <w:t xml:space="preserve"> </w:t>
      </w:r>
    </w:p>
    <w:p w:rsidR="004670DC" w:rsidRPr="002F202A" w:rsidRDefault="004670DC" w:rsidP="00E53080">
      <w:pPr>
        <w:tabs>
          <w:tab w:val="left" w:pos="8579"/>
        </w:tabs>
        <w:spacing w:after="0" w:line="240" w:lineRule="auto"/>
        <w:jc w:val="both"/>
        <w:rPr>
          <w:rFonts w:ascii="Arial" w:hAnsi="Arial" w:cs="Arial"/>
          <w:sz w:val="24"/>
          <w:szCs w:val="24"/>
        </w:rPr>
      </w:pPr>
      <w:r w:rsidRPr="004670DC">
        <w:rPr>
          <w:rFonts w:ascii="Arial" w:hAnsi="Arial" w:cs="Arial"/>
          <w:b/>
          <w:sz w:val="24"/>
          <w:szCs w:val="24"/>
        </w:rPr>
        <w:t>Sănătate și asistență socială</w:t>
      </w:r>
      <w:r w:rsidRPr="002F202A">
        <w:rPr>
          <w:rFonts w:ascii="Arial" w:hAnsi="Arial" w:cs="Arial"/>
          <w:sz w:val="24"/>
          <w:szCs w:val="24"/>
        </w:rPr>
        <w:t xml:space="preserve">  910</w:t>
      </w:r>
      <w:r w:rsidR="00911CFD">
        <w:rPr>
          <w:rFonts w:ascii="Arial" w:hAnsi="Arial" w:cs="Arial"/>
          <w:sz w:val="24"/>
          <w:szCs w:val="24"/>
        </w:rPr>
        <w:t xml:space="preserve"> </w:t>
      </w:r>
      <w:r w:rsidRPr="002F202A">
        <w:rPr>
          <w:rFonts w:ascii="Arial" w:hAnsi="Arial" w:cs="Arial"/>
          <w:sz w:val="24"/>
          <w:szCs w:val="24"/>
        </w:rPr>
        <w:t xml:space="preserve">(13 cu </w:t>
      </w:r>
      <w:r w:rsidR="00972E5C" w:rsidRPr="002F202A">
        <w:rPr>
          <w:rFonts w:ascii="Arial" w:hAnsi="Arial" w:cs="Arial"/>
          <w:sz w:val="24"/>
          <w:szCs w:val="24"/>
        </w:rPr>
        <w:t>bac</w:t>
      </w:r>
      <w:r w:rsidR="00972E5C">
        <w:rPr>
          <w:rFonts w:ascii="Arial" w:hAnsi="Arial" w:cs="Arial"/>
          <w:sz w:val="24"/>
          <w:szCs w:val="24"/>
        </w:rPr>
        <w:t>alaureat</w:t>
      </w:r>
      <w:r w:rsidR="00972E5C" w:rsidRPr="002F202A">
        <w:rPr>
          <w:rFonts w:ascii="Arial" w:hAnsi="Arial" w:cs="Arial"/>
          <w:sz w:val="24"/>
          <w:szCs w:val="24"/>
        </w:rPr>
        <w:t xml:space="preserve"> </w:t>
      </w:r>
      <w:r w:rsidRPr="002F202A">
        <w:rPr>
          <w:rFonts w:ascii="Arial" w:hAnsi="Arial" w:cs="Arial"/>
          <w:sz w:val="24"/>
          <w:szCs w:val="24"/>
        </w:rPr>
        <w:t>în alte țări) absolvenți dintre care 856 la master și 54 la programe postuniversitare</w:t>
      </w:r>
      <w:r w:rsidR="001906A2">
        <w:rPr>
          <w:rFonts w:ascii="Arial" w:hAnsi="Arial" w:cs="Arial"/>
          <w:sz w:val="24"/>
          <w:szCs w:val="24"/>
        </w:rPr>
        <w:t>;</w:t>
      </w:r>
    </w:p>
    <w:p w:rsidR="004670DC" w:rsidRPr="002F202A" w:rsidRDefault="004670DC" w:rsidP="00E53080">
      <w:pPr>
        <w:tabs>
          <w:tab w:val="left" w:pos="8579"/>
        </w:tabs>
        <w:spacing w:after="0" w:line="240" w:lineRule="auto"/>
        <w:jc w:val="both"/>
        <w:rPr>
          <w:rFonts w:ascii="Arial" w:hAnsi="Arial" w:cs="Arial"/>
          <w:sz w:val="24"/>
          <w:szCs w:val="24"/>
        </w:rPr>
      </w:pPr>
      <w:r w:rsidRPr="004670DC">
        <w:rPr>
          <w:rFonts w:ascii="Arial" w:hAnsi="Arial" w:cs="Arial"/>
          <w:b/>
          <w:sz w:val="24"/>
          <w:szCs w:val="24"/>
        </w:rPr>
        <w:t>Servicii</w:t>
      </w:r>
      <w:r w:rsidRPr="002F202A">
        <w:rPr>
          <w:rFonts w:ascii="Arial" w:hAnsi="Arial" w:cs="Arial"/>
          <w:sz w:val="24"/>
          <w:szCs w:val="24"/>
        </w:rPr>
        <w:t xml:space="preserve"> 3</w:t>
      </w:r>
      <w:r w:rsidR="001906A2">
        <w:rPr>
          <w:rFonts w:ascii="Arial" w:hAnsi="Arial" w:cs="Arial"/>
          <w:sz w:val="24"/>
          <w:szCs w:val="24"/>
        </w:rPr>
        <w:t>.</w:t>
      </w:r>
      <w:r w:rsidRPr="002F202A">
        <w:rPr>
          <w:rFonts w:ascii="Arial" w:hAnsi="Arial" w:cs="Arial"/>
          <w:sz w:val="24"/>
          <w:szCs w:val="24"/>
        </w:rPr>
        <w:t xml:space="preserve">299(65 cu </w:t>
      </w:r>
      <w:r w:rsidR="00972E5C" w:rsidRPr="002F202A">
        <w:rPr>
          <w:rFonts w:ascii="Arial" w:hAnsi="Arial" w:cs="Arial"/>
          <w:sz w:val="24"/>
          <w:szCs w:val="24"/>
        </w:rPr>
        <w:t>bac</w:t>
      </w:r>
      <w:r w:rsidR="00972E5C">
        <w:rPr>
          <w:rFonts w:ascii="Arial" w:hAnsi="Arial" w:cs="Arial"/>
          <w:sz w:val="24"/>
          <w:szCs w:val="24"/>
        </w:rPr>
        <w:t>alaureat</w:t>
      </w:r>
      <w:r w:rsidR="00972E5C" w:rsidRPr="002F202A">
        <w:rPr>
          <w:rFonts w:ascii="Arial" w:hAnsi="Arial" w:cs="Arial"/>
          <w:sz w:val="24"/>
          <w:szCs w:val="24"/>
        </w:rPr>
        <w:t xml:space="preserve"> </w:t>
      </w:r>
      <w:r w:rsidRPr="002F202A">
        <w:rPr>
          <w:rFonts w:ascii="Arial" w:hAnsi="Arial" w:cs="Arial"/>
          <w:sz w:val="24"/>
          <w:szCs w:val="24"/>
        </w:rPr>
        <w:t>în alte țări) absolvenți dintre care 1934 la master și 1365 la programe postuniversitare</w:t>
      </w:r>
      <w:r w:rsidR="001906A2">
        <w:rPr>
          <w:rFonts w:ascii="Arial" w:hAnsi="Arial" w:cs="Arial"/>
          <w:sz w:val="24"/>
          <w:szCs w:val="24"/>
        </w:rPr>
        <w:t>;</w:t>
      </w:r>
      <w:r w:rsidRPr="002F202A">
        <w:rPr>
          <w:rFonts w:ascii="Arial" w:hAnsi="Arial" w:cs="Arial"/>
          <w:sz w:val="24"/>
          <w:szCs w:val="24"/>
        </w:rPr>
        <w:t xml:space="preserve"> </w:t>
      </w:r>
    </w:p>
    <w:p w:rsidR="004670DC" w:rsidRPr="002F202A" w:rsidRDefault="004670DC" w:rsidP="00E53080">
      <w:pPr>
        <w:tabs>
          <w:tab w:val="left" w:pos="8579"/>
        </w:tabs>
        <w:spacing w:after="0" w:line="240" w:lineRule="auto"/>
        <w:jc w:val="both"/>
        <w:rPr>
          <w:rFonts w:ascii="Arial" w:hAnsi="Arial" w:cs="Arial"/>
          <w:sz w:val="24"/>
          <w:szCs w:val="24"/>
        </w:rPr>
      </w:pPr>
      <w:r w:rsidRPr="004670DC">
        <w:rPr>
          <w:rFonts w:ascii="Arial" w:hAnsi="Arial" w:cs="Arial"/>
          <w:b/>
          <w:sz w:val="24"/>
          <w:szCs w:val="24"/>
        </w:rPr>
        <w:t>Învățământul universitare de master și la programe postuniversitare se organizeaza în forme de zi</w:t>
      </w:r>
      <w:r w:rsidRPr="002F202A">
        <w:rPr>
          <w:rFonts w:ascii="Arial" w:hAnsi="Arial" w:cs="Arial"/>
          <w:sz w:val="24"/>
          <w:szCs w:val="24"/>
        </w:rPr>
        <w:t>, frecvență redusă și la distantă iar reparti</w:t>
      </w:r>
      <w:r w:rsidR="001906A2">
        <w:rPr>
          <w:rFonts w:ascii="Arial" w:hAnsi="Arial" w:cs="Arial"/>
          <w:sz w:val="24"/>
          <w:szCs w:val="24"/>
        </w:rPr>
        <w:t>ț</w:t>
      </w:r>
      <w:r w:rsidRPr="002F202A">
        <w:rPr>
          <w:rFonts w:ascii="Arial" w:hAnsi="Arial" w:cs="Arial"/>
          <w:sz w:val="24"/>
          <w:szCs w:val="24"/>
        </w:rPr>
        <w:t xml:space="preserve">ia absolventilor </w:t>
      </w:r>
      <w:r w:rsidR="001906A2">
        <w:rPr>
          <w:rFonts w:ascii="Arial" w:hAnsi="Arial" w:cs="Arial"/>
          <w:sz w:val="24"/>
          <w:szCs w:val="24"/>
        </w:rPr>
        <w:t>î</w:t>
      </w:r>
      <w:r w:rsidRPr="002F202A">
        <w:rPr>
          <w:rFonts w:ascii="Arial" w:hAnsi="Arial" w:cs="Arial"/>
          <w:sz w:val="24"/>
          <w:szCs w:val="24"/>
        </w:rPr>
        <w:t xml:space="preserve">n </w:t>
      </w:r>
      <w:r w:rsidRPr="002F202A">
        <w:rPr>
          <w:rFonts w:ascii="Arial" w:hAnsi="Arial" w:cs="Arial"/>
          <w:sz w:val="24"/>
          <w:szCs w:val="24"/>
        </w:rPr>
        <w:lastRenderedPageBreak/>
        <w:t>func</w:t>
      </w:r>
      <w:r w:rsidR="001906A2">
        <w:rPr>
          <w:rFonts w:ascii="Arial" w:hAnsi="Arial" w:cs="Arial"/>
          <w:sz w:val="24"/>
          <w:szCs w:val="24"/>
        </w:rPr>
        <w:t>ț</w:t>
      </w:r>
      <w:r w:rsidRPr="002F202A">
        <w:rPr>
          <w:rFonts w:ascii="Arial" w:hAnsi="Arial" w:cs="Arial"/>
          <w:sz w:val="24"/>
          <w:szCs w:val="24"/>
        </w:rPr>
        <w:t>ie de formele enuntate sunt: Învățământul de zi 38080 de absolventi dintre care 35</w:t>
      </w:r>
      <w:r w:rsidR="001906A2">
        <w:rPr>
          <w:rFonts w:ascii="Arial" w:hAnsi="Arial" w:cs="Arial"/>
          <w:sz w:val="24"/>
          <w:szCs w:val="24"/>
        </w:rPr>
        <w:t>.</w:t>
      </w:r>
      <w:r w:rsidRPr="002F202A">
        <w:rPr>
          <w:rFonts w:ascii="Arial" w:hAnsi="Arial" w:cs="Arial"/>
          <w:sz w:val="24"/>
          <w:szCs w:val="24"/>
        </w:rPr>
        <w:t>390 la master și 2690 la programe postuniversitare</w:t>
      </w:r>
      <w:r>
        <w:rPr>
          <w:rFonts w:ascii="Arial" w:hAnsi="Arial" w:cs="Arial"/>
          <w:sz w:val="24"/>
          <w:szCs w:val="24"/>
        </w:rPr>
        <w:t xml:space="preserve">, în strânsă corelare cu cerințele pieței muncii, studenții fiind în majoritatea cazurilor angajați. </w:t>
      </w:r>
    </w:p>
    <w:p w:rsidR="004670DC" w:rsidRPr="00597FB2" w:rsidRDefault="004670DC" w:rsidP="00E53080">
      <w:pPr>
        <w:spacing w:after="0" w:line="240" w:lineRule="auto"/>
        <w:jc w:val="both"/>
        <w:rPr>
          <w:rStyle w:val="Normal1"/>
          <w:rFonts w:ascii="Arial" w:hAnsi="Arial" w:cs="Arial"/>
          <w:b/>
          <w:bCs/>
          <w:sz w:val="24"/>
          <w:szCs w:val="24"/>
        </w:rPr>
      </w:pPr>
    </w:p>
    <w:p w:rsidR="00C041AB" w:rsidRDefault="00FE7DCF" w:rsidP="00E53080">
      <w:pPr>
        <w:spacing w:after="0" w:line="240" w:lineRule="auto"/>
        <w:jc w:val="both"/>
        <w:rPr>
          <w:rFonts w:ascii="Arial" w:hAnsi="Arial" w:cs="Arial"/>
          <w:b/>
          <w:sz w:val="24"/>
          <w:szCs w:val="24"/>
          <w:u w:val="single"/>
        </w:rPr>
      </w:pPr>
      <w:r w:rsidRPr="00597FB2">
        <w:rPr>
          <w:rStyle w:val="Normal1"/>
          <w:rFonts w:ascii="Arial" w:hAnsi="Arial" w:cs="Arial"/>
          <w:sz w:val="24"/>
          <w:szCs w:val="24"/>
          <w:u w:val="single"/>
        </w:rPr>
        <w:t xml:space="preserve"> </w:t>
      </w:r>
      <w:r w:rsidRPr="00597FB2">
        <w:rPr>
          <w:rFonts w:ascii="Arial" w:hAnsi="Arial" w:cs="Arial"/>
          <w:b/>
          <w:sz w:val="24"/>
          <w:szCs w:val="24"/>
          <w:u w:val="single"/>
        </w:rPr>
        <w:t xml:space="preserve">4. Învăţământul superior din regiunea Vest  </w:t>
      </w:r>
    </w:p>
    <w:p w:rsidR="00C041AB" w:rsidRPr="002F202A" w:rsidRDefault="00C041AB" w:rsidP="00E53080">
      <w:pPr>
        <w:spacing w:after="0" w:line="240" w:lineRule="auto"/>
        <w:jc w:val="both"/>
        <w:rPr>
          <w:rFonts w:ascii="Arial" w:hAnsi="Arial" w:cs="Arial"/>
          <w:sz w:val="24"/>
          <w:szCs w:val="24"/>
        </w:rPr>
      </w:pPr>
      <w:r w:rsidRPr="000C12E4">
        <w:rPr>
          <w:rFonts w:ascii="Arial" w:hAnsi="Arial" w:cs="Arial"/>
          <w:b/>
          <w:sz w:val="24"/>
          <w:szCs w:val="24"/>
        </w:rPr>
        <w:t>Studenții din învățământul universitar de licență</w:t>
      </w:r>
      <w:r>
        <w:rPr>
          <w:rFonts w:ascii="Arial" w:hAnsi="Arial" w:cs="Arial"/>
          <w:b/>
          <w:sz w:val="24"/>
          <w:szCs w:val="24"/>
        </w:rPr>
        <w:t xml:space="preserve"> în Regiunea V</w:t>
      </w:r>
      <w:r w:rsidRPr="000C12E4">
        <w:rPr>
          <w:rFonts w:ascii="Arial" w:hAnsi="Arial" w:cs="Arial"/>
          <w:b/>
          <w:sz w:val="24"/>
          <w:szCs w:val="24"/>
        </w:rPr>
        <w:t>est</w:t>
      </w:r>
      <w:r w:rsidRPr="002F202A">
        <w:rPr>
          <w:rFonts w:ascii="Arial" w:hAnsi="Arial" w:cs="Arial"/>
          <w:sz w:val="24"/>
          <w:szCs w:val="24"/>
        </w:rPr>
        <w:t xml:space="preserve"> studiază în universități publice și private.Num</w:t>
      </w:r>
      <w:r w:rsidR="001906A2">
        <w:rPr>
          <w:rFonts w:ascii="Arial" w:hAnsi="Arial" w:cs="Arial"/>
          <w:sz w:val="24"/>
          <w:szCs w:val="24"/>
        </w:rPr>
        <w:t>ă</w:t>
      </w:r>
      <w:r w:rsidRPr="002F202A">
        <w:rPr>
          <w:rFonts w:ascii="Arial" w:hAnsi="Arial" w:cs="Arial"/>
          <w:sz w:val="24"/>
          <w:szCs w:val="24"/>
        </w:rPr>
        <w:t>rul studenților din învățământul universitar de licență în regiunea Vest din uni</w:t>
      </w:r>
      <w:r w:rsidR="001906A2">
        <w:rPr>
          <w:rFonts w:ascii="Arial" w:hAnsi="Arial" w:cs="Arial"/>
          <w:sz w:val="24"/>
          <w:szCs w:val="24"/>
        </w:rPr>
        <w:t>versitățiile publice este de 34.</w:t>
      </w:r>
      <w:r w:rsidRPr="002F202A">
        <w:rPr>
          <w:rFonts w:ascii="Arial" w:hAnsi="Arial" w:cs="Arial"/>
          <w:sz w:val="24"/>
          <w:szCs w:val="24"/>
        </w:rPr>
        <w:t>041, iar repartiția lor este următoarea:</w:t>
      </w:r>
    </w:p>
    <w:p w:rsidR="00C041AB" w:rsidRPr="002F202A" w:rsidRDefault="00C041AB" w:rsidP="00E53080">
      <w:pPr>
        <w:spacing w:after="0" w:line="240" w:lineRule="auto"/>
        <w:jc w:val="both"/>
        <w:rPr>
          <w:rFonts w:ascii="Arial" w:hAnsi="Arial" w:cs="Arial"/>
          <w:sz w:val="24"/>
          <w:szCs w:val="24"/>
        </w:rPr>
      </w:pPr>
      <w:r w:rsidRPr="002F202A">
        <w:rPr>
          <w:rFonts w:ascii="Arial" w:hAnsi="Arial" w:cs="Arial"/>
          <w:i/>
          <w:sz w:val="24"/>
          <w:szCs w:val="24"/>
        </w:rPr>
        <w:t>Jude</w:t>
      </w:r>
      <w:r w:rsidR="002618B8">
        <w:rPr>
          <w:rFonts w:ascii="Arial" w:hAnsi="Arial" w:cs="Arial"/>
          <w:i/>
          <w:sz w:val="24"/>
          <w:szCs w:val="24"/>
        </w:rPr>
        <w:t>ț</w:t>
      </w:r>
      <w:r w:rsidRPr="002F202A">
        <w:rPr>
          <w:rFonts w:ascii="Arial" w:hAnsi="Arial" w:cs="Arial"/>
          <w:i/>
          <w:sz w:val="24"/>
          <w:szCs w:val="24"/>
        </w:rPr>
        <w:t>ul Arad, Municipiul Arad</w:t>
      </w:r>
      <w:r w:rsidR="001906A2">
        <w:rPr>
          <w:rFonts w:ascii="Arial" w:hAnsi="Arial" w:cs="Arial"/>
          <w:sz w:val="24"/>
          <w:szCs w:val="24"/>
        </w:rPr>
        <w:t xml:space="preserve">  sunt 4.</w:t>
      </w:r>
      <w:r w:rsidRPr="002F202A">
        <w:rPr>
          <w:rFonts w:ascii="Arial" w:hAnsi="Arial" w:cs="Arial"/>
          <w:sz w:val="24"/>
          <w:szCs w:val="24"/>
        </w:rPr>
        <w:t>140 studenți integraliști și cu credite și repetenți cu situația la învățătură neîncheiată,</w:t>
      </w:r>
    </w:p>
    <w:p w:rsidR="00C041AB" w:rsidRPr="002F202A" w:rsidRDefault="00C041AB" w:rsidP="00E53080">
      <w:pPr>
        <w:spacing w:after="0" w:line="240" w:lineRule="auto"/>
        <w:jc w:val="both"/>
        <w:rPr>
          <w:rFonts w:ascii="Arial" w:hAnsi="Arial" w:cs="Arial"/>
          <w:sz w:val="24"/>
          <w:szCs w:val="24"/>
        </w:rPr>
      </w:pPr>
      <w:r w:rsidRPr="002F202A">
        <w:rPr>
          <w:rFonts w:ascii="Arial" w:hAnsi="Arial" w:cs="Arial"/>
          <w:i/>
          <w:sz w:val="24"/>
          <w:szCs w:val="24"/>
        </w:rPr>
        <w:t>Judetul Cara</w:t>
      </w:r>
      <w:r w:rsidR="002618B8">
        <w:rPr>
          <w:rFonts w:ascii="Arial" w:hAnsi="Arial" w:cs="Arial"/>
          <w:i/>
          <w:sz w:val="24"/>
          <w:szCs w:val="24"/>
        </w:rPr>
        <w:t>ș</w:t>
      </w:r>
      <w:r w:rsidRPr="002F202A">
        <w:rPr>
          <w:rFonts w:ascii="Arial" w:hAnsi="Arial" w:cs="Arial"/>
          <w:i/>
          <w:sz w:val="24"/>
          <w:szCs w:val="24"/>
        </w:rPr>
        <w:t>-Severin, Municipiul Resița</w:t>
      </w:r>
      <w:r w:rsidRPr="002F202A">
        <w:rPr>
          <w:rFonts w:ascii="Arial" w:hAnsi="Arial" w:cs="Arial"/>
          <w:sz w:val="24"/>
          <w:szCs w:val="24"/>
        </w:rPr>
        <w:t xml:space="preserve"> sunt 1</w:t>
      </w:r>
      <w:r w:rsidR="001906A2">
        <w:rPr>
          <w:rFonts w:ascii="Arial" w:hAnsi="Arial" w:cs="Arial"/>
          <w:sz w:val="24"/>
          <w:szCs w:val="24"/>
        </w:rPr>
        <w:t>.</w:t>
      </w:r>
      <w:r w:rsidRPr="002F202A">
        <w:rPr>
          <w:rFonts w:ascii="Arial" w:hAnsi="Arial" w:cs="Arial"/>
          <w:sz w:val="24"/>
          <w:szCs w:val="24"/>
        </w:rPr>
        <w:t>022 studenți integraliști și cu credite și repetenți cu situația la învățătură neîncheiată,</w:t>
      </w:r>
    </w:p>
    <w:p w:rsidR="00C041AB" w:rsidRPr="002F202A" w:rsidRDefault="00C041AB" w:rsidP="00E53080">
      <w:pPr>
        <w:spacing w:after="0" w:line="240" w:lineRule="auto"/>
        <w:jc w:val="both"/>
        <w:rPr>
          <w:rFonts w:ascii="Arial" w:hAnsi="Arial" w:cs="Arial"/>
          <w:sz w:val="24"/>
          <w:szCs w:val="24"/>
        </w:rPr>
      </w:pPr>
      <w:r w:rsidRPr="002F202A">
        <w:rPr>
          <w:rFonts w:ascii="Arial" w:hAnsi="Arial" w:cs="Arial"/>
          <w:i/>
          <w:sz w:val="24"/>
          <w:szCs w:val="24"/>
        </w:rPr>
        <w:t>Județul Hunedoara, Municipiul Petroșani</w:t>
      </w:r>
      <w:r w:rsidRPr="002F202A">
        <w:rPr>
          <w:rFonts w:ascii="Arial" w:hAnsi="Arial" w:cs="Arial"/>
          <w:sz w:val="24"/>
          <w:szCs w:val="24"/>
        </w:rPr>
        <w:t xml:space="preserve"> sunt 1</w:t>
      </w:r>
      <w:r w:rsidR="001906A2">
        <w:rPr>
          <w:rFonts w:ascii="Arial" w:hAnsi="Arial" w:cs="Arial"/>
          <w:sz w:val="24"/>
          <w:szCs w:val="24"/>
        </w:rPr>
        <w:t>.</w:t>
      </w:r>
      <w:r w:rsidRPr="002F202A">
        <w:rPr>
          <w:rFonts w:ascii="Arial" w:hAnsi="Arial" w:cs="Arial"/>
          <w:sz w:val="24"/>
          <w:szCs w:val="24"/>
        </w:rPr>
        <w:t>800 studenți integraliști și cu credite și repetenți cu situatia la învățătură neîncheiată,</w:t>
      </w:r>
    </w:p>
    <w:p w:rsidR="009C57DD" w:rsidRDefault="00C041AB" w:rsidP="009C57DD">
      <w:pPr>
        <w:spacing w:after="0" w:line="240" w:lineRule="auto"/>
        <w:jc w:val="both"/>
        <w:rPr>
          <w:rFonts w:ascii="Arial" w:hAnsi="Arial" w:cs="Arial"/>
          <w:sz w:val="24"/>
          <w:szCs w:val="24"/>
        </w:rPr>
      </w:pPr>
      <w:r w:rsidRPr="002F202A">
        <w:rPr>
          <w:rFonts w:ascii="Arial" w:hAnsi="Arial" w:cs="Arial"/>
          <w:i/>
          <w:sz w:val="24"/>
          <w:szCs w:val="24"/>
        </w:rPr>
        <w:t>Județul Timiș, Municipiul Timișoara</w:t>
      </w:r>
      <w:r w:rsidRPr="002F202A">
        <w:rPr>
          <w:rFonts w:ascii="Arial" w:hAnsi="Arial" w:cs="Arial"/>
          <w:sz w:val="24"/>
          <w:szCs w:val="24"/>
        </w:rPr>
        <w:t xml:space="preserve"> sunt 27</w:t>
      </w:r>
      <w:r w:rsidR="001906A2">
        <w:rPr>
          <w:rFonts w:ascii="Arial" w:hAnsi="Arial" w:cs="Arial"/>
          <w:sz w:val="24"/>
          <w:szCs w:val="24"/>
        </w:rPr>
        <w:t>.</w:t>
      </w:r>
      <w:r w:rsidRPr="002F202A">
        <w:rPr>
          <w:rFonts w:ascii="Arial" w:hAnsi="Arial" w:cs="Arial"/>
          <w:sz w:val="24"/>
          <w:szCs w:val="24"/>
        </w:rPr>
        <w:t>079 studenți integraliști și cu credite și repetenți cu situatia la învățătură neîncheiată.</w:t>
      </w:r>
    </w:p>
    <w:p w:rsidR="00C041AB" w:rsidRPr="002F202A" w:rsidRDefault="00C041AB" w:rsidP="009C57DD">
      <w:pPr>
        <w:spacing w:after="0" w:line="240" w:lineRule="auto"/>
        <w:jc w:val="both"/>
        <w:rPr>
          <w:rFonts w:ascii="Arial" w:hAnsi="Arial" w:cs="Arial"/>
          <w:sz w:val="24"/>
          <w:szCs w:val="24"/>
        </w:rPr>
      </w:pPr>
      <w:r w:rsidRPr="002F202A">
        <w:rPr>
          <w:rFonts w:ascii="Arial" w:hAnsi="Arial" w:cs="Arial"/>
          <w:sz w:val="24"/>
          <w:szCs w:val="24"/>
        </w:rPr>
        <w:t>Numarul studenților din învățământul universitar de licență în regiunea Vest din universitățiile private este de studenți, iar repartiția lor este următoarea:</w:t>
      </w:r>
    </w:p>
    <w:p w:rsidR="00C041AB" w:rsidRPr="002F202A" w:rsidRDefault="00C041AB" w:rsidP="00E53080">
      <w:pPr>
        <w:spacing w:after="0" w:line="240" w:lineRule="auto"/>
        <w:jc w:val="both"/>
        <w:rPr>
          <w:rFonts w:ascii="Arial" w:hAnsi="Arial" w:cs="Arial"/>
          <w:sz w:val="24"/>
          <w:szCs w:val="24"/>
        </w:rPr>
      </w:pPr>
      <w:r w:rsidRPr="002F202A">
        <w:rPr>
          <w:rFonts w:ascii="Arial" w:hAnsi="Arial" w:cs="Arial"/>
          <w:i/>
          <w:sz w:val="24"/>
          <w:szCs w:val="24"/>
        </w:rPr>
        <w:t xml:space="preserve">Județul Arad,   Municipiul Arad  </w:t>
      </w:r>
      <w:r w:rsidRPr="002F202A">
        <w:rPr>
          <w:rFonts w:ascii="Arial" w:hAnsi="Arial" w:cs="Arial"/>
          <w:sz w:val="24"/>
          <w:szCs w:val="24"/>
        </w:rPr>
        <w:t>sunt 5 282 studenti integraliști și cu credite și repetenți cu situatia la invățătură neîncheiată,</w:t>
      </w:r>
    </w:p>
    <w:p w:rsidR="00C041AB" w:rsidRPr="002F202A" w:rsidRDefault="00C041AB" w:rsidP="00E53080">
      <w:pPr>
        <w:spacing w:after="0" w:line="240" w:lineRule="auto"/>
        <w:jc w:val="both"/>
        <w:rPr>
          <w:rFonts w:ascii="Arial" w:hAnsi="Arial" w:cs="Arial"/>
          <w:sz w:val="24"/>
          <w:szCs w:val="24"/>
        </w:rPr>
      </w:pPr>
      <w:r w:rsidRPr="002F202A">
        <w:rPr>
          <w:rFonts w:ascii="Arial" w:hAnsi="Arial" w:cs="Arial"/>
          <w:i/>
          <w:sz w:val="24"/>
          <w:szCs w:val="24"/>
        </w:rPr>
        <w:t>Județul Timiș, Municipiul Timișoara</w:t>
      </w:r>
      <w:r w:rsidRPr="002F202A">
        <w:rPr>
          <w:rFonts w:ascii="Arial" w:hAnsi="Arial" w:cs="Arial"/>
          <w:sz w:val="24"/>
          <w:szCs w:val="24"/>
        </w:rPr>
        <w:t xml:space="preserve"> sunt 1287 studenți integraliști și cu credite și repetenți cu situa</w:t>
      </w:r>
      <w:r w:rsidR="00295B05">
        <w:rPr>
          <w:rFonts w:ascii="Arial" w:hAnsi="Arial" w:cs="Arial"/>
          <w:sz w:val="24"/>
          <w:szCs w:val="24"/>
        </w:rPr>
        <w:t>ț</w:t>
      </w:r>
      <w:r w:rsidRPr="002F202A">
        <w:rPr>
          <w:rFonts w:ascii="Arial" w:hAnsi="Arial" w:cs="Arial"/>
          <w:sz w:val="24"/>
          <w:szCs w:val="24"/>
        </w:rPr>
        <w:t xml:space="preserve">ia la </w:t>
      </w:r>
      <w:r w:rsidR="00295B05">
        <w:rPr>
          <w:rFonts w:ascii="Arial" w:hAnsi="Arial" w:cs="Arial"/>
          <w:sz w:val="24"/>
          <w:szCs w:val="24"/>
        </w:rPr>
        <w:t>î</w:t>
      </w:r>
      <w:r w:rsidRPr="002F202A">
        <w:rPr>
          <w:rFonts w:ascii="Arial" w:hAnsi="Arial" w:cs="Arial"/>
          <w:sz w:val="24"/>
          <w:szCs w:val="24"/>
        </w:rPr>
        <w:t xml:space="preserve">nvățătură neîncheiată, </w:t>
      </w:r>
      <w:r w:rsidRPr="002F202A">
        <w:rPr>
          <w:rFonts w:ascii="Arial" w:hAnsi="Arial" w:cs="Arial"/>
          <w:i/>
          <w:sz w:val="24"/>
          <w:szCs w:val="24"/>
        </w:rPr>
        <w:t>iar în Municipiul Lugoj</w:t>
      </w:r>
      <w:r w:rsidRPr="002F202A">
        <w:rPr>
          <w:rFonts w:ascii="Arial" w:hAnsi="Arial" w:cs="Arial"/>
          <w:sz w:val="24"/>
          <w:szCs w:val="24"/>
        </w:rPr>
        <w:t xml:space="preserve"> sunt 212 studenți integraliști și cu credite și repetenți cu situația la învățătură neîncheiată.</w:t>
      </w:r>
    </w:p>
    <w:p w:rsidR="00C041AB" w:rsidRPr="00597FB2" w:rsidRDefault="00C041AB" w:rsidP="000C6A67">
      <w:pPr>
        <w:spacing w:after="0" w:line="240" w:lineRule="auto"/>
        <w:jc w:val="both"/>
        <w:rPr>
          <w:rFonts w:ascii="Arial" w:hAnsi="Arial" w:cs="Arial"/>
          <w:b/>
          <w:sz w:val="24"/>
          <w:szCs w:val="24"/>
          <w:u w:val="single"/>
        </w:rPr>
      </w:pPr>
    </w:p>
    <w:p w:rsidR="00FE7DCF" w:rsidRPr="002E6486" w:rsidRDefault="00FE7DCF" w:rsidP="000C6A67">
      <w:pPr>
        <w:spacing w:after="0" w:line="240" w:lineRule="auto"/>
        <w:jc w:val="both"/>
        <w:rPr>
          <w:rFonts w:ascii="Arial" w:hAnsi="Arial" w:cs="Arial"/>
          <w:b/>
          <w:sz w:val="24"/>
          <w:szCs w:val="24"/>
        </w:rPr>
      </w:pPr>
      <w:r w:rsidRPr="002E6486">
        <w:rPr>
          <w:rFonts w:ascii="Arial" w:hAnsi="Arial" w:cs="Arial"/>
          <w:b/>
          <w:color w:val="FF0000"/>
          <w:sz w:val="24"/>
          <w:szCs w:val="24"/>
        </w:rPr>
        <w:t xml:space="preserve"> </w:t>
      </w:r>
      <w:r w:rsidRPr="002E6486">
        <w:rPr>
          <w:rFonts w:ascii="Arial" w:hAnsi="Arial" w:cs="Arial"/>
          <w:b/>
          <w:sz w:val="24"/>
          <w:szCs w:val="24"/>
        </w:rPr>
        <w:t>CONETXTUL REGIONAL</w:t>
      </w:r>
    </w:p>
    <w:p w:rsidR="00FE7DCF" w:rsidRPr="002E6486" w:rsidRDefault="00FE7DCF" w:rsidP="000C6A67">
      <w:pPr>
        <w:spacing w:after="0" w:line="240" w:lineRule="auto"/>
        <w:jc w:val="both"/>
        <w:rPr>
          <w:rFonts w:ascii="Arial" w:hAnsi="Arial" w:cs="Arial"/>
          <w:b/>
          <w:sz w:val="24"/>
          <w:szCs w:val="24"/>
        </w:rPr>
      </w:pP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b/>
          <w:sz w:val="24"/>
          <w:szCs w:val="24"/>
        </w:rPr>
        <w:t xml:space="preserve">Strategia Regiunii Vest 2014-2020 </w:t>
      </w:r>
      <w:hyperlink r:id="rId71" w:history="1">
        <w:r w:rsidRPr="006813AB">
          <w:rPr>
            <w:rStyle w:val="Hyperlink"/>
            <w:rFonts w:ascii="Arial" w:hAnsi="Arial" w:cs="Arial"/>
            <w:sz w:val="20"/>
            <w:szCs w:val="20"/>
          </w:rPr>
          <w:t>http://adrvest.ro/planul-pentru-dezvoltare-regionala-2014-2020/</w:t>
        </w:r>
      </w:hyperlink>
      <w:r w:rsidRPr="006813AB">
        <w:rPr>
          <w:rFonts w:ascii="Arial" w:hAnsi="Arial" w:cs="Arial"/>
          <w:b/>
          <w:sz w:val="20"/>
          <w:szCs w:val="20"/>
        </w:rPr>
        <w:t xml:space="preserve">    </w:t>
      </w:r>
      <w:r w:rsidRPr="002E6486">
        <w:rPr>
          <w:rFonts w:ascii="Arial" w:hAnsi="Arial" w:cs="Arial"/>
          <w:sz w:val="24"/>
          <w:szCs w:val="24"/>
        </w:rPr>
        <w:t>Strategia pentru Dezvoltare Regională pentru perioada 2014-2020 reprezintă viziunea Regiunii Vest privind dezvoltarea regională și baza strategică pentru fundamentarea programelor de finanţare din fonduri externe /comunitare, naţionale, regionale și / sau locale.</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 xml:space="preserve">Pentru a îndeplini obiectivul general acela ca  </w:t>
      </w:r>
      <w:r w:rsidRPr="002E6486">
        <w:rPr>
          <w:rFonts w:ascii="Arial" w:hAnsi="Arial" w:cs="Arial"/>
          <w:b/>
          <w:sz w:val="24"/>
          <w:szCs w:val="24"/>
        </w:rPr>
        <w:t xml:space="preserve">Regiunea Vest să devină o regiune –productivă – dinamică – conectată la nou – coezivă – agreabilă, </w:t>
      </w:r>
      <w:r w:rsidRPr="002E6486">
        <w:rPr>
          <w:rFonts w:ascii="Arial" w:hAnsi="Arial" w:cs="Arial"/>
          <w:sz w:val="24"/>
          <w:szCs w:val="24"/>
        </w:rPr>
        <w:t>obiectivele specifice propuse trebuie atinse.</w:t>
      </w:r>
    </w:p>
    <w:p w:rsidR="00FE7DCF" w:rsidRPr="002E6486" w:rsidRDefault="00FE7DCF" w:rsidP="000C6A67">
      <w:pPr>
        <w:spacing w:after="0" w:line="240" w:lineRule="auto"/>
        <w:jc w:val="both"/>
        <w:rPr>
          <w:rFonts w:ascii="Arial" w:hAnsi="Arial" w:cs="Arial"/>
          <w:b/>
          <w:sz w:val="24"/>
          <w:szCs w:val="24"/>
        </w:rPr>
      </w:pPr>
      <w:r w:rsidRPr="002E6486">
        <w:rPr>
          <w:rFonts w:ascii="Arial" w:hAnsi="Arial" w:cs="Arial"/>
          <w:sz w:val="24"/>
          <w:szCs w:val="24"/>
        </w:rPr>
        <w:t>Unul din obiectivel</w:t>
      </w:r>
      <w:r w:rsidR="00E53080">
        <w:rPr>
          <w:rFonts w:ascii="Arial" w:hAnsi="Arial" w:cs="Arial"/>
          <w:sz w:val="24"/>
          <w:szCs w:val="24"/>
        </w:rPr>
        <w:t>e specifice ale strategiei este</w:t>
      </w:r>
      <w:r w:rsidRPr="002E6486">
        <w:rPr>
          <w:rFonts w:ascii="Arial" w:hAnsi="Arial" w:cs="Arial"/>
          <w:sz w:val="24"/>
          <w:szCs w:val="24"/>
        </w:rPr>
        <w:t xml:space="preserve">: </w:t>
      </w:r>
      <w:r w:rsidRPr="002E6486">
        <w:rPr>
          <w:rFonts w:ascii="Arial" w:hAnsi="Arial" w:cs="Arial"/>
          <w:b/>
          <w:sz w:val="24"/>
          <w:szCs w:val="24"/>
        </w:rPr>
        <w:t>Accentuarea rolului cercetarii -inovarii</w:t>
      </w:r>
    </w:p>
    <w:p w:rsidR="00FE7DCF" w:rsidRDefault="00FE7DCF" w:rsidP="000C6A67">
      <w:pPr>
        <w:spacing w:after="0" w:line="240" w:lineRule="auto"/>
        <w:jc w:val="both"/>
        <w:rPr>
          <w:rFonts w:ascii="Arial" w:hAnsi="Arial" w:cs="Arial"/>
          <w:sz w:val="24"/>
          <w:szCs w:val="24"/>
        </w:rPr>
      </w:pPr>
      <w:r w:rsidRPr="002E6486">
        <w:rPr>
          <w:rFonts w:ascii="Arial" w:hAnsi="Arial" w:cs="Arial"/>
          <w:sz w:val="24"/>
          <w:szCs w:val="24"/>
        </w:rPr>
        <w:t>Documentul vizeaza „ interventii la nivelul modului in care domeniul CDI este configurat si organizat la nivelul regiunii, cu accent pe crearea unor legaturi mai stranse cu mediul de afaceri, in vederea transmiterii rezultatelor CDI in mediul privat.”</w:t>
      </w:r>
    </w:p>
    <w:p w:rsidR="00FE7DCF" w:rsidRPr="002E6486" w:rsidRDefault="00FE7DCF" w:rsidP="000C6A67">
      <w:pPr>
        <w:spacing w:after="0" w:line="240" w:lineRule="auto"/>
        <w:jc w:val="both"/>
        <w:rPr>
          <w:rFonts w:ascii="Arial" w:hAnsi="Arial" w:cs="Arial"/>
          <w:b/>
          <w:sz w:val="24"/>
          <w:szCs w:val="24"/>
        </w:rPr>
      </w:pPr>
      <w:r w:rsidRPr="002E6486">
        <w:rPr>
          <w:rFonts w:ascii="Arial" w:hAnsi="Arial" w:cs="Arial"/>
          <w:b/>
          <w:sz w:val="24"/>
          <w:szCs w:val="24"/>
        </w:rPr>
        <w:t xml:space="preserve">Documentul este structurat în Axe prioritare, cu Obiectiv și Obiectiv tematic relevant și descrierea priorităților de investiții aferente. </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b/>
          <w:sz w:val="24"/>
          <w:szCs w:val="24"/>
          <w:u w:val="single"/>
        </w:rPr>
        <w:t xml:space="preserve">Obiectivul </w:t>
      </w:r>
      <w:r w:rsidRPr="00C041AB">
        <w:rPr>
          <w:rFonts w:ascii="Arial" w:hAnsi="Arial" w:cs="Arial"/>
          <w:b/>
          <w:sz w:val="24"/>
          <w:szCs w:val="24"/>
        </w:rPr>
        <w:t>care vizeaza direct invatamantul superior</w:t>
      </w:r>
      <w:r w:rsidRPr="002E6486">
        <w:rPr>
          <w:rFonts w:ascii="Arial" w:hAnsi="Arial" w:cs="Arial"/>
          <w:sz w:val="24"/>
          <w:szCs w:val="24"/>
        </w:rPr>
        <w:t xml:space="preserve"> este : Crearea unei culturi a inovarii si dezvoltarea sectoarelor cheie in regiunea de Vest cu </w:t>
      </w:r>
      <w:r w:rsidRPr="002E6486">
        <w:rPr>
          <w:rFonts w:ascii="Arial" w:hAnsi="Arial" w:cs="Arial"/>
          <w:b/>
          <w:sz w:val="24"/>
          <w:szCs w:val="24"/>
        </w:rPr>
        <w:t>Obiectivul tematic 1- Consolidarea cercetarii, dezvoltarii tehnologice si inovarii</w:t>
      </w:r>
    </w:p>
    <w:p w:rsidR="00FE7DCF" w:rsidRPr="002E6486" w:rsidRDefault="00FE7DCF" w:rsidP="000C6A67">
      <w:pPr>
        <w:spacing w:after="0" w:line="240" w:lineRule="auto"/>
        <w:jc w:val="both"/>
        <w:rPr>
          <w:rFonts w:ascii="Arial" w:hAnsi="Arial" w:cs="Arial"/>
          <w:b/>
          <w:sz w:val="24"/>
          <w:szCs w:val="24"/>
        </w:rPr>
      </w:pPr>
      <w:r w:rsidRPr="002E6486">
        <w:rPr>
          <w:rFonts w:ascii="Arial" w:hAnsi="Arial" w:cs="Arial"/>
          <w:b/>
          <w:sz w:val="24"/>
          <w:szCs w:val="24"/>
          <w:u w:val="single"/>
        </w:rPr>
        <w:t>Documentul este structurat pe 8 priorități de dezvoltare asumate</w:t>
      </w:r>
      <w:r w:rsidRPr="002E6486">
        <w:rPr>
          <w:rFonts w:ascii="Arial" w:hAnsi="Arial" w:cs="Arial"/>
          <w:b/>
          <w:sz w:val="24"/>
          <w:szCs w:val="24"/>
        </w:rPr>
        <w:t xml:space="preserve"> , </w:t>
      </w:r>
      <w:r w:rsidRPr="002E6486">
        <w:rPr>
          <w:rFonts w:ascii="Arial" w:hAnsi="Arial" w:cs="Arial"/>
          <w:sz w:val="24"/>
          <w:szCs w:val="24"/>
        </w:rPr>
        <w:t>în mod explicit</w:t>
      </w:r>
      <w:r w:rsidRPr="002E6486">
        <w:rPr>
          <w:rFonts w:ascii="Arial" w:hAnsi="Arial" w:cs="Arial"/>
          <w:b/>
          <w:sz w:val="24"/>
          <w:szCs w:val="24"/>
        </w:rPr>
        <w:t xml:space="preserve"> </w:t>
      </w:r>
      <w:r w:rsidRPr="002E6486">
        <w:rPr>
          <w:rFonts w:ascii="Arial" w:hAnsi="Arial" w:cs="Arial"/>
          <w:sz w:val="24"/>
          <w:szCs w:val="24"/>
        </w:rPr>
        <w:t>una dintre axe este dedicată CDI:</w:t>
      </w:r>
      <w:r w:rsidRPr="002E6486">
        <w:rPr>
          <w:rFonts w:ascii="Arial" w:hAnsi="Arial" w:cs="Arial"/>
          <w:b/>
          <w:sz w:val="24"/>
          <w:szCs w:val="24"/>
        </w:rPr>
        <w:t xml:space="preserve"> Axa prioritara 1</w:t>
      </w:r>
      <w:r w:rsidRPr="002E6486">
        <w:rPr>
          <w:rFonts w:ascii="Arial" w:hAnsi="Arial" w:cs="Arial"/>
          <w:b/>
          <w:i/>
          <w:sz w:val="24"/>
          <w:szCs w:val="24"/>
        </w:rPr>
        <w:t>. Creșterea competitivității regionale prin promovarea inovării și specializării  inteligente.</w:t>
      </w:r>
    </w:p>
    <w:p w:rsidR="00FE7DCF" w:rsidRPr="002E6486" w:rsidRDefault="00FE7DCF" w:rsidP="000C6A67">
      <w:pPr>
        <w:widowControl w:val="0"/>
        <w:autoSpaceDE w:val="0"/>
        <w:autoSpaceDN w:val="0"/>
        <w:adjustRightInd w:val="0"/>
        <w:snapToGrid w:val="0"/>
        <w:spacing w:after="0" w:line="240" w:lineRule="auto"/>
        <w:jc w:val="both"/>
        <w:rPr>
          <w:rFonts w:ascii="Arial" w:hAnsi="Arial" w:cs="Arial"/>
          <w:color w:val="000000" w:themeColor="text1"/>
          <w:sz w:val="24"/>
          <w:szCs w:val="24"/>
        </w:rPr>
      </w:pPr>
      <w:r w:rsidRPr="002E6486">
        <w:rPr>
          <w:rFonts w:ascii="Arial" w:hAnsi="Arial" w:cs="Arial"/>
          <w:color w:val="000000" w:themeColor="text1"/>
          <w:sz w:val="24"/>
          <w:szCs w:val="24"/>
        </w:rPr>
        <w:t xml:space="preserve">Prioritatea de investiţie 1.1. </w:t>
      </w:r>
      <w:r w:rsidRPr="002E6486">
        <w:rPr>
          <w:rFonts w:ascii="Arial" w:hAnsi="Arial" w:cs="Arial"/>
          <w:b/>
          <w:color w:val="000000" w:themeColor="text1"/>
          <w:sz w:val="24"/>
          <w:szCs w:val="24"/>
        </w:rPr>
        <w:t>Consolidarea infrastructurii şi capacitãţilor regionale de cercetare-dezvoltare-inovare şi promovarea centrelor de competenţã</w:t>
      </w:r>
    </w:p>
    <w:p w:rsidR="00FE7DCF" w:rsidRPr="002E6486" w:rsidRDefault="00FE7DCF" w:rsidP="000C6A67">
      <w:pPr>
        <w:spacing w:after="0" w:line="240" w:lineRule="auto"/>
        <w:jc w:val="both"/>
        <w:rPr>
          <w:rFonts w:ascii="Arial" w:hAnsi="Arial" w:cs="Arial"/>
          <w:color w:val="000000" w:themeColor="text1"/>
          <w:sz w:val="24"/>
          <w:szCs w:val="24"/>
        </w:rPr>
      </w:pPr>
      <w:r w:rsidRPr="002E6486">
        <w:rPr>
          <w:rFonts w:ascii="Arial" w:hAnsi="Arial" w:cs="Arial"/>
          <w:i/>
          <w:color w:val="000000" w:themeColor="text1"/>
          <w:sz w:val="24"/>
          <w:szCs w:val="24"/>
        </w:rPr>
        <w:t>Obiectiv specific</w:t>
      </w:r>
      <w:r w:rsidRPr="002E6486">
        <w:rPr>
          <w:rFonts w:ascii="Arial" w:hAnsi="Arial" w:cs="Arial"/>
          <w:color w:val="000000" w:themeColor="text1"/>
          <w:sz w:val="24"/>
          <w:szCs w:val="24"/>
        </w:rPr>
        <w:t xml:space="preserve">: Creşterea capacităţii de cercetare şi inovare din regiune </w:t>
      </w:r>
    </w:p>
    <w:p w:rsidR="00FE7DCF" w:rsidRPr="002E6486" w:rsidRDefault="00FE7DCF" w:rsidP="000C6A67">
      <w:pPr>
        <w:widowControl w:val="0"/>
        <w:autoSpaceDE w:val="0"/>
        <w:autoSpaceDN w:val="0"/>
        <w:adjustRightInd w:val="0"/>
        <w:snapToGrid w:val="0"/>
        <w:spacing w:after="0" w:line="240" w:lineRule="auto"/>
        <w:jc w:val="both"/>
        <w:rPr>
          <w:rFonts w:ascii="Arial" w:hAnsi="Arial" w:cs="Arial"/>
          <w:sz w:val="24"/>
          <w:szCs w:val="24"/>
        </w:rPr>
      </w:pPr>
      <w:r w:rsidRPr="002E6486">
        <w:rPr>
          <w:rFonts w:ascii="Arial" w:hAnsi="Arial" w:cs="Arial"/>
          <w:sz w:val="24"/>
          <w:szCs w:val="24"/>
        </w:rPr>
        <w:t xml:space="preserve">Justificare se refera la faptul ca ” În România, resursele limitate pentru cercetare și </w:t>
      </w:r>
      <w:r w:rsidRPr="002E6486">
        <w:rPr>
          <w:rFonts w:ascii="Arial" w:hAnsi="Arial" w:cs="Arial"/>
          <w:sz w:val="24"/>
          <w:szCs w:val="24"/>
        </w:rPr>
        <w:lastRenderedPageBreak/>
        <w:t xml:space="preserve">inovare sunt distribuite sumar unui numãr mare de institute de CDI, cu o mare pierdere a eficienţei, iar Regiunea Vest nu face excepţie. Cu toate acestea, în sectorul privat din Regiunea Vest, cererea de cercetare efectuatã în institutele CDI și universitãţi se raporteazã ca fiind extrem de scãzutã, din cauza asimetriei informaţiilor dintre CDI/universitãţi și întreprinderi. Numãrul mare de institute de CDI ineficiente estompeazã capacitatea sectorului privat de a le selecta pe cele performante, blocând proiectele în colaborare. Regiunea Vest trebuie sã își consolideze sistemul CDI, precum și fondurile ce sunt direcţionate cãtre aceste institute. Fondurile publice disponibile atât pentru universitãţi, cât și pentru institutele CDI sunt orientate în principal cãtre cercetarea de bazã, fãrã a ţine seamã de importanţa fazei de validare a conceptului, de dezvoltare tehnologicã în fazã incipientã, de dezvoltare a produsului și de comercializare din procesul de invenţie, cu alte cuvinte de aspectul de "inovare". Crearea de valoare realã și creșterea productivitãţii în economie pentru cererile de activitãţi de cercetare și dezvoltare apar doar în aceste etape ulterioare. Existã o mare eterogenitate în rândul capacitãţilor CDI din Regiunea Vest. În timp ce unele institute CDI realizeazã cercetarea la standarde internaţionale, majoritatea institutelor CDI supravieţuiesc datoritã fondurilor publice, sau datoritã serviciilor suplimentare pe care acestea le furnizeazã în afarã de cercetare sau inovare. Cercetarea și inovarea unui produs sau a unui proces nou sau îmbunãtãţit sunt activități costisitoare, iar universitãţile/CDI nu pot comunica întreprinderilor amploarea costurilor de la început, fapt ce sugereazã cã regiunea poate beneficia de organisme intermediare care ar putea facilita o comunicare mai bunã. </w:t>
      </w:r>
    </w:p>
    <w:p w:rsidR="00FE7DCF" w:rsidRPr="002E6486" w:rsidRDefault="00FE7DCF" w:rsidP="000C6A67">
      <w:pPr>
        <w:widowControl w:val="0"/>
        <w:autoSpaceDE w:val="0"/>
        <w:autoSpaceDN w:val="0"/>
        <w:adjustRightInd w:val="0"/>
        <w:snapToGrid w:val="0"/>
        <w:spacing w:after="0" w:line="240" w:lineRule="auto"/>
        <w:jc w:val="both"/>
        <w:rPr>
          <w:rFonts w:ascii="Arial" w:hAnsi="Arial" w:cs="Arial"/>
          <w:sz w:val="24"/>
          <w:szCs w:val="24"/>
        </w:rPr>
      </w:pPr>
      <w:r w:rsidRPr="002E6486">
        <w:rPr>
          <w:rFonts w:ascii="Arial" w:hAnsi="Arial" w:cs="Arial"/>
          <w:sz w:val="24"/>
          <w:szCs w:val="24"/>
        </w:rPr>
        <w:t xml:space="preserve">Până acum a existat în regiune o concentrare masivă pe latura de "cercetare" cu un efort de sprijinire a numărului mare de CDI. Această concentrare ar trebui să treacă la pasul următor la "inovare", prin dezvoltarea unor proiecte care să stimuleze dezvoltarea aplicaţiilor practice prin colaborare. </w:t>
      </w:r>
    </w:p>
    <w:p w:rsidR="00FE7DCF" w:rsidRPr="002E6486" w:rsidRDefault="00FE7DCF" w:rsidP="000C6A67">
      <w:pPr>
        <w:widowControl w:val="0"/>
        <w:autoSpaceDE w:val="0"/>
        <w:autoSpaceDN w:val="0"/>
        <w:adjustRightInd w:val="0"/>
        <w:snapToGrid w:val="0"/>
        <w:spacing w:after="0" w:line="240" w:lineRule="auto"/>
        <w:jc w:val="both"/>
        <w:rPr>
          <w:rFonts w:ascii="Arial" w:hAnsi="Arial" w:cs="Arial"/>
          <w:sz w:val="24"/>
          <w:szCs w:val="24"/>
        </w:rPr>
      </w:pPr>
      <w:r w:rsidRPr="002E6486">
        <w:rPr>
          <w:rFonts w:ascii="Arial" w:hAnsi="Arial" w:cs="Arial"/>
          <w:sz w:val="24"/>
          <w:szCs w:val="24"/>
        </w:rPr>
        <w:t xml:space="preserve">În ciuda performanţei aparent mai bune în comparaţie cu media din România, Regiunea </w:t>
      </w:r>
    </w:p>
    <w:p w:rsidR="00FE7DCF" w:rsidRPr="002E6486" w:rsidRDefault="00FE7DCF" w:rsidP="000C6A67">
      <w:pPr>
        <w:widowControl w:val="0"/>
        <w:autoSpaceDE w:val="0"/>
        <w:autoSpaceDN w:val="0"/>
        <w:adjustRightInd w:val="0"/>
        <w:snapToGrid w:val="0"/>
        <w:spacing w:after="0" w:line="240" w:lineRule="auto"/>
        <w:jc w:val="both"/>
        <w:rPr>
          <w:rFonts w:ascii="Arial" w:hAnsi="Arial" w:cs="Arial"/>
          <w:sz w:val="24"/>
          <w:szCs w:val="24"/>
        </w:rPr>
      </w:pPr>
      <w:r w:rsidRPr="002E6486">
        <w:rPr>
          <w:rFonts w:ascii="Arial" w:hAnsi="Arial" w:cs="Arial"/>
          <w:sz w:val="24"/>
          <w:szCs w:val="24"/>
        </w:rPr>
        <w:t xml:space="preserve">Vest este cu mult în urma regiunilor cu care se comparã din UE în ceea ce privește protecţia proprietãţii intelectuale pentru invenţii. </w:t>
      </w:r>
    </w:p>
    <w:p w:rsidR="00FE7DCF" w:rsidRPr="002E6486" w:rsidRDefault="00FE7DCF" w:rsidP="000C6A67">
      <w:pPr>
        <w:widowControl w:val="0"/>
        <w:autoSpaceDE w:val="0"/>
        <w:autoSpaceDN w:val="0"/>
        <w:adjustRightInd w:val="0"/>
        <w:snapToGrid w:val="0"/>
        <w:spacing w:after="0" w:line="240" w:lineRule="auto"/>
        <w:jc w:val="both"/>
        <w:rPr>
          <w:rFonts w:ascii="Arial" w:hAnsi="Arial" w:cs="Arial"/>
          <w:sz w:val="24"/>
          <w:szCs w:val="24"/>
        </w:rPr>
      </w:pPr>
      <w:r w:rsidRPr="002E6486">
        <w:rPr>
          <w:rFonts w:ascii="Arial" w:hAnsi="Arial" w:cs="Arial"/>
          <w:sz w:val="24"/>
          <w:szCs w:val="24"/>
        </w:rPr>
        <w:t xml:space="preserve">Activitatea de cercetare-dezvoltare în sectoarele dominate de companiile multinaţionale </w:t>
      </w:r>
    </w:p>
    <w:p w:rsidR="00FE7DCF" w:rsidRPr="002E6486" w:rsidRDefault="00FE7DCF" w:rsidP="000C6A67">
      <w:pPr>
        <w:widowControl w:val="0"/>
        <w:autoSpaceDE w:val="0"/>
        <w:autoSpaceDN w:val="0"/>
        <w:adjustRightInd w:val="0"/>
        <w:snapToGrid w:val="0"/>
        <w:spacing w:after="0" w:line="240" w:lineRule="auto"/>
        <w:jc w:val="both"/>
        <w:rPr>
          <w:rFonts w:ascii="Arial" w:hAnsi="Arial" w:cs="Arial"/>
          <w:sz w:val="24"/>
          <w:szCs w:val="24"/>
        </w:rPr>
      </w:pPr>
      <w:r w:rsidRPr="002E6486">
        <w:rPr>
          <w:rFonts w:ascii="Arial" w:hAnsi="Arial" w:cs="Arial"/>
          <w:sz w:val="24"/>
          <w:szCs w:val="24"/>
        </w:rPr>
        <w:t xml:space="preserve">tinde sã fie efectuatã în afara regiunii, de multe ori în sediul central al companiilor cu capital strãin (OEM şi furnizori de prim-nivel), sau în colaborare cu universitãţi de top din întreaga lume. </w:t>
      </w:r>
    </w:p>
    <w:p w:rsidR="00FE7DCF" w:rsidRPr="002E6486" w:rsidRDefault="00FE7DCF" w:rsidP="000C6A67">
      <w:pPr>
        <w:widowControl w:val="0"/>
        <w:autoSpaceDE w:val="0"/>
        <w:autoSpaceDN w:val="0"/>
        <w:adjustRightInd w:val="0"/>
        <w:snapToGrid w:val="0"/>
        <w:spacing w:after="0" w:line="240" w:lineRule="auto"/>
        <w:jc w:val="both"/>
        <w:rPr>
          <w:rFonts w:ascii="Arial" w:hAnsi="Arial" w:cs="Arial"/>
          <w:sz w:val="24"/>
          <w:szCs w:val="24"/>
        </w:rPr>
      </w:pPr>
      <w:r w:rsidRPr="002E6486">
        <w:rPr>
          <w:rFonts w:ascii="Arial" w:hAnsi="Arial" w:cs="Arial"/>
          <w:sz w:val="24"/>
          <w:szCs w:val="24"/>
        </w:rPr>
        <w:t xml:space="preserve">În acest sens, cercetarea este desfãşuratã de companiile mari în cadrul companiei, fãrã prea multe interacţiuni cu universitãţile / institutele de cercetare din regiune. Aceşti jucãtori mari, cred cã universitãţile ar putea, în principiu, sã asigure un sprijin în activitatea de cercetare, dar nu au resurse, cum ar fi laboratoare de înaltã clasã şi echipamente avansate. </w:t>
      </w:r>
    </w:p>
    <w:p w:rsidR="00FE7DCF" w:rsidRPr="002E6486" w:rsidRDefault="00FE7DCF" w:rsidP="000C6A67">
      <w:pPr>
        <w:widowControl w:val="0"/>
        <w:autoSpaceDE w:val="0"/>
        <w:autoSpaceDN w:val="0"/>
        <w:adjustRightInd w:val="0"/>
        <w:snapToGrid w:val="0"/>
        <w:spacing w:after="0" w:line="240" w:lineRule="auto"/>
        <w:jc w:val="both"/>
        <w:rPr>
          <w:rFonts w:ascii="Arial" w:hAnsi="Arial" w:cs="Arial"/>
          <w:sz w:val="24"/>
          <w:szCs w:val="24"/>
        </w:rPr>
      </w:pPr>
      <w:r w:rsidRPr="002E6486">
        <w:rPr>
          <w:rFonts w:ascii="Arial" w:hAnsi="Arial" w:cs="Arial"/>
          <w:sz w:val="24"/>
          <w:szCs w:val="24"/>
        </w:rPr>
        <w:t xml:space="preserve">Un pas important pentru a creşte investiţiile în activitatea de cercetare şi dezvoltare în </w:t>
      </w:r>
    </w:p>
    <w:p w:rsidR="00FE7DCF" w:rsidRPr="002E6486" w:rsidRDefault="00FE7DCF" w:rsidP="000C6A67">
      <w:pPr>
        <w:widowControl w:val="0"/>
        <w:autoSpaceDE w:val="0"/>
        <w:autoSpaceDN w:val="0"/>
        <w:adjustRightInd w:val="0"/>
        <w:snapToGrid w:val="0"/>
        <w:spacing w:after="0" w:line="240" w:lineRule="auto"/>
        <w:jc w:val="both"/>
        <w:rPr>
          <w:rFonts w:ascii="Arial" w:hAnsi="Arial" w:cs="Arial"/>
          <w:sz w:val="24"/>
          <w:szCs w:val="24"/>
        </w:rPr>
      </w:pPr>
      <w:r w:rsidRPr="002E6486">
        <w:rPr>
          <w:rFonts w:ascii="Arial" w:hAnsi="Arial" w:cs="Arial"/>
          <w:sz w:val="24"/>
          <w:szCs w:val="24"/>
        </w:rPr>
        <w:t xml:space="preserve">regiune este crearea de infrastructurii bine echipate şi de laboratoare independente. Aceste facilitãţi ar permite în regiune activitãţi de micro-producţie şi/sau testare prototipuri, activitãţi esenţiale pentru furnizorii locali pentru a deveni parte a lanţurilor de furnizori. Mai mult, laboratoarele ar contribui la atingerea standardelor de calitate cerute. Aceste infrastructuri ar ajuta la acumularea de know-how în regiune şi, eventual, ar crea efecte de spillover cãtre producãtorii locali. Aceste infrastructuri pot fi dezvoltate de structuri publice sau private, acţionând individual sau în asociere. </w:t>
      </w:r>
    </w:p>
    <w:p w:rsidR="00FE7DCF" w:rsidRPr="002E6486" w:rsidRDefault="00FE7DCF" w:rsidP="000C6A67">
      <w:pPr>
        <w:widowControl w:val="0"/>
        <w:autoSpaceDE w:val="0"/>
        <w:autoSpaceDN w:val="0"/>
        <w:adjustRightInd w:val="0"/>
        <w:snapToGrid w:val="0"/>
        <w:spacing w:after="0" w:line="240" w:lineRule="auto"/>
        <w:jc w:val="both"/>
        <w:rPr>
          <w:rFonts w:ascii="Arial" w:hAnsi="Arial" w:cs="Arial"/>
          <w:sz w:val="24"/>
          <w:szCs w:val="24"/>
        </w:rPr>
      </w:pPr>
      <w:r w:rsidRPr="002E6486">
        <w:rPr>
          <w:rFonts w:ascii="Arial" w:hAnsi="Arial" w:cs="Arial"/>
          <w:sz w:val="24"/>
          <w:szCs w:val="24"/>
        </w:rPr>
        <w:t xml:space="preserve">Alãturi de domeniile tradiţionale de cercetare, în regiune poate fi dezvoltatã cercetarea </w:t>
      </w:r>
    </w:p>
    <w:p w:rsidR="00FE7DCF" w:rsidRPr="002E6486" w:rsidRDefault="00FE7DCF" w:rsidP="000C6A67">
      <w:pPr>
        <w:widowControl w:val="0"/>
        <w:autoSpaceDE w:val="0"/>
        <w:autoSpaceDN w:val="0"/>
        <w:adjustRightInd w:val="0"/>
        <w:snapToGrid w:val="0"/>
        <w:spacing w:after="0" w:line="240" w:lineRule="auto"/>
        <w:jc w:val="both"/>
        <w:rPr>
          <w:rFonts w:ascii="Arial" w:hAnsi="Arial" w:cs="Arial"/>
          <w:sz w:val="24"/>
          <w:szCs w:val="24"/>
        </w:rPr>
      </w:pPr>
      <w:r w:rsidRPr="002E6486">
        <w:rPr>
          <w:rFonts w:ascii="Arial" w:hAnsi="Arial" w:cs="Arial"/>
          <w:sz w:val="24"/>
          <w:szCs w:val="24"/>
        </w:rPr>
        <w:t>medicalã, mai ales ţinând cont de potenţialul de resurse spa (ape geotermale). ”</w:t>
      </w:r>
    </w:p>
    <w:p w:rsidR="00FE7DCF" w:rsidRPr="002E6486" w:rsidRDefault="00FE7DCF" w:rsidP="000C6A67">
      <w:pPr>
        <w:widowControl w:val="0"/>
        <w:autoSpaceDE w:val="0"/>
        <w:autoSpaceDN w:val="0"/>
        <w:adjustRightInd w:val="0"/>
        <w:snapToGrid w:val="0"/>
        <w:spacing w:after="0" w:line="240" w:lineRule="auto"/>
        <w:jc w:val="both"/>
        <w:rPr>
          <w:rFonts w:ascii="Arial" w:hAnsi="Arial" w:cs="Arial"/>
          <w:sz w:val="24"/>
          <w:szCs w:val="24"/>
        </w:rPr>
      </w:pPr>
      <w:r w:rsidRPr="002E6486">
        <w:rPr>
          <w:rFonts w:ascii="Arial" w:hAnsi="Arial" w:cs="Arial"/>
          <w:sz w:val="24"/>
          <w:szCs w:val="24"/>
        </w:rPr>
        <w:t>Operaționalizarea obiectivelor vizează :</w:t>
      </w:r>
    </w:p>
    <w:p w:rsidR="00FE7DCF" w:rsidRPr="004D0173" w:rsidRDefault="00FE7DCF" w:rsidP="00A827CF">
      <w:pPr>
        <w:pStyle w:val="ListParagraph"/>
        <w:widowControl w:val="0"/>
        <w:numPr>
          <w:ilvl w:val="0"/>
          <w:numId w:val="11"/>
        </w:numPr>
        <w:autoSpaceDE w:val="0"/>
        <w:autoSpaceDN w:val="0"/>
        <w:adjustRightInd w:val="0"/>
        <w:snapToGrid w:val="0"/>
        <w:contextualSpacing/>
        <w:jc w:val="both"/>
        <w:rPr>
          <w:rFonts w:ascii="Arial" w:hAnsi="Arial" w:cs="Arial"/>
          <w:sz w:val="24"/>
          <w:szCs w:val="24"/>
        </w:rPr>
      </w:pPr>
      <w:r w:rsidRPr="004D0173">
        <w:rPr>
          <w:rFonts w:ascii="Arial" w:hAnsi="Arial" w:cs="Arial"/>
          <w:sz w:val="24"/>
          <w:szCs w:val="24"/>
        </w:rPr>
        <w:t xml:space="preserve">Dezvoltarea infrastructurilor specifice activitãţii de cercetare-dezvoltare-inovare, în special consolidarea facilitãţilor existente </w:t>
      </w:r>
    </w:p>
    <w:p w:rsidR="00FE7DCF" w:rsidRPr="002E6486" w:rsidRDefault="00FE7DCF" w:rsidP="00A827CF">
      <w:pPr>
        <w:pStyle w:val="ListParagraph"/>
        <w:widowControl w:val="0"/>
        <w:numPr>
          <w:ilvl w:val="0"/>
          <w:numId w:val="11"/>
        </w:numPr>
        <w:autoSpaceDE w:val="0"/>
        <w:autoSpaceDN w:val="0"/>
        <w:adjustRightInd w:val="0"/>
        <w:snapToGrid w:val="0"/>
        <w:contextualSpacing/>
        <w:jc w:val="both"/>
        <w:rPr>
          <w:rFonts w:ascii="Arial" w:hAnsi="Arial" w:cs="Arial"/>
          <w:sz w:val="24"/>
          <w:szCs w:val="24"/>
        </w:rPr>
      </w:pPr>
      <w:r w:rsidRPr="002E6486">
        <w:rPr>
          <w:rFonts w:ascii="Arial" w:hAnsi="Arial" w:cs="Arial"/>
          <w:sz w:val="24"/>
          <w:szCs w:val="24"/>
        </w:rPr>
        <w:t xml:space="preserve">Dezvoltarea și promovarea centrelor de competenţã </w:t>
      </w:r>
    </w:p>
    <w:p w:rsidR="00FE7DCF" w:rsidRPr="002E6486" w:rsidRDefault="00FE7DCF" w:rsidP="00A827CF">
      <w:pPr>
        <w:pStyle w:val="ListParagraph"/>
        <w:widowControl w:val="0"/>
        <w:numPr>
          <w:ilvl w:val="0"/>
          <w:numId w:val="11"/>
        </w:numPr>
        <w:autoSpaceDE w:val="0"/>
        <w:autoSpaceDN w:val="0"/>
        <w:adjustRightInd w:val="0"/>
        <w:snapToGrid w:val="0"/>
        <w:contextualSpacing/>
        <w:jc w:val="both"/>
        <w:rPr>
          <w:rFonts w:ascii="Arial" w:hAnsi="Arial" w:cs="Arial"/>
          <w:sz w:val="24"/>
          <w:szCs w:val="24"/>
        </w:rPr>
      </w:pPr>
      <w:r w:rsidRPr="002E6486">
        <w:rPr>
          <w:rFonts w:ascii="Arial" w:hAnsi="Arial" w:cs="Arial"/>
          <w:sz w:val="24"/>
          <w:szCs w:val="24"/>
        </w:rPr>
        <w:lastRenderedPageBreak/>
        <w:t xml:space="preserve">Dezvoltarea / achiziţionarea şi utilizarea de tehnologii şi echipamente inovative </w:t>
      </w:r>
    </w:p>
    <w:p w:rsidR="00FE7DCF" w:rsidRPr="002E6486" w:rsidRDefault="00FE7DCF" w:rsidP="00A827CF">
      <w:pPr>
        <w:pStyle w:val="ListParagraph"/>
        <w:widowControl w:val="0"/>
        <w:numPr>
          <w:ilvl w:val="0"/>
          <w:numId w:val="11"/>
        </w:numPr>
        <w:autoSpaceDE w:val="0"/>
        <w:autoSpaceDN w:val="0"/>
        <w:adjustRightInd w:val="0"/>
        <w:snapToGrid w:val="0"/>
        <w:contextualSpacing/>
        <w:jc w:val="both"/>
        <w:rPr>
          <w:rFonts w:ascii="Arial" w:hAnsi="Arial" w:cs="Arial"/>
          <w:sz w:val="24"/>
          <w:szCs w:val="24"/>
        </w:rPr>
      </w:pPr>
      <w:r w:rsidRPr="002E6486">
        <w:rPr>
          <w:rFonts w:ascii="Arial" w:hAnsi="Arial" w:cs="Arial"/>
          <w:sz w:val="24"/>
          <w:szCs w:val="24"/>
        </w:rPr>
        <w:t xml:space="preserve">Sprijinirea sistemelor inovative (produse, procese, servicii) </w:t>
      </w:r>
    </w:p>
    <w:p w:rsidR="00FE7DCF" w:rsidRPr="002E6486" w:rsidRDefault="00FE7DCF" w:rsidP="00A827CF">
      <w:pPr>
        <w:pStyle w:val="ListParagraph"/>
        <w:widowControl w:val="0"/>
        <w:numPr>
          <w:ilvl w:val="0"/>
          <w:numId w:val="11"/>
        </w:numPr>
        <w:autoSpaceDE w:val="0"/>
        <w:autoSpaceDN w:val="0"/>
        <w:adjustRightInd w:val="0"/>
        <w:snapToGrid w:val="0"/>
        <w:contextualSpacing/>
        <w:jc w:val="both"/>
        <w:rPr>
          <w:rFonts w:ascii="Arial" w:hAnsi="Arial" w:cs="Arial"/>
          <w:sz w:val="24"/>
          <w:szCs w:val="24"/>
        </w:rPr>
      </w:pPr>
      <w:r w:rsidRPr="002E6486">
        <w:rPr>
          <w:rFonts w:ascii="Arial" w:hAnsi="Arial" w:cs="Arial"/>
          <w:sz w:val="24"/>
          <w:szCs w:val="24"/>
        </w:rPr>
        <w:t xml:space="preserve">Sprijinirea parteneriatelor firmã-universitate/institute de cercetare </w:t>
      </w:r>
    </w:p>
    <w:p w:rsidR="00FE7DCF" w:rsidRPr="002E6486" w:rsidRDefault="00FE7DCF" w:rsidP="00A827CF">
      <w:pPr>
        <w:pStyle w:val="ListParagraph"/>
        <w:widowControl w:val="0"/>
        <w:numPr>
          <w:ilvl w:val="0"/>
          <w:numId w:val="11"/>
        </w:numPr>
        <w:autoSpaceDE w:val="0"/>
        <w:autoSpaceDN w:val="0"/>
        <w:adjustRightInd w:val="0"/>
        <w:snapToGrid w:val="0"/>
        <w:contextualSpacing/>
        <w:jc w:val="both"/>
        <w:rPr>
          <w:rFonts w:ascii="Arial" w:hAnsi="Arial" w:cs="Arial"/>
          <w:sz w:val="24"/>
          <w:szCs w:val="24"/>
        </w:rPr>
      </w:pPr>
      <w:r w:rsidRPr="002E6486">
        <w:rPr>
          <w:rFonts w:ascii="Arial" w:hAnsi="Arial" w:cs="Arial"/>
          <w:sz w:val="24"/>
          <w:szCs w:val="24"/>
        </w:rPr>
        <w:t xml:space="preserve">Internaţionalizarea activitãţiilor de cercetare-dezvoltare-inovare </w:t>
      </w:r>
    </w:p>
    <w:p w:rsidR="00FE7DCF" w:rsidRPr="002E6486" w:rsidRDefault="00FE7DCF" w:rsidP="00A827CF">
      <w:pPr>
        <w:pStyle w:val="ListParagraph"/>
        <w:widowControl w:val="0"/>
        <w:numPr>
          <w:ilvl w:val="0"/>
          <w:numId w:val="11"/>
        </w:numPr>
        <w:autoSpaceDE w:val="0"/>
        <w:autoSpaceDN w:val="0"/>
        <w:adjustRightInd w:val="0"/>
        <w:snapToGrid w:val="0"/>
        <w:contextualSpacing/>
        <w:jc w:val="both"/>
        <w:rPr>
          <w:rFonts w:ascii="Arial" w:hAnsi="Arial" w:cs="Arial"/>
          <w:sz w:val="24"/>
          <w:szCs w:val="24"/>
        </w:rPr>
      </w:pPr>
      <w:r w:rsidRPr="002E6486">
        <w:rPr>
          <w:rFonts w:ascii="Arial" w:hAnsi="Arial" w:cs="Arial"/>
          <w:sz w:val="24"/>
          <w:szCs w:val="24"/>
        </w:rPr>
        <w:t xml:space="preserve">Încurajarea protejãrii proprietãţii intelectuale </w:t>
      </w:r>
    </w:p>
    <w:p w:rsidR="00FE7DCF" w:rsidRPr="002E6486" w:rsidRDefault="00FE7DCF" w:rsidP="00A827CF">
      <w:pPr>
        <w:pStyle w:val="ListParagraph"/>
        <w:widowControl w:val="0"/>
        <w:numPr>
          <w:ilvl w:val="0"/>
          <w:numId w:val="11"/>
        </w:numPr>
        <w:autoSpaceDE w:val="0"/>
        <w:autoSpaceDN w:val="0"/>
        <w:adjustRightInd w:val="0"/>
        <w:snapToGrid w:val="0"/>
        <w:contextualSpacing/>
        <w:jc w:val="both"/>
        <w:rPr>
          <w:rFonts w:ascii="Arial" w:hAnsi="Arial" w:cs="Arial"/>
          <w:sz w:val="24"/>
          <w:szCs w:val="24"/>
        </w:rPr>
      </w:pPr>
      <w:r w:rsidRPr="002E6486">
        <w:rPr>
          <w:rFonts w:ascii="Arial" w:hAnsi="Arial" w:cs="Arial"/>
          <w:sz w:val="24"/>
          <w:szCs w:val="24"/>
        </w:rPr>
        <w:t xml:space="preserve">Sprijinirea transferului tehnologic </w:t>
      </w:r>
    </w:p>
    <w:p w:rsidR="00FE7DCF" w:rsidRPr="002E6486" w:rsidRDefault="00FE7DCF" w:rsidP="00A827CF">
      <w:pPr>
        <w:pStyle w:val="ListParagraph"/>
        <w:widowControl w:val="0"/>
        <w:numPr>
          <w:ilvl w:val="0"/>
          <w:numId w:val="11"/>
        </w:numPr>
        <w:autoSpaceDE w:val="0"/>
        <w:autoSpaceDN w:val="0"/>
        <w:adjustRightInd w:val="0"/>
        <w:snapToGrid w:val="0"/>
        <w:contextualSpacing/>
        <w:jc w:val="both"/>
        <w:rPr>
          <w:rFonts w:ascii="Arial" w:hAnsi="Arial" w:cs="Arial"/>
          <w:sz w:val="24"/>
          <w:szCs w:val="24"/>
        </w:rPr>
      </w:pPr>
      <w:r w:rsidRPr="002E6486">
        <w:rPr>
          <w:rFonts w:ascii="Arial" w:hAnsi="Arial" w:cs="Arial"/>
          <w:sz w:val="24"/>
          <w:szCs w:val="24"/>
        </w:rPr>
        <w:t>Promovarea ofertei de CDI accesibile în rândurile IMM-urilor</w:t>
      </w:r>
    </w:p>
    <w:p w:rsidR="00FE7DCF" w:rsidRPr="002E6486" w:rsidRDefault="00FE7DCF" w:rsidP="000C6A67">
      <w:pPr>
        <w:spacing w:after="0" w:line="240" w:lineRule="auto"/>
        <w:jc w:val="both"/>
        <w:rPr>
          <w:rFonts w:ascii="Arial" w:hAnsi="Arial" w:cs="Arial"/>
          <w:b/>
          <w:sz w:val="24"/>
          <w:szCs w:val="24"/>
        </w:rPr>
      </w:pP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b/>
          <w:sz w:val="24"/>
          <w:szCs w:val="24"/>
        </w:rPr>
        <w:t>JUDETUL ARAD</w:t>
      </w:r>
      <w:r w:rsidRPr="002E6486">
        <w:rPr>
          <w:rStyle w:val="FootnoteReference"/>
          <w:rFonts w:ascii="Arial" w:hAnsi="Arial" w:cs="Arial"/>
          <w:b/>
          <w:sz w:val="24"/>
          <w:szCs w:val="24"/>
        </w:rPr>
        <w:footnoteReference w:id="73"/>
      </w:r>
      <w:r>
        <w:rPr>
          <w:rFonts w:ascii="Arial" w:hAnsi="Arial" w:cs="Arial"/>
          <w:b/>
          <w:sz w:val="24"/>
          <w:szCs w:val="24"/>
        </w:rPr>
        <w:t xml:space="preserve">  </w:t>
      </w:r>
      <w:r w:rsidRPr="002E6486">
        <w:rPr>
          <w:rFonts w:ascii="Arial" w:eastAsia="Times New Roman" w:hAnsi="Arial" w:cs="Arial"/>
          <w:b/>
          <w:sz w:val="24"/>
          <w:szCs w:val="24"/>
          <w:lang w:val="en-US"/>
        </w:rPr>
        <w:t>Inovarea și cercetarea</w:t>
      </w:r>
      <w:r w:rsidRPr="002E6486">
        <w:rPr>
          <w:rFonts w:ascii="Arial" w:eastAsia="Times New Roman" w:hAnsi="Arial" w:cs="Arial"/>
          <w:sz w:val="24"/>
          <w:szCs w:val="24"/>
          <w:lang w:val="en-US"/>
        </w:rPr>
        <w:t xml:space="preserve">  în județul Arad sunt prezentate în </w:t>
      </w:r>
      <w:r w:rsidRPr="002E6486">
        <w:rPr>
          <w:rFonts w:ascii="Arial" w:hAnsi="Arial" w:cs="Arial"/>
          <w:sz w:val="24"/>
          <w:szCs w:val="24"/>
        </w:rPr>
        <w:t xml:space="preserve">STRATEGIA DE DEZVOLTARE A JUDEȚULUI ARAD PENTRU PERIOADA 2014 - 2020 </w:t>
      </w:r>
      <w:r w:rsidRPr="002E6486">
        <w:rPr>
          <w:rFonts w:ascii="Arial" w:eastAsia="Times New Roman" w:hAnsi="Arial" w:cs="Arial"/>
          <w:sz w:val="24"/>
          <w:szCs w:val="24"/>
          <w:lang w:val="en-US"/>
        </w:rPr>
        <w:t xml:space="preserve"> </w:t>
      </w:r>
    </w:p>
    <w:p w:rsidR="00FE7DCF" w:rsidRPr="002E6486" w:rsidRDefault="00597FB2" w:rsidP="000C6A67">
      <w:pPr>
        <w:spacing w:after="0" w:line="240" w:lineRule="auto"/>
        <w:jc w:val="both"/>
        <w:rPr>
          <w:rFonts w:ascii="Arial" w:eastAsia="Times New Roman" w:hAnsi="Arial" w:cs="Arial"/>
          <w:sz w:val="24"/>
          <w:szCs w:val="24"/>
          <w:lang w:val="en-US"/>
        </w:rPr>
      </w:pPr>
      <w:r>
        <w:rPr>
          <w:rFonts w:ascii="Arial" w:eastAsia="Times New Roman" w:hAnsi="Arial" w:cs="Arial"/>
          <w:b/>
          <w:sz w:val="24"/>
          <w:szCs w:val="24"/>
          <w:lang w:val="en-US"/>
        </w:rPr>
        <w:t>Obiectivul strategic 1</w:t>
      </w:r>
      <w:r w:rsidR="00FE7DCF" w:rsidRPr="002E6486">
        <w:rPr>
          <w:rFonts w:ascii="Arial" w:eastAsia="Times New Roman" w:hAnsi="Arial" w:cs="Arial"/>
          <w:b/>
          <w:sz w:val="24"/>
          <w:szCs w:val="24"/>
          <w:lang w:val="en-US"/>
        </w:rPr>
        <w:t xml:space="preserve">:  </w:t>
      </w:r>
      <w:r w:rsidR="00FE7DCF" w:rsidRPr="002E6486">
        <w:rPr>
          <w:rFonts w:ascii="Arial" w:eastAsia="Times New Roman" w:hAnsi="Arial" w:cs="Arial"/>
          <w:sz w:val="24"/>
          <w:szCs w:val="24"/>
          <w:lang w:val="en-US"/>
        </w:rPr>
        <w:t xml:space="preserve">Crestere economica cu </w:t>
      </w:r>
      <w:r w:rsidR="00FE7DCF" w:rsidRPr="002E6486">
        <w:rPr>
          <w:rFonts w:ascii="Arial" w:eastAsia="Times New Roman" w:hAnsi="Arial" w:cs="Arial"/>
          <w:b/>
          <w:sz w:val="24"/>
          <w:szCs w:val="24"/>
          <w:lang w:val="en-US"/>
        </w:rPr>
        <w:t>Obiectivul specific 1.2. Inovare</w:t>
      </w:r>
      <w:r w:rsidR="00FE7DCF" w:rsidRPr="002E6486">
        <w:rPr>
          <w:rFonts w:ascii="Arial" w:eastAsia="Times New Roman" w:hAnsi="Arial" w:cs="Arial"/>
          <w:sz w:val="24"/>
          <w:szCs w:val="24"/>
          <w:lang w:val="en-US"/>
        </w:rPr>
        <w:t xml:space="preserve"> la </w:t>
      </w:r>
      <w:r w:rsidR="00FE7DCF" w:rsidRPr="002E6486">
        <w:rPr>
          <w:rFonts w:ascii="Arial" w:eastAsia="Times New Roman" w:hAnsi="Arial" w:cs="Arial"/>
          <w:b/>
          <w:sz w:val="24"/>
          <w:szCs w:val="24"/>
          <w:lang w:val="en-US"/>
        </w:rPr>
        <w:t xml:space="preserve">Axa prioritara 1.2.2 Sprijinirea activităților de cercetare – dezvoltare – inovare </w:t>
      </w:r>
      <w:r w:rsidR="00FE7DCF" w:rsidRPr="002E6486">
        <w:rPr>
          <w:rFonts w:ascii="Arial" w:eastAsia="Times New Roman" w:hAnsi="Arial" w:cs="Arial"/>
          <w:sz w:val="24"/>
          <w:szCs w:val="24"/>
          <w:lang w:val="en-US"/>
        </w:rPr>
        <w:t xml:space="preserve">cuprinde următoarele </w:t>
      </w:r>
      <w:r w:rsidR="00FE7DCF" w:rsidRPr="002E6486">
        <w:rPr>
          <w:rFonts w:ascii="Arial" w:eastAsia="Times New Roman" w:hAnsi="Arial" w:cs="Arial"/>
          <w:b/>
          <w:sz w:val="24"/>
          <w:szCs w:val="24"/>
          <w:lang w:val="en-US"/>
        </w:rPr>
        <w:t xml:space="preserve">Măsuri propuse </w:t>
      </w:r>
    </w:p>
    <w:p w:rsidR="00FE7DCF" w:rsidRPr="002E6486" w:rsidRDefault="00FE7DCF" w:rsidP="000C6A67">
      <w:pPr>
        <w:spacing w:after="0" w:line="240" w:lineRule="auto"/>
        <w:jc w:val="both"/>
        <w:rPr>
          <w:rFonts w:ascii="Arial" w:eastAsia="Times New Roman" w:hAnsi="Arial" w:cs="Arial"/>
          <w:sz w:val="24"/>
          <w:szCs w:val="24"/>
          <w:lang w:val="en-US"/>
        </w:rPr>
      </w:pPr>
      <w:r w:rsidRPr="002E6486">
        <w:rPr>
          <w:rFonts w:ascii="Arial" w:eastAsia="Times New Roman" w:hAnsi="Arial" w:cs="Arial"/>
          <w:sz w:val="24"/>
          <w:szCs w:val="24"/>
          <w:lang w:val="en-US"/>
        </w:rPr>
        <w:t>1.2.2.1 Sprijinirea cooperării între întreprinderi (pe întreg lanţul de furnizare), universităţi, centre de cercetare, administraţie publică şi diverşi catalizatori (firme de consultanţă, furnizori de servicii de formare profesională continuă, bănci şi instituţii de creditare, etc.) (Nivel de prioritate: Masură directă);</w:t>
      </w:r>
    </w:p>
    <w:p w:rsidR="00FE7DCF" w:rsidRPr="002E6486" w:rsidRDefault="00FE7DCF" w:rsidP="000C6A67">
      <w:pPr>
        <w:spacing w:after="0" w:line="240" w:lineRule="auto"/>
        <w:jc w:val="both"/>
        <w:rPr>
          <w:rFonts w:ascii="Arial" w:eastAsia="Times New Roman" w:hAnsi="Arial" w:cs="Arial"/>
          <w:sz w:val="24"/>
          <w:szCs w:val="24"/>
          <w:lang w:val="en-US"/>
        </w:rPr>
      </w:pPr>
      <w:r w:rsidRPr="002E6486">
        <w:rPr>
          <w:rFonts w:ascii="Arial" w:eastAsia="Times New Roman" w:hAnsi="Arial" w:cs="Arial"/>
          <w:sz w:val="24"/>
          <w:szCs w:val="24"/>
          <w:lang w:val="en-US"/>
        </w:rPr>
        <w:t>1.2.2.2 Sprijinirea unor activităţi de inovare a start-up-urilor şi spin-off-urilor noi, cu prioritate din mediul urban, care valorifică rezultatele cercetării din mediul universitar şi academic.</w:t>
      </w:r>
      <w:r w:rsidRPr="002E6486">
        <w:rPr>
          <w:rFonts w:ascii="Arial" w:hAnsi="Arial" w:cs="Arial"/>
          <w:sz w:val="24"/>
          <w:szCs w:val="24"/>
        </w:rPr>
        <w:t xml:space="preserve"> </w:t>
      </w:r>
      <w:r w:rsidRPr="002E6486">
        <w:rPr>
          <w:rFonts w:ascii="Arial" w:eastAsia="Times New Roman" w:hAnsi="Arial" w:cs="Arial"/>
          <w:sz w:val="24"/>
          <w:szCs w:val="24"/>
          <w:lang w:val="en-US"/>
        </w:rPr>
        <w:t>(Nivel de prioritate: Masură punctuală)</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b/>
          <w:sz w:val="24"/>
          <w:szCs w:val="24"/>
        </w:rPr>
        <w:t xml:space="preserve">JUDEȚUL   CARAȘ SEVERIN </w:t>
      </w:r>
      <w:r w:rsidRPr="002E6486">
        <w:rPr>
          <w:rStyle w:val="FootnoteReference"/>
          <w:rFonts w:ascii="Arial" w:hAnsi="Arial" w:cs="Arial"/>
          <w:b/>
          <w:sz w:val="24"/>
          <w:szCs w:val="24"/>
        </w:rPr>
        <w:footnoteReference w:id="74"/>
      </w:r>
      <w:r>
        <w:rPr>
          <w:rFonts w:ascii="Arial" w:hAnsi="Arial" w:cs="Arial"/>
          <w:b/>
          <w:sz w:val="24"/>
          <w:szCs w:val="24"/>
        </w:rPr>
        <w:t xml:space="preserve">  </w:t>
      </w:r>
      <w:r w:rsidRPr="002E6486">
        <w:rPr>
          <w:rFonts w:ascii="Arial" w:hAnsi="Arial" w:cs="Arial"/>
          <w:b/>
          <w:bCs/>
          <w:iCs/>
          <w:sz w:val="24"/>
          <w:szCs w:val="24"/>
        </w:rPr>
        <w:t>Strategia de dezvoltare durabilă a judeţului Caraş-Severin</w:t>
      </w:r>
      <w:r w:rsidRPr="002E6486">
        <w:rPr>
          <w:rFonts w:ascii="Arial" w:hAnsi="Arial" w:cs="Arial"/>
          <w:bCs/>
          <w:iCs/>
          <w:sz w:val="24"/>
          <w:szCs w:val="24"/>
        </w:rPr>
        <w:t xml:space="preserve"> 2015-2020, </w:t>
      </w:r>
      <w:r w:rsidRPr="002E6486">
        <w:rPr>
          <w:rFonts w:ascii="Arial" w:hAnsi="Arial" w:cs="Arial"/>
          <w:sz w:val="24"/>
          <w:szCs w:val="24"/>
        </w:rPr>
        <w:t>este  fundamentată pe o diagnoză extinsă, care cuprinde in cadrul  paragrafului I.7.1. Învățământ (pag 87 – 98) , subparagarful I.7.1.11, descrierea Universitatii „Eftimie Murgu” Resita,  înfiinţată în anul 1971, considerat punct tare intr-o analiza SWOT a judetului, dar si punct slab ca urmare a scăderii numărului de studenți și implicit  a finanțării</w:t>
      </w:r>
    </w:p>
    <w:p w:rsidR="00FE7DCF" w:rsidRPr="002E6486" w:rsidRDefault="00FE7DCF" w:rsidP="000C6A67">
      <w:pPr>
        <w:autoSpaceDE w:val="0"/>
        <w:autoSpaceDN w:val="0"/>
        <w:adjustRightInd w:val="0"/>
        <w:spacing w:after="0" w:line="240" w:lineRule="auto"/>
        <w:jc w:val="both"/>
        <w:rPr>
          <w:rFonts w:ascii="Arial" w:hAnsi="Arial" w:cs="Arial"/>
          <w:b/>
          <w:sz w:val="24"/>
          <w:szCs w:val="24"/>
        </w:rPr>
      </w:pPr>
      <w:r w:rsidRPr="002E6486">
        <w:rPr>
          <w:rFonts w:ascii="Arial" w:hAnsi="Arial" w:cs="Arial"/>
          <w:b/>
          <w:sz w:val="24"/>
          <w:szCs w:val="24"/>
        </w:rPr>
        <w:t>Strat</w:t>
      </w:r>
      <w:r>
        <w:rPr>
          <w:rFonts w:ascii="Arial" w:hAnsi="Arial" w:cs="Arial"/>
          <w:b/>
          <w:sz w:val="24"/>
          <w:szCs w:val="24"/>
        </w:rPr>
        <w:t>egia este struc</w:t>
      </w:r>
      <w:r w:rsidRPr="002E6486">
        <w:rPr>
          <w:rFonts w:ascii="Arial" w:hAnsi="Arial" w:cs="Arial"/>
          <w:b/>
          <w:sz w:val="24"/>
          <w:szCs w:val="24"/>
        </w:rPr>
        <w:t>turată pe axe prioritare, relevant pentru analiza noastra este axa:</w:t>
      </w:r>
      <w:r>
        <w:rPr>
          <w:rFonts w:ascii="Arial" w:hAnsi="Arial" w:cs="Arial"/>
          <w:b/>
          <w:sz w:val="24"/>
          <w:szCs w:val="24"/>
        </w:rPr>
        <w:t xml:space="preserve"> </w:t>
      </w:r>
      <w:r w:rsidRPr="002E6486">
        <w:rPr>
          <w:rFonts w:ascii="Arial" w:hAnsi="Arial" w:cs="Arial"/>
          <w:sz w:val="24"/>
          <w:szCs w:val="24"/>
        </w:rPr>
        <w:t xml:space="preserve">VIII. </w:t>
      </w:r>
      <w:r w:rsidRPr="002E6486">
        <w:rPr>
          <w:rFonts w:ascii="Arial" w:hAnsi="Arial" w:cs="Arial"/>
          <w:b/>
          <w:sz w:val="24"/>
          <w:szCs w:val="24"/>
        </w:rPr>
        <w:t>Creșterea calității în sectoarele: învățământ, sănătate, asistență socială și dezvoltarea capitalului uman</w:t>
      </w:r>
    </w:p>
    <w:p w:rsidR="00FE7DCF" w:rsidRPr="002E6486" w:rsidRDefault="00FE7DCF" w:rsidP="000C6A67">
      <w:pPr>
        <w:autoSpaceDE w:val="0"/>
        <w:autoSpaceDN w:val="0"/>
        <w:adjustRightInd w:val="0"/>
        <w:spacing w:after="0" w:line="240" w:lineRule="auto"/>
        <w:jc w:val="both"/>
        <w:rPr>
          <w:rFonts w:ascii="Arial" w:hAnsi="Arial" w:cs="Arial"/>
          <w:b/>
          <w:sz w:val="24"/>
          <w:szCs w:val="24"/>
        </w:rPr>
      </w:pPr>
      <w:r w:rsidRPr="002E6486">
        <w:rPr>
          <w:rFonts w:ascii="Arial" w:hAnsi="Arial" w:cs="Arial"/>
          <w:b/>
          <w:sz w:val="24"/>
          <w:szCs w:val="24"/>
        </w:rPr>
        <w:t xml:space="preserve">Cele patru priorități de dezvoltare </w:t>
      </w:r>
      <w:r w:rsidRPr="002E6486">
        <w:rPr>
          <w:rFonts w:ascii="Arial" w:hAnsi="Arial" w:cs="Arial"/>
          <w:sz w:val="24"/>
          <w:szCs w:val="24"/>
        </w:rPr>
        <w:t>corelate cu sectorul învățământ, sunt detaliate în</w:t>
      </w:r>
      <w:r w:rsidRPr="002E6486">
        <w:rPr>
          <w:rFonts w:ascii="Arial" w:hAnsi="Arial" w:cs="Arial"/>
          <w:b/>
          <w:sz w:val="24"/>
          <w:szCs w:val="24"/>
        </w:rPr>
        <w:t xml:space="preserve"> Operațiuni / Măsuri / Acțiuni </w:t>
      </w:r>
      <w:r w:rsidRPr="002E6486">
        <w:rPr>
          <w:rFonts w:ascii="Arial" w:hAnsi="Arial" w:cs="Arial"/>
          <w:sz w:val="24"/>
          <w:szCs w:val="24"/>
        </w:rPr>
        <w:t>specifice, cu alocarea de termene de realizare pentru fiecare, astfel:</w:t>
      </w:r>
    </w:p>
    <w:p w:rsidR="00FE7DCF" w:rsidRPr="002E6486" w:rsidRDefault="00FE7DCF" w:rsidP="000C6A67">
      <w:pPr>
        <w:autoSpaceDE w:val="0"/>
        <w:autoSpaceDN w:val="0"/>
        <w:adjustRightInd w:val="0"/>
        <w:spacing w:after="0" w:line="240" w:lineRule="auto"/>
        <w:jc w:val="both"/>
        <w:rPr>
          <w:rFonts w:ascii="Arial" w:hAnsi="Arial" w:cs="Arial"/>
          <w:b/>
          <w:i/>
          <w:iCs/>
          <w:sz w:val="24"/>
          <w:szCs w:val="24"/>
        </w:rPr>
      </w:pPr>
      <w:r w:rsidRPr="002E6486">
        <w:rPr>
          <w:rFonts w:ascii="Arial" w:hAnsi="Arial" w:cs="Arial"/>
          <w:b/>
          <w:i/>
          <w:iCs/>
          <w:sz w:val="24"/>
          <w:szCs w:val="24"/>
        </w:rPr>
        <w:t>VIII.1.4. Dezvoltarea învățământului universitar - Universitatea“Eftimie Murgu” din Reşiţa</w:t>
      </w:r>
    </w:p>
    <w:p w:rsidR="00FE7DCF" w:rsidRPr="002E6486" w:rsidRDefault="00FE7DCF" w:rsidP="00A827CF">
      <w:pPr>
        <w:pStyle w:val="ListParagraph"/>
        <w:numPr>
          <w:ilvl w:val="0"/>
          <w:numId w:val="10"/>
        </w:numPr>
        <w:contextualSpacing/>
        <w:jc w:val="both"/>
        <w:rPr>
          <w:rFonts w:ascii="Arial" w:hAnsi="Arial" w:cs="Arial"/>
          <w:sz w:val="24"/>
          <w:szCs w:val="24"/>
        </w:rPr>
      </w:pPr>
      <w:r w:rsidRPr="002E6486">
        <w:rPr>
          <w:rFonts w:ascii="Arial" w:hAnsi="Arial" w:cs="Arial"/>
          <w:sz w:val="24"/>
          <w:szCs w:val="24"/>
        </w:rPr>
        <w:t>Reabilitarea/modernizarea/extinderea infrastructurii universitare (cămin, cantină, sală sport) și a campusurilor universitare, inclusiv dotarea cu echipamente, dotări specifice;</w:t>
      </w:r>
    </w:p>
    <w:p w:rsidR="00FE7DCF" w:rsidRPr="002E6486" w:rsidRDefault="00FE7DCF" w:rsidP="00A827CF">
      <w:pPr>
        <w:pStyle w:val="ListParagraph"/>
        <w:numPr>
          <w:ilvl w:val="0"/>
          <w:numId w:val="10"/>
        </w:numPr>
        <w:contextualSpacing/>
        <w:jc w:val="both"/>
        <w:rPr>
          <w:rFonts w:ascii="Arial" w:hAnsi="Arial" w:cs="Arial"/>
          <w:sz w:val="24"/>
          <w:szCs w:val="24"/>
        </w:rPr>
      </w:pPr>
      <w:r w:rsidRPr="002E6486">
        <w:rPr>
          <w:rFonts w:ascii="Arial" w:hAnsi="Arial" w:cs="Arial"/>
          <w:sz w:val="24"/>
          <w:szCs w:val="24"/>
        </w:rPr>
        <w:t>Susținerea accesului la educație prin asigurarea facilităților de transport pentru studenți/profesori, precum și prin măsuri specifice pentru studenți, profesorii cu dizabilități (rampe de acces în instituție,mobilier adecvat, material didactic, etc);</w:t>
      </w:r>
    </w:p>
    <w:p w:rsidR="00FE7DCF" w:rsidRPr="002E6486" w:rsidRDefault="00FE7DCF" w:rsidP="00A827CF">
      <w:pPr>
        <w:pStyle w:val="ListParagraph"/>
        <w:numPr>
          <w:ilvl w:val="0"/>
          <w:numId w:val="10"/>
        </w:numPr>
        <w:contextualSpacing/>
        <w:jc w:val="both"/>
        <w:rPr>
          <w:rFonts w:ascii="Arial" w:hAnsi="Arial" w:cs="Arial"/>
          <w:sz w:val="24"/>
          <w:szCs w:val="24"/>
        </w:rPr>
      </w:pPr>
      <w:r w:rsidRPr="002E6486">
        <w:rPr>
          <w:rFonts w:ascii="Arial" w:hAnsi="Arial" w:cs="Arial"/>
          <w:sz w:val="24"/>
          <w:szCs w:val="24"/>
        </w:rPr>
        <w:t>Implementarea unui standard de calitate educațională regională –POLUL DE EDUCAȚIE VEST;</w:t>
      </w:r>
    </w:p>
    <w:p w:rsidR="00FE7DCF" w:rsidRPr="002E6486" w:rsidRDefault="00FE7DCF" w:rsidP="00A827CF">
      <w:pPr>
        <w:pStyle w:val="ListParagraph"/>
        <w:numPr>
          <w:ilvl w:val="0"/>
          <w:numId w:val="10"/>
        </w:numPr>
        <w:contextualSpacing/>
        <w:jc w:val="both"/>
        <w:rPr>
          <w:rFonts w:ascii="Arial" w:hAnsi="Arial" w:cs="Arial"/>
          <w:sz w:val="24"/>
          <w:szCs w:val="24"/>
        </w:rPr>
      </w:pPr>
      <w:r w:rsidRPr="002E6486">
        <w:rPr>
          <w:rFonts w:ascii="Arial" w:hAnsi="Arial" w:cs="Arial"/>
          <w:sz w:val="24"/>
          <w:szCs w:val="24"/>
        </w:rPr>
        <w:t xml:space="preserve">Dezvoltarea componentei aplicative, orientată spre rezultate, a proceselor de predare/învățare, care să asigure dobândirea unor temeinice cunoștiințe teoretice, </w:t>
      </w:r>
      <w:r w:rsidRPr="002E6486">
        <w:rPr>
          <w:rFonts w:ascii="Arial" w:hAnsi="Arial" w:cs="Arial"/>
          <w:sz w:val="24"/>
          <w:szCs w:val="24"/>
        </w:rPr>
        <w:lastRenderedPageBreak/>
        <w:t>susținute de abilități practice și competențe transversale solide și prin transfer de cunoaștere către mediul de afaceri și cel instituțional public local;</w:t>
      </w:r>
    </w:p>
    <w:p w:rsidR="00FE7DCF" w:rsidRPr="002E6486" w:rsidRDefault="00FE7DCF" w:rsidP="00A827CF">
      <w:pPr>
        <w:pStyle w:val="ListParagraph"/>
        <w:numPr>
          <w:ilvl w:val="0"/>
          <w:numId w:val="10"/>
        </w:numPr>
        <w:contextualSpacing/>
        <w:jc w:val="both"/>
        <w:rPr>
          <w:rFonts w:ascii="Arial" w:hAnsi="Arial" w:cs="Arial"/>
          <w:sz w:val="24"/>
          <w:szCs w:val="24"/>
        </w:rPr>
      </w:pPr>
      <w:r w:rsidRPr="002E6486">
        <w:rPr>
          <w:rFonts w:ascii="Arial" w:hAnsi="Arial" w:cs="Arial"/>
          <w:sz w:val="24"/>
          <w:szCs w:val="24"/>
        </w:rPr>
        <w:t>Înființarea Colegiului UEMR și extinderea ofertei educaționale a universității la nivelul învățământului terțiar nonuniversitar, prin programe postliceale de calificare profesională, dezvoltate îndomeniile în care universitatea are programe de licență acreditate sau autorizate;</w:t>
      </w:r>
    </w:p>
    <w:p w:rsidR="00FE7DCF" w:rsidRPr="002E6486" w:rsidRDefault="00FE7DCF" w:rsidP="00A827CF">
      <w:pPr>
        <w:pStyle w:val="ListParagraph"/>
        <w:numPr>
          <w:ilvl w:val="0"/>
          <w:numId w:val="10"/>
        </w:numPr>
        <w:contextualSpacing/>
        <w:jc w:val="both"/>
        <w:rPr>
          <w:rFonts w:ascii="Arial" w:hAnsi="Arial" w:cs="Arial"/>
          <w:sz w:val="24"/>
          <w:szCs w:val="24"/>
        </w:rPr>
      </w:pPr>
      <w:r w:rsidRPr="002E6486">
        <w:rPr>
          <w:rFonts w:ascii="Arial" w:hAnsi="Arial" w:cs="Arial"/>
          <w:sz w:val="24"/>
          <w:szCs w:val="24"/>
        </w:rPr>
        <w:t>Stabilirea unor parteneriate cu firmele din regiune, în vedereaconstituirii de centre de cercetare/dezvoltare/proiectare comune, în care să fie implicate cadrele didactice și studenții/masteranzii/doctoranzii UEMR;</w:t>
      </w:r>
    </w:p>
    <w:p w:rsidR="00FE7DCF" w:rsidRPr="002E6486" w:rsidRDefault="00FE7DCF" w:rsidP="00A827CF">
      <w:pPr>
        <w:pStyle w:val="ListParagraph"/>
        <w:numPr>
          <w:ilvl w:val="0"/>
          <w:numId w:val="10"/>
        </w:numPr>
        <w:contextualSpacing/>
        <w:jc w:val="both"/>
        <w:rPr>
          <w:rFonts w:ascii="Arial" w:hAnsi="Arial" w:cs="Arial"/>
          <w:sz w:val="24"/>
          <w:szCs w:val="24"/>
        </w:rPr>
      </w:pPr>
      <w:r w:rsidRPr="002E6486">
        <w:rPr>
          <w:rFonts w:ascii="Arial" w:hAnsi="Arial" w:cs="Arial"/>
          <w:sz w:val="24"/>
          <w:szCs w:val="24"/>
        </w:rPr>
        <w:t>Atragerea de studenţi străini (Republica Moldova, Banatul Sârbesc,etc.) pentru creşterea numărului de studenţi;</w:t>
      </w:r>
    </w:p>
    <w:p w:rsidR="00FE7DCF" w:rsidRPr="002E6486" w:rsidRDefault="00FE7DCF" w:rsidP="00A827CF">
      <w:pPr>
        <w:pStyle w:val="ListParagraph"/>
        <w:numPr>
          <w:ilvl w:val="0"/>
          <w:numId w:val="10"/>
        </w:numPr>
        <w:contextualSpacing/>
        <w:jc w:val="both"/>
        <w:rPr>
          <w:rFonts w:ascii="Arial" w:hAnsi="Arial" w:cs="Arial"/>
          <w:sz w:val="24"/>
          <w:szCs w:val="24"/>
        </w:rPr>
      </w:pPr>
      <w:r w:rsidRPr="002E6486">
        <w:rPr>
          <w:rFonts w:ascii="Arial" w:hAnsi="Arial" w:cs="Arial"/>
          <w:sz w:val="24"/>
          <w:szCs w:val="24"/>
        </w:rPr>
        <w:t>Atragerea absolvenţilor de liceu prin site-ul propriu, publicitate media, vizite în universitate, organizare de evenimente specifice</w:t>
      </w:r>
    </w:p>
    <w:p w:rsidR="00FE7DCF" w:rsidRPr="002E6486" w:rsidRDefault="00FE7DCF" w:rsidP="00A827CF">
      <w:pPr>
        <w:pStyle w:val="ListParagraph"/>
        <w:numPr>
          <w:ilvl w:val="0"/>
          <w:numId w:val="10"/>
        </w:numPr>
        <w:contextualSpacing/>
        <w:jc w:val="both"/>
        <w:rPr>
          <w:rFonts w:ascii="Arial" w:hAnsi="Arial" w:cs="Arial"/>
          <w:sz w:val="24"/>
          <w:szCs w:val="24"/>
        </w:rPr>
      </w:pPr>
      <w:r w:rsidRPr="002E6486">
        <w:rPr>
          <w:rFonts w:ascii="Arial" w:hAnsi="Arial" w:cs="Arial"/>
          <w:sz w:val="24"/>
          <w:szCs w:val="24"/>
        </w:rPr>
        <w:t>(Ziua porţilor deschise, Ziua universităţii, g</w:t>
      </w:r>
      <w:r w:rsidR="003A777C">
        <w:rPr>
          <w:rFonts w:ascii="Arial" w:hAnsi="Arial" w:cs="Arial"/>
          <w:sz w:val="24"/>
          <w:szCs w:val="24"/>
        </w:rPr>
        <w:t>ă</w:t>
      </w:r>
      <w:r w:rsidRPr="002E6486">
        <w:rPr>
          <w:rFonts w:ascii="Arial" w:hAnsi="Arial" w:cs="Arial"/>
          <w:sz w:val="24"/>
          <w:szCs w:val="24"/>
        </w:rPr>
        <w:t>zduirea firmelor pentru prezentare de produse cu concursuri cu premii, concepţie şi distribuţie pliante de admitere, organizare meditaţii, etc.);</w:t>
      </w:r>
    </w:p>
    <w:p w:rsidR="00FE7DCF" w:rsidRPr="002E6486" w:rsidRDefault="00FE7DCF" w:rsidP="00A827CF">
      <w:pPr>
        <w:pStyle w:val="ListParagraph"/>
        <w:numPr>
          <w:ilvl w:val="0"/>
          <w:numId w:val="10"/>
        </w:numPr>
        <w:contextualSpacing/>
        <w:jc w:val="both"/>
        <w:rPr>
          <w:rFonts w:ascii="Arial" w:hAnsi="Arial" w:cs="Arial"/>
          <w:sz w:val="24"/>
          <w:szCs w:val="24"/>
        </w:rPr>
      </w:pPr>
      <w:r w:rsidRPr="002E6486">
        <w:rPr>
          <w:rFonts w:ascii="Arial" w:hAnsi="Arial" w:cs="Arial"/>
          <w:sz w:val="24"/>
          <w:szCs w:val="24"/>
        </w:rPr>
        <w:t>Creșterea rolului consultativ și stimularea participării active a studenților la procesele decizionale;</w:t>
      </w:r>
    </w:p>
    <w:p w:rsidR="00FE7DCF" w:rsidRPr="002E6486" w:rsidRDefault="00FE7DCF" w:rsidP="00A827CF">
      <w:pPr>
        <w:pStyle w:val="ListParagraph"/>
        <w:numPr>
          <w:ilvl w:val="0"/>
          <w:numId w:val="10"/>
        </w:numPr>
        <w:contextualSpacing/>
        <w:jc w:val="both"/>
        <w:rPr>
          <w:rFonts w:ascii="Arial" w:hAnsi="Arial" w:cs="Arial"/>
          <w:sz w:val="24"/>
          <w:szCs w:val="24"/>
        </w:rPr>
      </w:pPr>
      <w:r w:rsidRPr="002E6486">
        <w:rPr>
          <w:rFonts w:ascii="Arial" w:hAnsi="Arial" w:cs="Arial"/>
          <w:sz w:val="24"/>
          <w:szCs w:val="24"/>
        </w:rPr>
        <w:t xml:space="preserve"> Creșterea gradului de implicare a Asociației Absolvenților UEMR în procesele de evaluare/dezvoltare a programelor de studii și de analiză a gradului de inserție pe piața muncii;</w:t>
      </w:r>
    </w:p>
    <w:p w:rsidR="00FE7DCF" w:rsidRPr="002E6486" w:rsidRDefault="00FE7DCF" w:rsidP="00A827CF">
      <w:pPr>
        <w:pStyle w:val="ListParagraph"/>
        <w:numPr>
          <w:ilvl w:val="0"/>
          <w:numId w:val="10"/>
        </w:numPr>
        <w:contextualSpacing/>
        <w:jc w:val="both"/>
        <w:rPr>
          <w:rFonts w:ascii="Arial" w:hAnsi="Arial" w:cs="Arial"/>
          <w:sz w:val="24"/>
          <w:szCs w:val="24"/>
        </w:rPr>
      </w:pPr>
      <w:r w:rsidRPr="002E6486">
        <w:rPr>
          <w:rFonts w:ascii="Arial" w:hAnsi="Arial" w:cs="Arial"/>
          <w:sz w:val="24"/>
          <w:szCs w:val="24"/>
        </w:rPr>
        <w:t xml:space="preserve"> Alte măsuri/ activități/proiecte din domeniu</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b/>
          <w:sz w:val="24"/>
          <w:szCs w:val="24"/>
        </w:rPr>
        <w:t>JUDEȚUL HUNEDOARA</w:t>
      </w:r>
      <w:r w:rsidRPr="002E6486">
        <w:rPr>
          <w:rStyle w:val="FootnoteReference"/>
          <w:rFonts w:ascii="Arial" w:hAnsi="Arial" w:cs="Arial"/>
          <w:b/>
          <w:sz w:val="24"/>
          <w:szCs w:val="24"/>
        </w:rPr>
        <w:footnoteReference w:id="75"/>
      </w:r>
      <w:r>
        <w:rPr>
          <w:rFonts w:ascii="Arial" w:hAnsi="Arial" w:cs="Arial"/>
          <w:b/>
          <w:sz w:val="24"/>
          <w:szCs w:val="24"/>
        </w:rPr>
        <w:t xml:space="preserve"> </w:t>
      </w:r>
      <w:r w:rsidRPr="002E6486">
        <w:rPr>
          <w:rFonts w:ascii="Arial" w:hAnsi="Arial" w:cs="Arial"/>
          <w:sz w:val="24"/>
          <w:szCs w:val="24"/>
        </w:rPr>
        <w:t>Strategia județului Hunedoara se bazeaza pe urmatorii vectori de dezvoltare:</w:t>
      </w:r>
    </w:p>
    <w:p w:rsidR="00FE7DCF" w:rsidRPr="002E6486" w:rsidRDefault="00FE7DCF" w:rsidP="00A827CF">
      <w:pPr>
        <w:pStyle w:val="ListParagraph"/>
        <w:numPr>
          <w:ilvl w:val="0"/>
          <w:numId w:val="6"/>
        </w:numPr>
        <w:contextualSpacing/>
        <w:jc w:val="both"/>
        <w:rPr>
          <w:rFonts w:ascii="Arial" w:hAnsi="Arial" w:cs="Arial"/>
          <w:sz w:val="24"/>
          <w:szCs w:val="24"/>
        </w:rPr>
      </w:pPr>
      <w:r w:rsidRPr="002E6486">
        <w:rPr>
          <w:rFonts w:ascii="Arial" w:hAnsi="Arial" w:cs="Arial"/>
          <w:sz w:val="24"/>
          <w:szCs w:val="24"/>
        </w:rPr>
        <w:t>mixul unic de resurse etnografice, istorice și naturale</w:t>
      </w:r>
    </w:p>
    <w:p w:rsidR="00FE7DCF" w:rsidRPr="002E6486" w:rsidRDefault="00FE7DCF" w:rsidP="00A827CF">
      <w:pPr>
        <w:pStyle w:val="ListParagraph"/>
        <w:numPr>
          <w:ilvl w:val="0"/>
          <w:numId w:val="6"/>
        </w:numPr>
        <w:contextualSpacing/>
        <w:jc w:val="both"/>
        <w:rPr>
          <w:rFonts w:ascii="Arial" w:hAnsi="Arial" w:cs="Arial"/>
          <w:sz w:val="24"/>
          <w:szCs w:val="24"/>
        </w:rPr>
      </w:pPr>
      <w:r w:rsidRPr="002E6486">
        <w:rPr>
          <w:rFonts w:ascii="Arial" w:hAnsi="Arial" w:cs="Arial"/>
          <w:sz w:val="24"/>
          <w:szCs w:val="24"/>
        </w:rPr>
        <w:t>tradiția industrială și resursele de forță de muncă aferente</w:t>
      </w:r>
    </w:p>
    <w:p w:rsidR="00FE7DCF" w:rsidRPr="002E6486" w:rsidRDefault="00FE7DCF" w:rsidP="00A827CF">
      <w:pPr>
        <w:pStyle w:val="ListParagraph"/>
        <w:numPr>
          <w:ilvl w:val="0"/>
          <w:numId w:val="6"/>
        </w:numPr>
        <w:contextualSpacing/>
        <w:jc w:val="both"/>
        <w:rPr>
          <w:rFonts w:ascii="Arial" w:hAnsi="Arial" w:cs="Arial"/>
          <w:sz w:val="24"/>
          <w:szCs w:val="24"/>
        </w:rPr>
      </w:pPr>
      <w:r w:rsidRPr="002E6486">
        <w:rPr>
          <w:rFonts w:ascii="Arial" w:hAnsi="Arial" w:cs="Arial"/>
          <w:sz w:val="24"/>
          <w:szCs w:val="24"/>
        </w:rPr>
        <w:t>accesibilitatea ridicată, inclusiv internațională</w:t>
      </w:r>
    </w:p>
    <w:p w:rsidR="00FE7DCF" w:rsidRPr="002E6486" w:rsidRDefault="003A777C" w:rsidP="000C6A67">
      <w:pPr>
        <w:spacing w:after="0" w:line="240" w:lineRule="auto"/>
        <w:jc w:val="both"/>
        <w:rPr>
          <w:rFonts w:ascii="Arial" w:hAnsi="Arial" w:cs="Arial"/>
          <w:sz w:val="24"/>
          <w:szCs w:val="24"/>
        </w:rPr>
      </w:pPr>
      <w:r>
        <w:rPr>
          <w:rFonts w:ascii="Arial" w:hAnsi="Arial" w:cs="Arial"/>
          <w:sz w:val="24"/>
          <w:szCs w:val="24"/>
        </w:rPr>
        <w:t xml:space="preserve">județul </w:t>
      </w:r>
      <w:r w:rsidR="00FE7DCF" w:rsidRPr="002E6486">
        <w:rPr>
          <w:rFonts w:ascii="Arial" w:hAnsi="Arial" w:cs="Arial"/>
          <w:sz w:val="24"/>
          <w:szCs w:val="24"/>
        </w:rPr>
        <w:t>Hunedoara își propune în strategia de dezvoltare pentru perioada 2014-2020, să devină ”</w:t>
      </w:r>
      <w:r w:rsidR="00FE7DCF" w:rsidRPr="002E6486">
        <w:rPr>
          <w:rFonts w:ascii="Arial" w:hAnsi="Arial" w:cs="Arial"/>
          <w:b/>
          <w:sz w:val="24"/>
          <w:szCs w:val="24"/>
        </w:rPr>
        <w:t>Hunedoara recunoscută – performantă -  incluzivă -  conectată și verde”.</w:t>
      </w:r>
      <w:r w:rsidR="00FE7DCF" w:rsidRPr="002E6486">
        <w:rPr>
          <w:rFonts w:ascii="Arial" w:hAnsi="Arial" w:cs="Arial"/>
          <w:sz w:val="24"/>
          <w:szCs w:val="24"/>
        </w:rPr>
        <w:t xml:space="preserve"> </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b/>
          <w:sz w:val="24"/>
          <w:szCs w:val="24"/>
        </w:rPr>
        <w:t>Planul de dezvoltare</w:t>
      </w:r>
      <w:r w:rsidRPr="002E6486">
        <w:rPr>
          <w:rFonts w:ascii="Arial" w:hAnsi="Arial" w:cs="Arial"/>
          <w:sz w:val="24"/>
          <w:szCs w:val="24"/>
        </w:rPr>
        <w:t xml:space="preserve"> a județului Hunedoara pe perioada 2014-2020 este strcuturat pe un </w:t>
      </w:r>
      <w:r w:rsidRPr="002E6486">
        <w:rPr>
          <w:rFonts w:ascii="Arial" w:hAnsi="Arial" w:cs="Arial"/>
          <w:b/>
          <w:sz w:val="24"/>
          <w:szCs w:val="24"/>
        </w:rPr>
        <w:t>sistem de Obiective, Domenii prioritare și Direcții de acțiune subsecvente.</w:t>
      </w:r>
      <w:r w:rsidRPr="002E6486">
        <w:rPr>
          <w:rFonts w:ascii="Arial" w:hAnsi="Arial" w:cs="Arial"/>
          <w:sz w:val="24"/>
          <w:szCs w:val="24"/>
        </w:rPr>
        <w:t xml:space="preserve"> </w:t>
      </w:r>
    </w:p>
    <w:p w:rsidR="00FE7DCF" w:rsidRPr="002E6486" w:rsidRDefault="00FE7DCF" w:rsidP="000C6A67">
      <w:pPr>
        <w:spacing w:after="0" w:line="240" w:lineRule="auto"/>
        <w:jc w:val="both"/>
        <w:rPr>
          <w:rFonts w:ascii="Arial" w:hAnsi="Arial" w:cs="Arial"/>
          <w:b/>
          <w:sz w:val="24"/>
          <w:szCs w:val="24"/>
        </w:rPr>
      </w:pPr>
      <w:r w:rsidRPr="002E6486">
        <w:rPr>
          <w:rFonts w:ascii="Arial" w:hAnsi="Arial" w:cs="Arial"/>
          <w:b/>
          <w:sz w:val="24"/>
          <w:szCs w:val="24"/>
        </w:rPr>
        <w:t>OS2. Hunedoara performantă: Hunedoara, județ cu o economie performantă și diversificată, competitivă la nivel regional</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Directiile de actiune sunt :</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2.3.1. Sprijinirea dezvoltării infrastructurii de CDI, cu m</w:t>
      </w:r>
      <w:r w:rsidR="00E53080">
        <w:rPr>
          <w:rFonts w:ascii="Arial" w:hAnsi="Arial" w:cs="Arial"/>
          <w:sz w:val="24"/>
          <w:szCs w:val="24"/>
        </w:rPr>
        <w:t>ă</w:t>
      </w:r>
      <w:r w:rsidRPr="002E6486">
        <w:rPr>
          <w:rFonts w:ascii="Arial" w:hAnsi="Arial" w:cs="Arial"/>
          <w:sz w:val="24"/>
          <w:szCs w:val="24"/>
        </w:rPr>
        <w:t xml:space="preserve">sura: </w:t>
      </w:r>
    </w:p>
    <w:p w:rsidR="00FE7DCF" w:rsidRPr="002E6486" w:rsidRDefault="00FE7DCF" w:rsidP="00A827CF">
      <w:pPr>
        <w:pStyle w:val="ListParagraph"/>
        <w:numPr>
          <w:ilvl w:val="0"/>
          <w:numId w:val="8"/>
        </w:numPr>
        <w:contextualSpacing/>
        <w:jc w:val="both"/>
        <w:rPr>
          <w:rFonts w:ascii="Arial" w:hAnsi="Arial" w:cs="Arial"/>
          <w:i/>
          <w:sz w:val="24"/>
          <w:szCs w:val="24"/>
        </w:rPr>
      </w:pPr>
      <w:r w:rsidRPr="002E6486">
        <w:rPr>
          <w:rFonts w:ascii="Arial" w:hAnsi="Arial" w:cs="Arial"/>
          <w:i/>
          <w:sz w:val="24"/>
          <w:szCs w:val="24"/>
        </w:rPr>
        <w:t>Dezvoltarea Centrului de inovare și transfer tehnologic al Universității din Petroșani</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2.3.2. Dezvoltarea de parteneriate strategice, cu m</w:t>
      </w:r>
      <w:r w:rsidR="00E53080">
        <w:rPr>
          <w:rFonts w:ascii="Arial" w:hAnsi="Arial" w:cs="Arial"/>
          <w:sz w:val="24"/>
          <w:szCs w:val="24"/>
        </w:rPr>
        <w:t>ă</w:t>
      </w:r>
      <w:r w:rsidRPr="002E6486">
        <w:rPr>
          <w:rFonts w:ascii="Arial" w:hAnsi="Arial" w:cs="Arial"/>
          <w:sz w:val="24"/>
          <w:szCs w:val="24"/>
        </w:rPr>
        <w:t xml:space="preserve">surile: </w:t>
      </w:r>
    </w:p>
    <w:p w:rsidR="00FE7DCF" w:rsidRPr="002E6486" w:rsidRDefault="00FE7DCF" w:rsidP="00A827CF">
      <w:pPr>
        <w:pStyle w:val="ListParagraph"/>
        <w:numPr>
          <w:ilvl w:val="0"/>
          <w:numId w:val="7"/>
        </w:numPr>
        <w:contextualSpacing/>
        <w:jc w:val="both"/>
        <w:rPr>
          <w:rFonts w:ascii="Arial" w:hAnsi="Arial" w:cs="Arial"/>
          <w:i/>
          <w:sz w:val="24"/>
          <w:szCs w:val="24"/>
        </w:rPr>
      </w:pPr>
      <w:r w:rsidRPr="002E6486">
        <w:rPr>
          <w:rFonts w:ascii="Arial" w:hAnsi="Arial" w:cs="Arial"/>
          <w:i/>
          <w:sz w:val="24"/>
          <w:szCs w:val="24"/>
        </w:rPr>
        <w:t>Facilitarea cooperării între companii, instituții de învățământ și cercetare și autoritățile publice locale</w:t>
      </w:r>
    </w:p>
    <w:p w:rsidR="00FE7DCF" w:rsidRPr="002E6486" w:rsidRDefault="00FE7DCF" w:rsidP="00A827CF">
      <w:pPr>
        <w:pStyle w:val="ListParagraph"/>
        <w:numPr>
          <w:ilvl w:val="0"/>
          <w:numId w:val="7"/>
        </w:numPr>
        <w:contextualSpacing/>
        <w:jc w:val="both"/>
        <w:rPr>
          <w:rFonts w:ascii="Arial" w:hAnsi="Arial" w:cs="Arial"/>
          <w:i/>
          <w:sz w:val="24"/>
          <w:szCs w:val="24"/>
        </w:rPr>
      </w:pPr>
      <w:r w:rsidRPr="002E6486">
        <w:rPr>
          <w:rFonts w:ascii="Arial" w:hAnsi="Arial" w:cs="Arial"/>
          <w:i/>
          <w:sz w:val="24"/>
          <w:szCs w:val="24"/>
        </w:rPr>
        <w:t>Atragerea de noi instituții universitare/ de cercetare în județ</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2.3.3. Promovarea județului Hunedoara ca ecosistem de inovare, cu m</w:t>
      </w:r>
      <w:r w:rsidR="00E53080">
        <w:rPr>
          <w:rFonts w:ascii="Arial" w:hAnsi="Arial" w:cs="Arial"/>
          <w:sz w:val="24"/>
          <w:szCs w:val="24"/>
        </w:rPr>
        <w:t>ă</w:t>
      </w:r>
      <w:r w:rsidRPr="002E6486">
        <w:rPr>
          <w:rFonts w:ascii="Arial" w:hAnsi="Arial" w:cs="Arial"/>
          <w:sz w:val="24"/>
          <w:szCs w:val="24"/>
        </w:rPr>
        <w:t>sura:</w:t>
      </w:r>
    </w:p>
    <w:p w:rsidR="00FE7DCF" w:rsidRPr="002E6486" w:rsidRDefault="00FE7DCF" w:rsidP="00A827CF">
      <w:pPr>
        <w:pStyle w:val="ListParagraph"/>
        <w:numPr>
          <w:ilvl w:val="0"/>
          <w:numId w:val="9"/>
        </w:numPr>
        <w:contextualSpacing/>
        <w:jc w:val="both"/>
        <w:rPr>
          <w:rFonts w:ascii="Arial" w:hAnsi="Arial" w:cs="Arial"/>
          <w:i/>
          <w:sz w:val="24"/>
          <w:szCs w:val="24"/>
        </w:rPr>
      </w:pPr>
      <w:r w:rsidRPr="002E6486">
        <w:rPr>
          <w:rFonts w:ascii="Arial" w:hAnsi="Arial" w:cs="Arial"/>
          <w:i/>
          <w:sz w:val="24"/>
          <w:szCs w:val="24"/>
        </w:rPr>
        <w:t>Promovarea județului Hunedoara ca locație pentru activități de CDI la târguri, evenimente și pe rețele de specialitate</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2.3.4. Dezvoltarea unui spațiu universitar de cercetare interdisciplinară, cu m</w:t>
      </w:r>
      <w:r w:rsidR="00E53080">
        <w:rPr>
          <w:rFonts w:ascii="Arial" w:hAnsi="Arial" w:cs="Arial"/>
          <w:sz w:val="24"/>
          <w:szCs w:val="24"/>
        </w:rPr>
        <w:t>ă</w:t>
      </w:r>
      <w:r w:rsidRPr="002E6486">
        <w:rPr>
          <w:rFonts w:ascii="Arial" w:hAnsi="Arial" w:cs="Arial"/>
          <w:sz w:val="24"/>
          <w:szCs w:val="24"/>
        </w:rPr>
        <w:t>sura:</w:t>
      </w:r>
    </w:p>
    <w:p w:rsidR="00FE7DCF" w:rsidRPr="002E6486" w:rsidRDefault="00FE7DCF" w:rsidP="00A827CF">
      <w:pPr>
        <w:pStyle w:val="ListParagraph"/>
        <w:numPr>
          <w:ilvl w:val="0"/>
          <w:numId w:val="9"/>
        </w:numPr>
        <w:contextualSpacing/>
        <w:jc w:val="both"/>
        <w:rPr>
          <w:rFonts w:ascii="Arial" w:hAnsi="Arial" w:cs="Arial"/>
          <w:i/>
          <w:sz w:val="24"/>
          <w:szCs w:val="24"/>
        </w:rPr>
      </w:pPr>
      <w:r w:rsidRPr="002E6486">
        <w:rPr>
          <w:rFonts w:ascii="Arial" w:hAnsi="Arial" w:cs="Arial"/>
          <w:i/>
          <w:sz w:val="24"/>
          <w:szCs w:val="24"/>
        </w:rPr>
        <w:t>Realizarea și dotarea unui spațiu pentru cazare și activități de practică integrată structurat sub forma unui ”sat studențesc”</w:t>
      </w:r>
    </w:p>
    <w:p w:rsidR="00FE7DCF" w:rsidRPr="002E6486" w:rsidRDefault="00FE7DCF" w:rsidP="000C6A67">
      <w:pPr>
        <w:widowControl w:val="0"/>
        <w:autoSpaceDE w:val="0"/>
        <w:autoSpaceDN w:val="0"/>
        <w:adjustRightInd w:val="0"/>
        <w:snapToGrid w:val="0"/>
        <w:spacing w:after="0" w:line="240" w:lineRule="auto"/>
        <w:jc w:val="both"/>
        <w:rPr>
          <w:rFonts w:ascii="Arial" w:hAnsi="Arial" w:cs="Arial"/>
          <w:sz w:val="24"/>
          <w:szCs w:val="24"/>
        </w:rPr>
      </w:pPr>
      <w:r w:rsidRPr="002E6486">
        <w:rPr>
          <w:rFonts w:ascii="Arial" w:hAnsi="Arial" w:cs="Arial"/>
          <w:b/>
          <w:sz w:val="24"/>
          <w:szCs w:val="24"/>
        </w:rPr>
        <w:t>JUDETUL TIMIȘ</w:t>
      </w:r>
      <w:r w:rsidRPr="002E6486">
        <w:rPr>
          <w:rStyle w:val="FootnoteReference"/>
          <w:rFonts w:ascii="Arial" w:hAnsi="Arial" w:cs="Arial"/>
          <w:b/>
          <w:sz w:val="24"/>
          <w:szCs w:val="24"/>
        </w:rPr>
        <w:footnoteReference w:id="76"/>
      </w:r>
      <w:r w:rsidRPr="002E6486">
        <w:rPr>
          <w:rFonts w:ascii="Arial" w:hAnsi="Arial" w:cs="Arial"/>
          <w:b/>
          <w:sz w:val="24"/>
          <w:szCs w:val="24"/>
        </w:rPr>
        <w:t xml:space="preserve"> </w:t>
      </w:r>
      <w:r>
        <w:rPr>
          <w:rFonts w:ascii="Arial" w:hAnsi="Arial" w:cs="Arial"/>
          <w:b/>
          <w:sz w:val="24"/>
          <w:szCs w:val="24"/>
        </w:rPr>
        <w:t xml:space="preserve"> </w:t>
      </w:r>
      <w:r w:rsidRPr="006813AB">
        <w:rPr>
          <w:rFonts w:ascii="Arial" w:hAnsi="Arial" w:cs="Arial"/>
          <w:b/>
          <w:sz w:val="24"/>
          <w:szCs w:val="24"/>
        </w:rPr>
        <w:t xml:space="preserve">Strategia de dezvoltare economico socială a Județului Timiș </w:t>
      </w:r>
      <w:r w:rsidRPr="006813AB">
        <w:rPr>
          <w:rFonts w:ascii="Arial" w:hAnsi="Arial" w:cs="Arial"/>
          <w:b/>
          <w:sz w:val="24"/>
          <w:szCs w:val="24"/>
        </w:rPr>
        <w:lastRenderedPageBreak/>
        <w:t>pentru perioada 2015-2020/(2023) (SDES Timiș).</w:t>
      </w:r>
      <w:r w:rsidRPr="002E6486">
        <w:rPr>
          <w:rFonts w:ascii="Arial" w:hAnsi="Arial" w:cs="Arial"/>
          <w:sz w:val="24"/>
          <w:szCs w:val="24"/>
        </w:rPr>
        <w:t xml:space="preserve"> </w:t>
      </w:r>
    </w:p>
    <w:p w:rsidR="00FE7DCF" w:rsidRPr="002E6486" w:rsidRDefault="00FE7DCF" w:rsidP="000C6A67">
      <w:pPr>
        <w:widowControl w:val="0"/>
        <w:autoSpaceDE w:val="0"/>
        <w:autoSpaceDN w:val="0"/>
        <w:adjustRightInd w:val="0"/>
        <w:snapToGrid w:val="0"/>
        <w:spacing w:after="0" w:line="240" w:lineRule="auto"/>
        <w:jc w:val="both"/>
        <w:rPr>
          <w:rFonts w:ascii="Arial" w:hAnsi="Arial" w:cs="Arial"/>
          <w:sz w:val="24"/>
          <w:szCs w:val="24"/>
        </w:rPr>
      </w:pPr>
      <w:r w:rsidRPr="002E6486">
        <w:rPr>
          <w:rFonts w:ascii="Arial" w:hAnsi="Arial" w:cs="Arial"/>
          <w:sz w:val="24"/>
          <w:szCs w:val="24"/>
        </w:rPr>
        <w:t>Structura strategiei este construita pe 3 nivele asa cum se arata in document:</w:t>
      </w:r>
    </w:p>
    <w:p w:rsidR="00FE7DCF" w:rsidRPr="002E6486" w:rsidRDefault="00FE7DCF" w:rsidP="000C6A67">
      <w:pPr>
        <w:widowControl w:val="0"/>
        <w:autoSpaceDE w:val="0"/>
        <w:autoSpaceDN w:val="0"/>
        <w:adjustRightInd w:val="0"/>
        <w:snapToGrid w:val="0"/>
        <w:spacing w:after="0" w:line="240" w:lineRule="auto"/>
        <w:jc w:val="both"/>
        <w:rPr>
          <w:rFonts w:ascii="Arial" w:hAnsi="Arial" w:cs="Arial"/>
          <w:sz w:val="24"/>
          <w:szCs w:val="24"/>
        </w:rPr>
      </w:pPr>
      <w:r w:rsidRPr="002E6486">
        <w:rPr>
          <w:rFonts w:ascii="Arial" w:hAnsi="Arial" w:cs="Arial"/>
          <w:sz w:val="24"/>
          <w:szCs w:val="24"/>
        </w:rPr>
        <w:t>Nivelul 1 cuprinde:Viziunea strategică de dezvoltare a judeţului Timiş, Obiectivul global al strategiei si 6 obiective specifice.</w:t>
      </w:r>
    </w:p>
    <w:p w:rsidR="00FE7DCF" w:rsidRPr="002E6486" w:rsidRDefault="00FE7DCF" w:rsidP="000C6A67">
      <w:pPr>
        <w:widowControl w:val="0"/>
        <w:autoSpaceDE w:val="0"/>
        <w:autoSpaceDN w:val="0"/>
        <w:adjustRightInd w:val="0"/>
        <w:snapToGrid w:val="0"/>
        <w:spacing w:after="0" w:line="240" w:lineRule="auto"/>
        <w:jc w:val="both"/>
        <w:rPr>
          <w:rFonts w:ascii="Arial" w:hAnsi="Arial" w:cs="Arial"/>
          <w:sz w:val="24"/>
          <w:szCs w:val="24"/>
        </w:rPr>
      </w:pPr>
      <w:r w:rsidRPr="002E6486">
        <w:rPr>
          <w:rFonts w:ascii="Arial" w:hAnsi="Arial" w:cs="Arial"/>
          <w:sz w:val="24"/>
          <w:szCs w:val="24"/>
        </w:rPr>
        <w:t>Nivelul</w:t>
      </w:r>
      <w:r>
        <w:rPr>
          <w:rFonts w:ascii="Arial" w:hAnsi="Arial" w:cs="Arial"/>
          <w:sz w:val="24"/>
          <w:szCs w:val="24"/>
        </w:rPr>
        <w:t xml:space="preserve"> 2 cuprinde: 11 axe strategice, printre care se găsește și </w:t>
      </w:r>
      <w:r w:rsidRPr="002E6486">
        <w:rPr>
          <w:rFonts w:ascii="Arial" w:hAnsi="Arial" w:cs="Arial"/>
          <w:sz w:val="24"/>
          <w:szCs w:val="24"/>
        </w:rPr>
        <w:t>3. Educaţie şi Resurse umane</w:t>
      </w:r>
    </w:p>
    <w:p w:rsidR="00FE7DCF" w:rsidRPr="002E6486" w:rsidRDefault="00FE7DCF" w:rsidP="000C6A67">
      <w:pPr>
        <w:widowControl w:val="0"/>
        <w:autoSpaceDE w:val="0"/>
        <w:autoSpaceDN w:val="0"/>
        <w:adjustRightInd w:val="0"/>
        <w:snapToGrid w:val="0"/>
        <w:spacing w:after="0" w:line="240" w:lineRule="auto"/>
        <w:rPr>
          <w:rFonts w:ascii="Arial" w:hAnsi="Arial" w:cs="Arial"/>
          <w:sz w:val="24"/>
          <w:szCs w:val="24"/>
        </w:rPr>
      </w:pPr>
      <w:r w:rsidRPr="002E6486">
        <w:rPr>
          <w:rFonts w:ascii="Arial" w:hAnsi="Arial" w:cs="Arial"/>
          <w:sz w:val="24"/>
          <w:szCs w:val="24"/>
        </w:rPr>
        <w:t>Nivelul 3 cuprinde :Domeniiile de interventie si masurile de dezvoltare.</w:t>
      </w:r>
    </w:p>
    <w:p w:rsidR="00FE7DCF" w:rsidRPr="002E6486" w:rsidRDefault="00FE7DCF" w:rsidP="000C6A67">
      <w:pPr>
        <w:widowControl w:val="0"/>
        <w:autoSpaceDE w:val="0"/>
        <w:autoSpaceDN w:val="0"/>
        <w:adjustRightInd w:val="0"/>
        <w:snapToGrid w:val="0"/>
        <w:spacing w:after="0" w:line="240" w:lineRule="auto"/>
        <w:jc w:val="both"/>
        <w:rPr>
          <w:rFonts w:ascii="Arial" w:hAnsi="Arial" w:cs="Arial"/>
          <w:sz w:val="24"/>
          <w:szCs w:val="24"/>
        </w:rPr>
      </w:pPr>
      <w:r>
        <w:rPr>
          <w:rFonts w:ascii="Arial" w:hAnsi="Arial" w:cs="Arial"/>
          <w:sz w:val="24"/>
          <w:szCs w:val="24"/>
        </w:rPr>
        <w:t>Strategia amplă</w:t>
      </w:r>
      <w:r w:rsidRPr="002E6486">
        <w:rPr>
          <w:rFonts w:ascii="Arial" w:hAnsi="Arial" w:cs="Arial"/>
          <w:sz w:val="24"/>
          <w:szCs w:val="24"/>
        </w:rPr>
        <w:t xml:space="preserve"> a judetului Timis incepe cu o analiza a tuturor componentelor economico-sociale. Capitolul 2.3.5 </w:t>
      </w:r>
      <w:r w:rsidRPr="00C041AB">
        <w:rPr>
          <w:rFonts w:ascii="Arial" w:hAnsi="Arial" w:cs="Arial"/>
          <w:b/>
          <w:sz w:val="24"/>
          <w:szCs w:val="24"/>
        </w:rPr>
        <w:t>Infrastructura în domeniul învățământului superior,</w:t>
      </w:r>
      <w:r w:rsidRPr="002E6486">
        <w:rPr>
          <w:rFonts w:ascii="Arial" w:hAnsi="Arial" w:cs="Arial"/>
          <w:sz w:val="24"/>
          <w:szCs w:val="24"/>
        </w:rPr>
        <w:t xml:space="preserve"> cercetării și IT&amp;C face o radiografie a mediului universitar si cel de CDI din perspectiva resurselor.</w:t>
      </w:r>
    </w:p>
    <w:p w:rsidR="00FE7DCF" w:rsidRPr="002E6486" w:rsidRDefault="00FE7DCF" w:rsidP="000C6A67">
      <w:pPr>
        <w:widowControl w:val="0"/>
        <w:autoSpaceDE w:val="0"/>
        <w:autoSpaceDN w:val="0"/>
        <w:adjustRightInd w:val="0"/>
        <w:snapToGrid w:val="0"/>
        <w:spacing w:after="0" w:line="240" w:lineRule="auto"/>
        <w:jc w:val="both"/>
        <w:rPr>
          <w:rFonts w:ascii="Arial" w:hAnsi="Arial" w:cs="Arial"/>
          <w:sz w:val="24"/>
          <w:szCs w:val="24"/>
        </w:rPr>
      </w:pPr>
      <w:r w:rsidRPr="002E6486">
        <w:rPr>
          <w:rFonts w:ascii="Arial" w:hAnsi="Arial" w:cs="Arial"/>
          <w:b/>
          <w:sz w:val="24"/>
          <w:szCs w:val="24"/>
        </w:rPr>
        <w:t>Direcția strategică 4 (DS4)</w:t>
      </w:r>
      <w:r w:rsidRPr="002E6486">
        <w:rPr>
          <w:rFonts w:ascii="Arial" w:hAnsi="Arial" w:cs="Arial"/>
          <w:sz w:val="24"/>
          <w:szCs w:val="24"/>
        </w:rPr>
        <w:t xml:space="preserve"> - Un sistem integrat de cunoaștere și de învățare pentru dezvoltare economică și socială prevede: ”Legăturile dintre departamentele din universități, și toate firmele (active), clasificate CAEN pe sectoare, se va face pe principiul dublei coordonări pe domenii științifice și de clasificarea pe profesii și cu abordare multiplă de tip integrativ, iar fiecare temă de cercetare-inovare dezvoltare va avea o perspectivă multiplă: studenți-tineri cercetători cu atragere de elevi din licee și scoli profesionale, viitori muncitori în aceste echipe, vor trata la cursuri și lucrări aceeași temă de reproiectare inovativă a produselor și serviciilor, cu perspective de mediu si economisire de energie și materiale. Această direcție</w:t>
      </w:r>
      <w:r>
        <w:rPr>
          <w:rFonts w:ascii="Arial" w:hAnsi="Arial" w:cs="Arial"/>
          <w:sz w:val="24"/>
          <w:szCs w:val="24"/>
        </w:rPr>
        <w:t xml:space="preserve"> </w:t>
      </w:r>
      <w:r w:rsidRPr="002E6486">
        <w:rPr>
          <w:rFonts w:ascii="Arial" w:hAnsi="Arial" w:cs="Arial"/>
          <w:sz w:val="24"/>
          <w:szCs w:val="24"/>
        </w:rPr>
        <w:t>va fi declanșată începând cu prima perioada de programare 2014-2020 printr-o normă regională pentru fiecare unitate de învățământ sau de perfecționare in domeniul formării. Accesul la fondurile de finanțare va include această condiționalitate.</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b/>
          <w:sz w:val="24"/>
          <w:szCs w:val="24"/>
        </w:rPr>
        <w:t>Axa 3 – Educație și resurse umane</w:t>
      </w:r>
      <w:r w:rsidRPr="002E6486">
        <w:rPr>
          <w:rFonts w:ascii="Arial" w:hAnsi="Arial" w:cs="Arial"/>
          <w:sz w:val="24"/>
          <w:szCs w:val="24"/>
        </w:rPr>
        <w:t xml:space="preserve"> este detaliata pe domnenii de intervenție, și pe măsuri concrete</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Obiectivul de dezvoltare al Axei 3 : Crearea unor condiţii necesare dezvoltării capitalului uman in reproiectarea inovativă a produselor, serviciilor și tehnologiilor din toate domeniile vieții economico-sociale, în educaţia iniţială şi cea continuă, în strânsă corelare cu cerinţele pieţei muncii şi cu standardele europene</w:t>
      </w:r>
    </w:p>
    <w:p w:rsidR="00FE7DCF" w:rsidRPr="002E6486" w:rsidRDefault="00FE7DCF" w:rsidP="000C6A67">
      <w:pPr>
        <w:spacing w:after="0" w:line="240" w:lineRule="auto"/>
        <w:jc w:val="both"/>
        <w:rPr>
          <w:rFonts w:ascii="Arial" w:hAnsi="Arial" w:cs="Arial"/>
          <w:sz w:val="24"/>
          <w:szCs w:val="24"/>
        </w:rPr>
      </w:pPr>
      <w:r w:rsidRPr="00C041AB">
        <w:rPr>
          <w:rFonts w:ascii="Arial" w:hAnsi="Arial" w:cs="Arial"/>
          <w:b/>
          <w:sz w:val="24"/>
          <w:szCs w:val="24"/>
        </w:rPr>
        <w:t>Potrivit ultimelor date statistice disponibile la Ministerul Educatiei  Naționale și Cercetarii Stiintifice, în regiune sunt active 11 instituţii de învătământ superior</w:t>
      </w:r>
      <w:r w:rsidRPr="002E6486">
        <w:rPr>
          <w:rFonts w:ascii="Arial" w:hAnsi="Arial" w:cs="Arial"/>
          <w:sz w:val="24"/>
          <w:szCs w:val="24"/>
        </w:rPr>
        <w:t xml:space="preserve"> care organizează programe de studiu, majoritatea concentrate în judeţul Timiş. Dintre acestea, o singură universitate - Universitatea Politehnic</w:t>
      </w:r>
      <w:r w:rsidR="002302AB">
        <w:rPr>
          <w:rFonts w:ascii="Arial" w:hAnsi="Arial" w:cs="Arial"/>
          <w:sz w:val="24"/>
          <w:szCs w:val="24"/>
        </w:rPr>
        <w:t>a</w:t>
      </w:r>
      <w:r w:rsidRPr="002E6486">
        <w:rPr>
          <w:rFonts w:ascii="Arial" w:hAnsi="Arial" w:cs="Arial"/>
          <w:sz w:val="24"/>
          <w:szCs w:val="24"/>
        </w:rPr>
        <w:t xml:space="preserve"> - face parte din grupul instuţiilor de învăţământ superior centrate pe cercetare ştiinţifică avansată. </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Din cea de a doua categorie valoricǎ, a universităţilor de educaţie şi cercetare ştiinţifică, fac parte Universitatea de Medicină şi Farmacie "Victor Babeş", Universitatea de Ştiinţe Agricole şi Medicină Veterinară a Banatului şi Universitatea de Vest, toate fiind localizate în Timişoara. Alte şapte universităţi acreditate fac parte din categoria a treia valorică „cu grad de încredere ridicat" potrivit clasificării publicate pe site-ul Ministerului, (Universitatea "Eftimie Murgu" din Reşiţa, Universitatea "Tibiscus" din Timişoara, Universitatea "Aurel Vlaicu" din Arad, Universitatea din Petroşani, Universitatea de Vest "Vasile Goldiş" din Arad, Universitatea "Mihai Eminescu" din Timişoara ( Specializările/Programele de studii universitare de licenţă din structura instituţiei de învăţământ superior au intrat în lichidare începând cu anul universitar 2014 - 2015), Universitatea Europeană Drăgan din Lugoj, în timp ce o universitatea particular</w:t>
      </w:r>
      <w:r w:rsidR="002302AB">
        <w:rPr>
          <w:rFonts w:ascii="Arial" w:hAnsi="Arial" w:cs="Arial"/>
          <w:sz w:val="24"/>
          <w:szCs w:val="24"/>
        </w:rPr>
        <w:t xml:space="preserve">ă </w:t>
      </w:r>
      <w:r w:rsidRPr="002E6486">
        <w:rPr>
          <w:rFonts w:ascii="Arial" w:hAnsi="Arial" w:cs="Arial"/>
          <w:sz w:val="24"/>
          <w:szCs w:val="24"/>
        </w:rPr>
        <w:t xml:space="preserve">este autorizată să funcţioneze provizoriu, Universitatea Ioan Slavici . </w:t>
      </w:r>
    </w:p>
    <w:p w:rsidR="002302AB" w:rsidRDefault="002302AB" w:rsidP="000C6A67">
      <w:pPr>
        <w:spacing w:after="0" w:line="240" w:lineRule="auto"/>
        <w:jc w:val="both"/>
        <w:rPr>
          <w:rFonts w:ascii="Arial" w:hAnsi="Arial" w:cs="Arial"/>
          <w:b/>
          <w:bCs/>
          <w:sz w:val="24"/>
          <w:szCs w:val="24"/>
        </w:rPr>
      </w:pPr>
    </w:p>
    <w:p w:rsidR="002302AB" w:rsidRDefault="002302AB" w:rsidP="000C6A67">
      <w:pPr>
        <w:spacing w:after="0" w:line="240" w:lineRule="auto"/>
        <w:jc w:val="both"/>
        <w:rPr>
          <w:rFonts w:ascii="Arial" w:hAnsi="Arial" w:cs="Arial"/>
          <w:b/>
          <w:bCs/>
          <w:sz w:val="24"/>
          <w:szCs w:val="24"/>
        </w:rPr>
      </w:pPr>
    </w:p>
    <w:p w:rsidR="004670DC" w:rsidRPr="004D0173" w:rsidRDefault="00FE7DCF" w:rsidP="000C6A67">
      <w:pPr>
        <w:spacing w:after="0" w:line="240" w:lineRule="auto"/>
        <w:jc w:val="both"/>
        <w:rPr>
          <w:rFonts w:ascii="Arial" w:hAnsi="Arial" w:cs="Arial"/>
          <w:b/>
          <w:bCs/>
          <w:sz w:val="24"/>
          <w:szCs w:val="24"/>
        </w:rPr>
      </w:pPr>
      <w:r w:rsidRPr="00597FB2">
        <w:rPr>
          <w:rFonts w:ascii="Arial" w:hAnsi="Arial" w:cs="Arial"/>
          <w:b/>
          <w:bCs/>
          <w:sz w:val="24"/>
          <w:szCs w:val="24"/>
        </w:rPr>
        <w:t xml:space="preserve">4.1. Evoluţia ofertei </w:t>
      </w:r>
      <w:r w:rsidRPr="00597FB2">
        <w:rPr>
          <w:rStyle w:val="Normal1"/>
          <w:rFonts w:ascii="Arial" w:hAnsi="Arial" w:cs="Arial"/>
          <w:sz w:val="24"/>
          <w:szCs w:val="24"/>
        </w:rPr>
        <w:t xml:space="preserve">învăţământului superior </w:t>
      </w:r>
      <w:r w:rsidRPr="00597FB2">
        <w:rPr>
          <w:rFonts w:ascii="Arial" w:hAnsi="Arial" w:cs="Arial"/>
          <w:b/>
          <w:bCs/>
          <w:sz w:val="24"/>
          <w:szCs w:val="24"/>
        </w:rPr>
        <w:t xml:space="preserve">din regiune </w:t>
      </w:r>
    </w:p>
    <w:p w:rsidR="004670DC" w:rsidRPr="002F202A" w:rsidRDefault="004670DC" w:rsidP="000C6A67">
      <w:pPr>
        <w:tabs>
          <w:tab w:val="left" w:pos="8579"/>
        </w:tabs>
        <w:spacing w:after="0" w:line="240" w:lineRule="auto"/>
        <w:jc w:val="both"/>
        <w:rPr>
          <w:rFonts w:ascii="Arial" w:hAnsi="Arial" w:cs="Arial"/>
          <w:sz w:val="24"/>
          <w:szCs w:val="24"/>
        </w:rPr>
      </w:pPr>
      <w:r w:rsidRPr="002F202A">
        <w:rPr>
          <w:rFonts w:ascii="Arial" w:hAnsi="Arial" w:cs="Arial"/>
          <w:i/>
          <w:sz w:val="24"/>
          <w:szCs w:val="24"/>
        </w:rPr>
        <w:lastRenderedPageBreak/>
        <w:t>În regiunea Vest</w:t>
      </w:r>
      <w:r w:rsidRPr="002F202A">
        <w:rPr>
          <w:rFonts w:ascii="Arial" w:hAnsi="Arial" w:cs="Arial"/>
          <w:sz w:val="24"/>
          <w:szCs w:val="24"/>
        </w:rPr>
        <w:t xml:space="preserve"> în învățământul universitar de licență absolvenții prezentați în fiecare județ și localitate  cu universități, pe categorii de vârstă,  sunt, după cum urmează:</w:t>
      </w:r>
      <w:r w:rsidRPr="002F202A">
        <w:rPr>
          <w:rFonts w:ascii="Arial" w:hAnsi="Arial" w:cs="Arial"/>
          <w:i/>
          <w:sz w:val="24"/>
          <w:szCs w:val="24"/>
        </w:rPr>
        <w:t xml:space="preserve"> Județul Arad</w:t>
      </w:r>
      <w:r w:rsidRPr="002F202A">
        <w:rPr>
          <w:rFonts w:ascii="Arial" w:hAnsi="Arial" w:cs="Arial"/>
          <w:sz w:val="24"/>
          <w:szCs w:val="24"/>
        </w:rPr>
        <w:t xml:space="preserve"> are 2423 de absolvenți de succes în învățământul universitar de licență</w:t>
      </w:r>
      <w:r w:rsidR="00BD0C6B">
        <w:rPr>
          <w:rFonts w:ascii="Arial" w:hAnsi="Arial" w:cs="Arial"/>
          <w:sz w:val="24"/>
          <w:szCs w:val="24"/>
        </w:rPr>
        <w:t xml:space="preserve"> </w:t>
      </w:r>
      <w:r w:rsidRPr="002F202A">
        <w:rPr>
          <w:rFonts w:ascii="Arial" w:hAnsi="Arial" w:cs="Arial"/>
          <w:sz w:val="24"/>
          <w:szCs w:val="24"/>
        </w:rPr>
        <w:t>( 212 cu bac</w:t>
      </w:r>
      <w:r>
        <w:rPr>
          <w:rFonts w:ascii="Arial" w:hAnsi="Arial" w:cs="Arial"/>
          <w:sz w:val="24"/>
          <w:szCs w:val="24"/>
        </w:rPr>
        <w:t>alaureat</w:t>
      </w:r>
      <w:r w:rsidRPr="002F202A">
        <w:rPr>
          <w:rFonts w:ascii="Arial" w:hAnsi="Arial" w:cs="Arial"/>
          <w:sz w:val="24"/>
          <w:szCs w:val="24"/>
        </w:rPr>
        <w:t xml:space="preserve"> în alte țări) </w:t>
      </w:r>
      <w:r>
        <w:rPr>
          <w:rFonts w:ascii="Arial" w:hAnsi="Arial" w:cs="Arial"/>
          <w:sz w:val="24"/>
          <w:szCs w:val="24"/>
        </w:rPr>
        <w:t>în Municipiul Arad.</w:t>
      </w:r>
    </w:p>
    <w:p w:rsidR="004670DC" w:rsidRDefault="004670DC" w:rsidP="000C6A67">
      <w:pPr>
        <w:tabs>
          <w:tab w:val="left" w:pos="8579"/>
        </w:tabs>
        <w:spacing w:after="0" w:line="240" w:lineRule="auto"/>
        <w:jc w:val="both"/>
        <w:rPr>
          <w:rFonts w:ascii="Arial" w:hAnsi="Arial" w:cs="Arial"/>
          <w:sz w:val="24"/>
          <w:szCs w:val="24"/>
        </w:rPr>
      </w:pPr>
      <w:r w:rsidRPr="002F202A">
        <w:rPr>
          <w:rFonts w:ascii="Arial" w:hAnsi="Arial" w:cs="Arial"/>
          <w:i/>
          <w:sz w:val="24"/>
          <w:szCs w:val="24"/>
        </w:rPr>
        <w:t>Județul Caras-Severin</w:t>
      </w:r>
      <w:r w:rsidRPr="002F202A">
        <w:rPr>
          <w:rFonts w:ascii="Arial" w:hAnsi="Arial" w:cs="Arial"/>
          <w:sz w:val="24"/>
          <w:szCs w:val="24"/>
        </w:rPr>
        <w:t xml:space="preserve"> are 239 de absolvenți de succes în învățământul universitar de licență( 21 cu bac</w:t>
      </w:r>
      <w:r>
        <w:rPr>
          <w:rFonts w:ascii="Arial" w:hAnsi="Arial" w:cs="Arial"/>
          <w:sz w:val="24"/>
          <w:szCs w:val="24"/>
        </w:rPr>
        <w:t>alaureat</w:t>
      </w:r>
      <w:r w:rsidRPr="002F202A">
        <w:rPr>
          <w:rFonts w:ascii="Arial" w:hAnsi="Arial" w:cs="Arial"/>
          <w:sz w:val="24"/>
          <w:szCs w:val="24"/>
        </w:rPr>
        <w:t xml:space="preserve"> în alte țări) în </w:t>
      </w:r>
      <w:r w:rsidRPr="002F202A">
        <w:rPr>
          <w:rFonts w:ascii="Arial" w:hAnsi="Arial" w:cs="Arial"/>
          <w:i/>
          <w:sz w:val="24"/>
          <w:szCs w:val="24"/>
        </w:rPr>
        <w:t>Municipiul Resița</w:t>
      </w:r>
      <w:r w:rsidRPr="002F202A">
        <w:rPr>
          <w:rFonts w:ascii="Arial" w:hAnsi="Arial" w:cs="Arial"/>
          <w:sz w:val="24"/>
          <w:szCs w:val="24"/>
        </w:rPr>
        <w:t>,unde se află sed</w:t>
      </w:r>
      <w:r>
        <w:rPr>
          <w:rFonts w:ascii="Arial" w:hAnsi="Arial" w:cs="Arial"/>
          <w:sz w:val="24"/>
          <w:szCs w:val="24"/>
        </w:rPr>
        <w:t>iul universitătii Efimie Murgu.</w:t>
      </w:r>
    </w:p>
    <w:p w:rsidR="004670DC" w:rsidRDefault="004670DC" w:rsidP="000C6A67">
      <w:pPr>
        <w:tabs>
          <w:tab w:val="left" w:pos="8579"/>
        </w:tabs>
        <w:spacing w:after="0" w:line="240" w:lineRule="auto"/>
        <w:jc w:val="both"/>
        <w:rPr>
          <w:rFonts w:ascii="Arial" w:hAnsi="Arial" w:cs="Arial"/>
          <w:i/>
          <w:sz w:val="24"/>
          <w:szCs w:val="24"/>
        </w:rPr>
      </w:pPr>
      <w:r w:rsidRPr="002F202A">
        <w:rPr>
          <w:rFonts w:ascii="Arial" w:hAnsi="Arial" w:cs="Arial"/>
          <w:i/>
          <w:sz w:val="24"/>
          <w:szCs w:val="24"/>
        </w:rPr>
        <w:t>Județul Hunedoara</w:t>
      </w:r>
      <w:r w:rsidRPr="002F202A">
        <w:rPr>
          <w:rFonts w:ascii="Arial" w:hAnsi="Arial" w:cs="Arial"/>
          <w:sz w:val="24"/>
          <w:szCs w:val="24"/>
        </w:rPr>
        <w:t xml:space="preserve"> are 448 de absolvenți de succes în învățământul universitar de licență( 48 cu bac</w:t>
      </w:r>
      <w:r>
        <w:rPr>
          <w:rFonts w:ascii="Arial" w:hAnsi="Arial" w:cs="Arial"/>
          <w:sz w:val="24"/>
          <w:szCs w:val="24"/>
        </w:rPr>
        <w:t>alaureat</w:t>
      </w:r>
      <w:r w:rsidRPr="002F202A">
        <w:rPr>
          <w:rFonts w:ascii="Arial" w:hAnsi="Arial" w:cs="Arial"/>
          <w:sz w:val="24"/>
          <w:szCs w:val="24"/>
        </w:rPr>
        <w:t xml:space="preserve"> în alte țări) în </w:t>
      </w:r>
      <w:r w:rsidRPr="002F202A">
        <w:rPr>
          <w:rFonts w:ascii="Arial" w:hAnsi="Arial" w:cs="Arial"/>
          <w:i/>
          <w:sz w:val="24"/>
          <w:szCs w:val="24"/>
        </w:rPr>
        <w:t>Municipiul Petroșani</w:t>
      </w:r>
      <w:r w:rsidRPr="002F202A">
        <w:rPr>
          <w:rFonts w:ascii="Arial" w:hAnsi="Arial" w:cs="Arial"/>
          <w:sz w:val="24"/>
          <w:szCs w:val="24"/>
        </w:rPr>
        <w:t xml:space="preserve">,unde se află sediul </w:t>
      </w:r>
      <w:r w:rsidRPr="002F202A">
        <w:rPr>
          <w:rFonts w:ascii="Arial" w:hAnsi="Arial" w:cs="Arial"/>
          <w:i/>
          <w:sz w:val="24"/>
          <w:szCs w:val="24"/>
        </w:rPr>
        <w:t>Universitătii din Petroșani</w:t>
      </w:r>
      <w:r>
        <w:rPr>
          <w:rFonts w:ascii="Arial" w:hAnsi="Arial" w:cs="Arial"/>
          <w:i/>
          <w:sz w:val="24"/>
          <w:szCs w:val="24"/>
        </w:rPr>
        <w:t>.</w:t>
      </w:r>
    </w:p>
    <w:p w:rsidR="00C041AB" w:rsidRPr="004D0173" w:rsidRDefault="004670DC" w:rsidP="000C6A67">
      <w:pPr>
        <w:tabs>
          <w:tab w:val="left" w:pos="8579"/>
        </w:tabs>
        <w:spacing w:after="0" w:line="240" w:lineRule="auto"/>
        <w:jc w:val="both"/>
        <w:rPr>
          <w:rFonts w:ascii="Arial" w:hAnsi="Arial" w:cs="Arial"/>
          <w:sz w:val="24"/>
          <w:szCs w:val="24"/>
        </w:rPr>
      </w:pPr>
      <w:r w:rsidRPr="002F202A">
        <w:rPr>
          <w:rFonts w:ascii="Arial" w:hAnsi="Arial" w:cs="Arial"/>
          <w:i/>
          <w:sz w:val="24"/>
          <w:szCs w:val="24"/>
        </w:rPr>
        <w:t>Județul Timiș</w:t>
      </w:r>
      <w:r w:rsidRPr="002F202A">
        <w:rPr>
          <w:rFonts w:ascii="Arial" w:hAnsi="Arial" w:cs="Arial"/>
          <w:sz w:val="24"/>
          <w:szCs w:val="24"/>
        </w:rPr>
        <w:t xml:space="preserve"> are 5622 de absolvenți de succes în învățământul universitar de licență( 238 cu bac</w:t>
      </w:r>
      <w:r>
        <w:rPr>
          <w:rFonts w:ascii="Arial" w:hAnsi="Arial" w:cs="Arial"/>
          <w:sz w:val="24"/>
          <w:szCs w:val="24"/>
        </w:rPr>
        <w:t>alaureat</w:t>
      </w:r>
      <w:r w:rsidRPr="002F202A">
        <w:rPr>
          <w:rFonts w:ascii="Arial" w:hAnsi="Arial" w:cs="Arial"/>
          <w:sz w:val="24"/>
          <w:szCs w:val="24"/>
        </w:rPr>
        <w:t xml:space="preserve"> în alte țări) în </w:t>
      </w:r>
      <w:r w:rsidRPr="002F202A">
        <w:rPr>
          <w:rFonts w:ascii="Arial" w:hAnsi="Arial" w:cs="Arial"/>
          <w:i/>
          <w:sz w:val="24"/>
          <w:szCs w:val="24"/>
        </w:rPr>
        <w:t>municipiile Timișoara și Lugoj</w:t>
      </w:r>
      <w:r>
        <w:rPr>
          <w:rFonts w:ascii="Arial" w:hAnsi="Arial" w:cs="Arial"/>
          <w:i/>
          <w:sz w:val="24"/>
          <w:szCs w:val="24"/>
        </w:rPr>
        <w:t>.</w:t>
      </w:r>
    </w:p>
    <w:p w:rsidR="004670DC" w:rsidRPr="002F202A" w:rsidRDefault="004670DC" w:rsidP="000C6A67">
      <w:pPr>
        <w:tabs>
          <w:tab w:val="left" w:pos="8579"/>
        </w:tabs>
        <w:spacing w:after="0" w:line="240" w:lineRule="auto"/>
        <w:jc w:val="both"/>
        <w:rPr>
          <w:rFonts w:ascii="Arial" w:hAnsi="Arial" w:cs="Arial"/>
          <w:sz w:val="24"/>
          <w:szCs w:val="24"/>
        </w:rPr>
      </w:pPr>
      <w:r w:rsidRPr="002F202A">
        <w:rPr>
          <w:rFonts w:ascii="Arial" w:hAnsi="Arial" w:cs="Arial"/>
          <w:b/>
          <w:i/>
          <w:sz w:val="24"/>
          <w:szCs w:val="24"/>
        </w:rPr>
        <w:t>Învățământului public</w:t>
      </w:r>
      <w:r w:rsidRPr="002F202A">
        <w:rPr>
          <w:rFonts w:ascii="Arial" w:hAnsi="Arial" w:cs="Arial"/>
          <w:sz w:val="24"/>
          <w:szCs w:val="24"/>
        </w:rPr>
        <w:t xml:space="preserve"> din </w:t>
      </w:r>
      <w:r w:rsidRPr="002F202A">
        <w:rPr>
          <w:rFonts w:ascii="Arial" w:hAnsi="Arial" w:cs="Arial"/>
          <w:i/>
          <w:sz w:val="24"/>
          <w:szCs w:val="24"/>
        </w:rPr>
        <w:t>Macroregiunea 4</w:t>
      </w:r>
      <w:r w:rsidRPr="002F202A">
        <w:rPr>
          <w:rFonts w:ascii="Arial" w:hAnsi="Arial" w:cs="Arial"/>
          <w:sz w:val="24"/>
          <w:szCs w:val="24"/>
        </w:rPr>
        <w:t xml:space="preserve"> are 11354  absolvenți de succes în învățământul universitar de licență</w:t>
      </w:r>
      <w:r>
        <w:rPr>
          <w:rFonts w:ascii="Arial" w:hAnsi="Arial" w:cs="Arial"/>
          <w:sz w:val="24"/>
          <w:szCs w:val="24"/>
        </w:rPr>
        <w:t xml:space="preserve"> </w:t>
      </w:r>
      <w:r w:rsidRPr="002F202A">
        <w:rPr>
          <w:rFonts w:ascii="Arial" w:hAnsi="Arial" w:cs="Arial"/>
          <w:sz w:val="24"/>
          <w:szCs w:val="24"/>
        </w:rPr>
        <w:t>(449 cu bac</w:t>
      </w:r>
      <w:r>
        <w:rPr>
          <w:rFonts w:ascii="Arial" w:hAnsi="Arial" w:cs="Arial"/>
          <w:sz w:val="24"/>
          <w:szCs w:val="24"/>
        </w:rPr>
        <w:t>alaureat</w:t>
      </w:r>
      <w:r w:rsidRPr="002F202A">
        <w:rPr>
          <w:rFonts w:ascii="Arial" w:hAnsi="Arial" w:cs="Arial"/>
          <w:sz w:val="24"/>
          <w:szCs w:val="24"/>
        </w:rPr>
        <w:t xml:space="preserve"> în alte țări) din 66512 absolvenți de succes la nivel national.În </w:t>
      </w:r>
      <w:r w:rsidRPr="002F202A">
        <w:rPr>
          <w:rFonts w:ascii="Arial" w:hAnsi="Arial" w:cs="Arial"/>
          <w:b/>
          <w:i/>
          <w:sz w:val="24"/>
          <w:szCs w:val="24"/>
        </w:rPr>
        <w:t>Regiunea Vest</w:t>
      </w:r>
      <w:r w:rsidRPr="002F202A">
        <w:rPr>
          <w:rFonts w:ascii="Arial" w:hAnsi="Arial" w:cs="Arial"/>
          <w:sz w:val="24"/>
          <w:szCs w:val="24"/>
        </w:rPr>
        <w:t xml:space="preserve"> sunt 6801 absolvenți de succes în învățământul universitar de licență(314 cu bac</w:t>
      </w:r>
      <w:r>
        <w:rPr>
          <w:rFonts w:ascii="Arial" w:hAnsi="Arial" w:cs="Arial"/>
          <w:sz w:val="24"/>
          <w:szCs w:val="24"/>
        </w:rPr>
        <w:t>alaureat</w:t>
      </w:r>
      <w:r w:rsidRPr="002F202A">
        <w:rPr>
          <w:rFonts w:ascii="Arial" w:hAnsi="Arial" w:cs="Arial"/>
          <w:sz w:val="24"/>
          <w:szCs w:val="24"/>
        </w:rPr>
        <w:t xml:space="preserve"> în alte țări).</w:t>
      </w:r>
    </w:p>
    <w:p w:rsidR="004670DC" w:rsidRDefault="004670DC" w:rsidP="000C6A67">
      <w:pPr>
        <w:tabs>
          <w:tab w:val="left" w:pos="8579"/>
        </w:tabs>
        <w:spacing w:after="0" w:line="240" w:lineRule="auto"/>
        <w:jc w:val="both"/>
        <w:rPr>
          <w:rFonts w:ascii="Arial" w:hAnsi="Arial" w:cs="Arial"/>
          <w:sz w:val="24"/>
          <w:szCs w:val="24"/>
        </w:rPr>
      </w:pPr>
      <w:r w:rsidRPr="002F202A">
        <w:rPr>
          <w:rFonts w:ascii="Arial" w:hAnsi="Arial" w:cs="Arial"/>
          <w:sz w:val="24"/>
          <w:szCs w:val="24"/>
        </w:rPr>
        <w:t xml:space="preserve">În </w:t>
      </w:r>
      <w:r w:rsidRPr="002F202A">
        <w:rPr>
          <w:rFonts w:ascii="Arial" w:hAnsi="Arial" w:cs="Arial"/>
          <w:b/>
          <w:i/>
          <w:sz w:val="24"/>
          <w:szCs w:val="24"/>
        </w:rPr>
        <w:t>judetul Arad</w:t>
      </w:r>
      <w:r w:rsidRPr="002F202A">
        <w:rPr>
          <w:rFonts w:ascii="Arial" w:hAnsi="Arial" w:cs="Arial"/>
          <w:sz w:val="24"/>
          <w:szCs w:val="24"/>
        </w:rPr>
        <w:t xml:space="preserve"> învățământului public universitar de licență este în </w:t>
      </w:r>
      <w:r w:rsidRPr="002F202A">
        <w:rPr>
          <w:rFonts w:ascii="Arial" w:hAnsi="Arial" w:cs="Arial"/>
          <w:b/>
          <w:i/>
          <w:sz w:val="24"/>
          <w:szCs w:val="24"/>
        </w:rPr>
        <w:t>Municipiul Arad</w:t>
      </w:r>
      <w:r w:rsidRPr="002F202A">
        <w:rPr>
          <w:rFonts w:ascii="Arial" w:hAnsi="Arial" w:cs="Arial"/>
          <w:sz w:val="24"/>
          <w:szCs w:val="24"/>
        </w:rPr>
        <w:t xml:space="preserve"> și cuprinde 1063 absolvenți de succes în învățământul universitar ( 13 cu bac</w:t>
      </w:r>
      <w:r>
        <w:rPr>
          <w:rFonts w:ascii="Arial" w:hAnsi="Arial" w:cs="Arial"/>
          <w:sz w:val="24"/>
          <w:szCs w:val="24"/>
        </w:rPr>
        <w:t>alaureat în alte țări).</w:t>
      </w:r>
    </w:p>
    <w:p w:rsidR="004670DC" w:rsidRDefault="004670DC" w:rsidP="000C6A67">
      <w:pPr>
        <w:tabs>
          <w:tab w:val="left" w:pos="8579"/>
        </w:tabs>
        <w:spacing w:after="0" w:line="240" w:lineRule="auto"/>
        <w:jc w:val="both"/>
        <w:rPr>
          <w:rFonts w:ascii="Arial" w:hAnsi="Arial" w:cs="Arial"/>
          <w:sz w:val="24"/>
          <w:szCs w:val="24"/>
        </w:rPr>
      </w:pPr>
      <w:r w:rsidRPr="002F202A">
        <w:rPr>
          <w:rFonts w:ascii="Arial" w:hAnsi="Arial" w:cs="Arial"/>
          <w:sz w:val="24"/>
          <w:szCs w:val="24"/>
        </w:rPr>
        <w:t xml:space="preserve">În </w:t>
      </w:r>
      <w:r w:rsidRPr="002F202A">
        <w:rPr>
          <w:rFonts w:ascii="Arial" w:hAnsi="Arial" w:cs="Arial"/>
          <w:i/>
          <w:sz w:val="24"/>
          <w:szCs w:val="24"/>
        </w:rPr>
        <w:t>judetul Caraș-Severin</w:t>
      </w:r>
      <w:r w:rsidRPr="002F202A">
        <w:rPr>
          <w:rFonts w:ascii="Arial" w:hAnsi="Arial" w:cs="Arial"/>
          <w:sz w:val="24"/>
          <w:szCs w:val="24"/>
        </w:rPr>
        <w:t xml:space="preserve"> </w:t>
      </w:r>
      <w:r w:rsidRPr="002F202A">
        <w:rPr>
          <w:rFonts w:ascii="Arial" w:hAnsi="Arial" w:cs="Arial"/>
          <w:b/>
          <w:i/>
          <w:sz w:val="24"/>
          <w:szCs w:val="24"/>
        </w:rPr>
        <w:t>învățământului public</w:t>
      </w:r>
      <w:r w:rsidRPr="002F202A">
        <w:rPr>
          <w:rFonts w:ascii="Arial" w:hAnsi="Arial" w:cs="Arial"/>
          <w:sz w:val="24"/>
          <w:szCs w:val="24"/>
        </w:rPr>
        <w:t xml:space="preserve"> universitar de licență este organizat în </w:t>
      </w:r>
      <w:r w:rsidRPr="002F202A">
        <w:rPr>
          <w:rFonts w:ascii="Arial" w:hAnsi="Arial" w:cs="Arial"/>
          <w:i/>
          <w:sz w:val="24"/>
          <w:szCs w:val="24"/>
        </w:rPr>
        <w:t>Municipiul Reșita</w:t>
      </w:r>
      <w:r w:rsidRPr="002F202A">
        <w:rPr>
          <w:rFonts w:ascii="Arial" w:hAnsi="Arial" w:cs="Arial"/>
          <w:sz w:val="24"/>
          <w:szCs w:val="24"/>
        </w:rPr>
        <w:t xml:space="preserve"> și cuprinde 293 absolvenți de succes în învățământul univers</w:t>
      </w:r>
      <w:r>
        <w:rPr>
          <w:rFonts w:ascii="Arial" w:hAnsi="Arial" w:cs="Arial"/>
          <w:sz w:val="24"/>
          <w:szCs w:val="24"/>
        </w:rPr>
        <w:t>itar ( 21 cu bac în alte țări).</w:t>
      </w:r>
    </w:p>
    <w:p w:rsidR="004670DC" w:rsidRDefault="004670DC" w:rsidP="000C6A67">
      <w:pPr>
        <w:tabs>
          <w:tab w:val="left" w:pos="8579"/>
        </w:tabs>
        <w:spacing w:after="0" w:line="240" w:lineRule="auto"/>
        <w:jc w:val="both"/>
        <w:rPr>
          <w:rFonts w:ascii="Arial" w:hAnsi="Arial" w:cs="Arial"/>
          <w:sz w:val="24"/>
          <w:szCs w:val="24"/>
        </w:rPr>
      </w:pPr>
      <w:r w:rsidRPr="002F202A">
        <w:rPr>
          <w:rFonts w:ascii="Arial" w:hAnsi="Arial" w:cs="Arial"/>
          <w:i/>
          <w:sz w:val="24"/>
          <w:szCs w:val="24"/>
        </w:rPr>
        <w:t>Județul Hunedoara</w:t>
      </w:r>
      <w:r w:rsidRPr="002F202A">
        <w:rPr>
          <w:rFonts w:ascii="Arial" w:hAnsi="Arial" w:cs="Arial"/>
          <w:sz w:val="24"/>
          <w:szCs w:val="24"/>
        </w:rPr>
        <w:t xml:space="preserve"> are 448</w:t>
      </w:r>
      <w:r w:rsidR="00D8640B">
        <w:rPr>
          <w:rFonts w:ascii="Arial" w:hAnsi="Arial" w:cs="Arial"/>
          <w:sz w:val="24"/>
          <w:szCs w:val="24"/>
        </w:rPr>
        <w:t xml:space="preserve"> </w:t>
      </w:r>
      <w:r w:rsidRPr="002F202A">
        <w:rPr>
          <w:rFonts w:ascii="Arial" w:hAnsi="Arial" w:cs="Arial"/>
          <w:sz w:val="24"/>
          <w:szCs w:val="24"/>
        </w:rPr>
        <w:t>( 48 cu bac</w:t>
      </w:r>
      <w:r w:rsidR="00D8640B">
        <w:rPr>
          <w:rFonts w:ascii="Arial" w:hAnsi="Arial" w:cs="Arial"/>
          <w:sz w:val="24"/>
          <w:szCs w:val="24"/>
        </w:rPr>
        <w:t>alaureat</w:t>
      </w:r>
      <w:r w:rsidRPr="002F202A">
        <w:rPr>
          <w:rFonts w:ascii="Arial" w:hAnsi="Arial" w:cs="Arial"/>
          <w:sz w:val="24"/>
          <w:szCs w:val="24"/>
        </w:rPr>
        <w:t xml:space="preserve"> în alte țări) de absolvenți de succes în </w:t>
      </w:r>
      <w:r w:rsidRPr="002F202A">
        <w:rPr>
          <w:rFonts w:ascii="Arial" w:hAnsi="Arial" w:cs="Arial"/>
          <w:b/>
          <w:i/>
          <w:sz w:val="24"/>
          <w:szCs w:val="24"/>
        </w:rPr>
        <w:t>învățământul public</w:t>
      </w:r>
      <w:r w:rsidRPr="002F202A">
        <w:rPr>
          <w:rFonts w:ascii="Arial" w:hAnsi="Arial" w:cs="Arial"/>
          <w:sz w:val="24"/>
          <w:szCs w:val="24"/>
        </w:rPr>
        <w:t xml:space="preserve"> universitar de licență și sunt în </w:t>
      </w:r>
      <w:r w:rsidRPr="002F202A">
        <w:rPr>
          <w:rFonts w:ascii="Arial" w:hAnsi="Arial" w:cs="Arial"/>
          <w:b/>
          <w:i/>
          <w:sz w:val="24"/>
          <w:szCs w:val="24"/>
        </w:rPr>
        <w:t>Municipiul Petroșani</w:t>
      </w:r>
      <w:r w:rsidRPr="002F202A">
        <w:rPr>
          <w:rFonts w:ascii="Arial" w:hAnsi="Arial" w:cs="Arial"/>
          <w:sz w:val="24"/>
          <w:szCs w:val="24"/>
        </w:rPr>
        <w:t>,unde se află sediul Universitătii din Petroșani</w:t>
      </w:r>
      <w:r>
        <w:rPr>
          <w:rFonts w:ascii="Arial" w:hAnsi="Arial" w:cs="Arial"/>
          <w:sz w:val="24"/>
          <w:szCs w:val="24"/>
        </w:rPr>
        <w:t>.</w:t>
      </w:r>
    </w:p>
    <w:p w:rsidR="004670DC" w:rsidRDefault="004670DC" w:rsidP="000C6A67">
      <w:pPr>
        <w:tabs>
          <w:tab w:val="left" w:pos="8579"/>
        </w:tabs>
        <w:spacing w:after="0" w:line="240" w:lineRule="auto"/>
        <w:jc w:val="both"/>
        <w:rPr>
          <w:rFonts w:ascii="Arial" w:hAnsi="Arial" w:cs="Arial"/>
          <w:sz w:val="24"/>
          <w:szCs w:val="24"/>
        </w:rPr>
      </w:pPr>
      <w:r w:rsidRPr="004670DC">
        <w:rPr>
          <w:rFonts w:ascii="Arial" w:hAnsi="Arial" w:cs="Arial"/>
          <w:sz w:val="24"/>
          <w:szCs w:val="24"/>
        </w:rPr>
        <w:t>Județul</w:t>
      </w:r>
      <w:r w:rsidRPr="002F202A">
        <w:rPr>
          <w:rFonts w:ascii="Arial" w:hAnsi="Arial" w:cs="Arial"/>
          <w:i/>
          <w:sz w:val="24"/>
          <w:szCs w:val="24"/>
        </w:rPr>
        <w:t xml:space="preserve"> Timiș</w:t>
      </w:r>
      <w:r w:rsidRPr="002F202A">
        <w:rPr>
          <w:rFonts w:ascii="Arial" w:hAnsi="Arial" w:cs="Arial"/>
          <w:sz w:val="24"/>
          <w:szCs w:val="24"/>
        </w:rPr>
        <w:t xml:space="preserve"> are 5051 de absolvenți de succes în </w:t>
      </w:r>
      <w:r w:rsidRPr="002F202A">
        <w:rPr>
          <w:rFonts w:ascii="Arial" w:hAnsi="Arial" w:cs="Arial"/>
          <w:b/>
          <w:i/>
          <w:sz w:val="24"/>
          <w:szCs w:val="24"/>
        </w:rPr>
        <w:t>învățământul public</w:t>
      </w:r>
      <w:r w:rsidRPr="002F202A">
        <w:rPr>
          <w:rFonts w:ascii="Arial" w:hAnsi="Arial" w:cs="Arial"/>
          <w:sz w:val="24"/>
          <w:szCs w:val="24"/>
        </w:rPr>
        <w:t xml:space="preserve"> universitar de licență( 232 cu bac în alte</w:t>
      </w:r>
      <w:r>
        <w:rPr>
          <w:rFonts w:ascii="Arial" w:hAnsi="Arial" w:cs="Arial"/>
          <w:sz w:val="24"/>
          <w:szCs w:val="24"/>
        </w:rPr>
        <w:t xml:space="preserve"> țări) în Municipiul Timișoara.</w:t>
      </w:r>
    </w:p>
    <w:p w:rsidR="004670DC" w:rsidRDefault="004670DC" w:rsidP="000C6A67">
      <w:pPr>
        <w:tabs>
          <w:tab w:val="left" w:pos="8579"/>
        </w:tabs>
        <w:spacing w:after="0" w:line="240" w:lineRule="auto"/>
        <w:jc w:val="both"/>
        <w:rPr>
          <w:rFonts w:ascii="Arial" w:hAnsi="Arial" w:cs="Arial"/>
          <w:sz w:val="24"/>
          <w:szCs w:val="24"/>
        </w:rPr>
      </w:pPr>
      <w:r w:rsidRPr="002F202A">
        <w:rPr>
          <w:rFonts w:ascii="Arial" w:hAnsi="Arial" w:cs="Arial"/>
          <w:b/>
          <w:i/>
          <w:sz w:val="24"/>
          <w:szCs w:val="24"/>
        </w:rPr>
        <w:t>Învățământului privat</w:t>
      </w:r>
      <w:r w:rsidRPr="002F202A">
        <w:rPr>
          <w:rFonts w:ascii="Arial" w:hAnsi="Arial" w:cs="Arial"/>
          <w:sz w:val="24"/>
          <w:szCs w:val="24"/>
        </w:rPr>
        <w:t xml:space="preserve"> din </w:t>
      </w:r>
      <w:r w:rsidRPr="002F202A">
        <w:rPr>
          <w:rFonts w:ascii="Arial" w:hAnsi="Arial" w:cs="Arial"/>
          <w:i/>
          <w:sz w:val="24"/>
          <w:szCs w:val="24"/>
        </w:rPr>
        <w:t>Macroregiunea 4</w:t>
      </w:r>
      <w:r w:rsidRPr="002F202A">
        <w:rPr>
          <w:rFonts w:ascii="Arial" w:hAnsi="Arial" w:cs="Arial"/>
          <w:sz w:val="24"/>
          <w:szCs w:val="24"/>
        </w:rPr>
        <w:t xml:space="preserve"> are 11354  absolvenți de succes în învățământul universitar de licență</w:t>
      </w:r>
      <w:r>
        <w:rPr>
          <w:rFonts w:ascii="Arial" w:hAnsi="Arial" w:cs="Arial"/>
          <w:sz w:val="24"/>
          <w:szCs w:val="24"/>
        </w:rPr>
        <w:t xml:space="preserve"> </w:t>
      </w:r>
      <w:r w:rsidRPr="002F202A">
        <w:rPr>
          <w:rFonts w:ascii="Arial" w:hAnsi="Arial" w:cs="Arial"/>
          <w:sz w:val="24"/>
          <w:szCs w:val="24"/>
        </w:rPr>
        <w:t>(449 cu bac</w:t>
      </w:r>
      <w:r w:rsidR="00E53080">
        <w:rPr>
          <w:rFonts w:ascii="Arial" w:hAnsi="Arial" w:cs="Arial"/>
          <w:sz w:val="24"/>
          <w:szCs w:val="24"/>
        </w:rPr>
        <w:t>alaureat</w:t>
      </w:r>
      <w:r w:rsidRPr="002F202A">
        <w:rPr>
          <w:rFonts w:ascii="Arial" w:hAnsi="Arial" w:cs="Arial"/>
          <w:sz w:val="24"/>
          <w:szCs w:val="24"/>
        </w:rPr>
        <w:t xml:space="preserve"> în alte țări) din 14303 (341 cu bac</w:t>
      </w:r>
      <w:r w:rsidR="00E53080">
        <w:rPr>
          <w:rFonts w:ascii="Arial" w:hAnsi="Arial" w:cs="Arial"/>
          <w:sz w:val="24"/>
          <w:szCs w:val="24"/>
        </w:rPr>
        <w:t>alaureat</w:t>
      </w:r>
      <w:r w:rsidRPr="002F202A">
        <w:rPr>
          <w:rFonts w:ascii="Arial" w:hAnsi="Arial" w:cs="Arial"/>
          <w:sz w:val="24"/>
          <w:szCs w:val="24"/>
        </w:rPr>
        <w:t xml:space="preserve"> în alte țări) absolvenți de succes la nivel national.</w:t>
      </w:r>
    </w:p>
    <w:p w:rsidR="004670DC" w:rsidRPr="002F202A" w:rsidRDefault="004670DC" w:rsidP="000C6A67">
      <w:pPr>
        <w:tabs>
          <w:tab w:val="left" w:pos="8579"/>
        </w:tabs>
        <w:spacing w:after="0" w:line="240" w:lineRule="auto"/>
        <w:jc w:val="both"/>
        <w:rPr>
          <w:rFonts w:ascii="Arial" w:hAnsi="Arial" w:cs="Arial"/>
          <w:sz w:val="24"/>
          <w:szCs w:val="24"/>
        </w:rPr>
      </w:pPr>
      <w:r w:rsidRPr="002F202A">
        <w:rPr>
          <w:rFonts w:ascii="Arial" w:hAnsi="Arial" w:cs="Arial"/>
          <w:sz w:val="24"/>
          <w:szCs w:val="24"/>
        </w:rPr>
        <w:t xml:space="preserve">În </w:t>
      </w:r>
      <w:r w:rsidRPr="002F202A">
        <w:rPr>
          <w:rFonts w:ascii="Arial" w:hAnsi="Arial" w:cs="Arial"/>
          <w:b/>
          <w:i/>
          <w:sz w:val="24"/>
          <w:szCs w:val="24"/>
        </w:rPr>
        <w:t>Regiunea Vest</w:t>
      </w:r>
      <w:r w:rsidRPr="002F202A">
        <w:rPr>
          <w:rFonts w:ascii="Arial" w:hAnsi="Arial" w:cs="Arial"/>
          <w:sz w:val="24"/>
          <w:szCs w:val="24"/>
        </w:rPr>
        <w:t xml:space="preserve"> sunt 1931(205 cu bac în alte țări) absolvenți de succes în </w:t>
      </w:r>
      <w:r w:rsidRPr="002F202A">
        <w:rPr>
          <w:rFonts w:ascii="Arial" w:hAnsi="Arial" w:cs="Arial"/>
          <w:b/>
          <w:i/>
          <w:sz w:val="24"/>
          <w:szCs w:val="24"/>
        </w:rPr>
        <w:t>învățământul privat universitar de licență</w:t>
      </w:r>
      <w:r w:rsidRPr="002F202A">
        <w:rPr>
          <w:rFonts w:ascii="Arial" w:hAnsi="Arial" w:cs="Arial"/>
          <w:sz w:val="24"/>
          <w:szCs w:val="24"/>
        </w:rPr>
        <w:t>,</w:t>
      </w:r>
      <w:r w:rsidR="00E53080">
        <w:rPr>
          <w:rFonts w:ascii="Arial" w:hAnsi="Arial" w:cs="Arial"/>
          <w:sz w:val="24"/>
          <w:szCs w:val="24"/>
        </w:rPr>
        <w:t xml:space="preserve"> </w:t>
      </w:r>
      <w:r w:rsidRPr="002F202A">
        <w:rPr>
          <w:rFonts w:ascii="Arial" w:hAnsi="Arial" w:cs="Arial"/>
          <w:sz w:val="24"/>
          <w:szCs w:val="24"/>
        </w:rPr>
        <w:t>iar universitățile private sunt în judetul Arad în Municipiul Arad și în judetul Timiș în Municipiile Timișoara și Lugoj.</w:t>
      </w:r>
    </w:p>
    <w:p w:rsidR="004670DC" w:rsidRPr="002F202A" w:rsidRDefault="004670DC" w:rsidP="000C6A67">
      <w:pPr>
        <w:tabs>
          <w:tab w:val="left" w:pos="8579"/>
        </w:tabs>
        <w:spacing w:after="0" w:line="240" w:lineRule="auto"/>
        <w:jc w:val="both"/>
        <w:rPr>
          <w:rFonts w:ascii="Arial" w:hAnsi="Arial" w:cs="Arial"/>
          <w:sz w:val="24"/>
          <w:szCs w:val="24"/>
        </w:rPr>
      </w:pPr>
      <w:r w:rsidRPr="002F202A">
        <w:rPr>
          <w:rFonts w:ascii="Arial" w:hAnsi="Arial" w:cs="Arial"/>
          <w:sz w:val="24"/>
          <w:szCs w:val="24"/>
        </w:rPr>
        <w:t xml:space="preserve">În judetul Arad, </w:t>
      </w:r>
      <w:r w:rsidRPr="002F202A">
        <w:rPr>
          <w:rFonts w:ascii="Arial" w:hAnsi="Arial" w:cs="Arial"/>
          <w:b/>
          <w:i/>
          <w:sz w:val="24"/>
          <w:szCs w:val="24"/>
        </w:rPr>
        <w:t>învățământului privat universitar</w:t>
      </w:r>
      <w:r w:rsidRPr="002F202A">
        <w:rPr>
          <w:rFonts w:ascii="Arial" w:hAnsi="Arial" w:cs="Arial"/>
          <w:sz w:val="24"/>
          <w:szCs w:val="24"/>
        </w:rPr>
        <w:t xml:space="preserve"> de licență este în Municipiul Arad și cuprinde 1360(199 cu bac</w:t>
      </w:r>
      <w:r w:rsidR="00E53080">
        <w:rPr>
          <w:rFonts w:ascii="Arial" w:hAnsi="Arial" w:cs="Arial"/>
          <w:sz w:val="24"/>
          <w:szCs w:val="24"/>
        </w:rPr>
        <w:t>alaureat</w:t>
      </w:r>
      <w:r w:rsidRPr="002F202A">
        <w:rPr>
          <w:rFonts w:ascii="Arial" w:hAnsi="Arial" w:cs="Arial"/>
          <w:sz w:val="24"/>
          <w:szCs w:val="24"/>
        </w:rPr>
        <w:t xml:space="preserve"> în alte țări) absolvenți de succes în învățământul universitar</w:t>
      </w:r>
      <w:r w:rsidR="00E53080">
        <w:rPr>
          <w:rFonts w:ascii="Arial" w:hAnsi="Arial" w:cs="Arial"/>
          <w:sz w:val="24"/>
          <w:szCs w:val="24"/>
        </w:rPr>
        <w:t>.</w:t>
      </w:r>
    </w:p>
    <w:p w:rsidR="004670DC" w:rsidRDefault="004670DC" w:rsidP="000C6A67">
      <w:pPr>
        <w:tabs>
          <w:tab w:val="left" w:pos="8579"/>
        </w:tabs>
        <w:spacing w:after="0" w:line="240" w:lineRule="auto"/>
        <w:jc w:val="both"/>
        <w:rPr>
          <w:rFonts w:ascii="Arial" w:hAnsi="Arial" w:cs="Arial"/>
          <w:sz w:val="24"/>
          <w:szCs w:val="24"/>
        </w:rPr>
      </w:pPr>
      <w:r w:rsidRPr="004670DC">
        <w:rPr>
          <w:rFonts w:ascii="Arial" w:hAnsi="Arial" w:cs="Arial"/>
          <w:sz w:val="24"/>
          <w:szCs w:val="24"/>
        </w:rPr>
        <w:t>Județul Timiș</w:t>
      </w:r>
      <w:r w:rsidRPr="002F202A">
        <w:rPr>
          <w:rFonts w:ascii="Arial" w:hAnsi="Arial" w:cs="Arial"/>
          <w:sz w:val="24"/>
          <w:szCs w:val="24"/>
        </w:rPr>
        <w:t xml:space="preserve"> are 410 de absolvenți de succes în </w:t>
      </w:r>
      <w:r w:rsidRPr="004670DC">
        <w:rPr>
          <w:rFonts w:ascii="Arial" w:hAnsi="Arial" w:cs="Arial"/>
          <w:sz w:val="24"/>
          <w:szCs w:val="24"/>
        </w:rPr>
        <w:t xml:space="preserve">învățământul privat </w:t>
      </w:r>
      <w:r w:rsidRPr="002F202A">
        <w:rPr>
          <w:rFonts w:ascii="Arial" w:hAnsi="Arial" w:cs="Arial"/>
          <w:sz w:val="24"/>
          <w:szCs w:val="24"/>
        </w:rPr>
        <w:t xml:space="preserve">universitar de licență( 6 cu </w:t>
      </w:r>
      <w:r w:rsidR="00E53080" w:rsidRPr="002F202A">
        <w:rPr>
          <w:rFonts w:ascii="Arial" w:hAnsi="Arial" w:cs="Arial"/>
          <w:sz w:val="24"/>
          <w:szCs w:val="24"/>
        </w:rPr>
        <w:t>bac</w:t>
      </w:r>
      <w:r w:rsidR="00E53080">
        <w:rPr>
          <w:rFonts w:ascii="Arial" w:hAnsi="Arial" w:cs="Arial"/>
          <w:sz w:val="24"/>
          <w:szCs w:val="24"/>
        </w:rPr>
        <w:t>alaureat</w:t>
      </w:r>
      <w:r w:rsidR="00E53080" w:rsidRPr="002F202A">
        <w:rPr>
          <w:rFonts w:ascii="Arial" w:hAnsi="Arial" w:cs="Arial"/>
          <w:sz w:val="24"/>
          <w:szCs w:val="24"/>
        </w:rPr>
        <w:t xml:space="preserve"> </w:t>
      </w:r>
      <w:r w:rsidRPr="002F202A">
        <w:rPr>
          <w:rFonts w:ascii="Arial" w:hAnsi="Arial" w:cs="Arial"/>
          <w:sz w:val="24"/>
          <w:szCs w:val="24"/>
        </w:rPr>
        <w:t xml:space="preserve">în alte țări) în </w:t>
      </w:r>
      <w:r w:rsidRPr="004670DC">
        <w:rPr>
          <w:rFonts w:ascii="Arial" w:hAnsi="Arial" w:cs="Arial"/>
          <w:sz w:val="24"/>
          <w:szCs w:val="24"/>
        </w:rPr>
        <w:t>Municipiul Timișoara</w:t>
      </w:r>
      <w:r>
        <w:rPr>
          <w:rFonts w:ascii="Arial" w:hAnsi="Arial" w:cs="Arial"/>
          <w:sz w:val="24"/>
          <w:szCs w:val="24"/>
        </w:rPr>
        <w:t>.</w:t>
      </w:r>
    </w:p>
    <w:p w:rsidR="00C041AB" w:rsidRDefault="004670DC" w:rsidP="000C6A67">
      <w:pPr>
        <w:tabs>
          <w:tab w:val="left" w:pos="8579"/>
        </w:tabs>
        <w:spacing w:after="0" w:line="240" w:lineRule="auto"/>
        <w:jc w:val="both"/>
        <w:rPr>
          <w:rFonts w:ascii="Arial" w:hAnsi="Arial" w:cs="Arial"/>
          <w:sz w:val="24"/>
          <w:szCs w:val="24"/>
        </w:rPr>
      </w:pPr>
      <w:r w:rsidRPr="004670DC">
        <w:rPr>
          <w:rFonts w:ascii="Arial" w:hAnsi="Arial" w:cs="Arial"/>
          <w:sz w:val="24"/>
          <w:szCs w:val="24"/>
        </w:rPr>
        <w:t>Învățământul privat</w:t>
      </w:r>
      <w:r w:rsidRPr="002F202A">
        <w:rPr>
          <w:rFonts w:ascii="Arial" w:hAnsi="Arial" w:cs="Arial"/>
          <w:sz w:val="24"/>
          <w:szCs w:val="24"/>
        </w:rPr>
        <w:t xml:space="preserve"> universitar de licență </w:t>
      </w:r>
      <w:r w:rsidRPr="004670DC">
        <w:rPr>
          <w:rFonts w:ascii="Arial" w:hAnsi="Arial" w:cs="Arial"/>
          <w:b/>
          <w:sz w:val="24"/>
          <w:szCs w:val="24"/>
        </w:rPr>
        <w:t>în Municipiul Lugoj</w:t>
      </w:r>
      <w:r w:rsidRPr="002F202A">
        <w:rPr>
          <w:rFonts w:ascii="Arial" w:hAnsi="Arial" w:cs="Arial"/>
          <w:sz w:val="24"/>
          <w:szCs w:val="24"/>
        </w:rPr>
        <w:t xml:space="preserve"> are 161 de absolvenți de succes în învățământul universitar de licență  </w:t>
      </w:r>
    </w:p>
    <w:p w:rsidR="004D0173" w:rsidRPr="004D0173" w:rsidRDefault="004D0173" w:rsidP="000C6A67">
      <w:pPr>
        <w:tabs>
          <w:tab w:val="left" w:pos="8579"/>
        </w:tabs>
        <w:spacing w:after="0" w:line="240" w:lineRule="auto"/>
        <w:jc w:val="both"/>
        <w:rPr>
          <w:rFonts w:ascii="Arial" w:hAnsi="Arial" w:cs="Arial"/>
          <w:sz w:val="24"/>
          <w:szCs w:val="24"/>
        </w:rPr>
      </w:pPr>
    </w:p>
    <w:p w:rsidR="00FE7DCF" w:rsidRPr="00597FB2" w:rsidRDefault="00FE7DCF" w:rsidP="000C6A67">
      <w:pPr>
        <w:tabs>
          <w:tab w:val="left" w:pos="0"/>
        </w:tabs>
        <w:spacing w:after="0" w:line="240" w:lineRule="auto"/>
        <w:jc w:val="both"/>
        <w:rPr>
          <w:rFonts w:ascii="Arial" w:hAnsi="Arial" w:cs="Arial"/>
          <w:b/>
          <w:bCs/>
          <w:sz w:val="24"/>
          <w:szCs w:val="24"/>
        </w:rPr>
      </w:pPr>
      <w:r w:rsidRPr="00597FB2">
        <w:rPr>
          <w:rFonts w:ascii="Arial" w:hAnsi="Arial" w:cs="Arial"/>
          <w:b/>
          <w:bCs/>
          <w:sz w:val="24"/>
          <w:szCs w:val="24"/>
        </w:rPr>
        <w:t xml:space="preserve">4.2. Cercetare-dezvoltare şi inovaţie - </w:t>
      </w:r>
    </w:p>
    <w:p w:rsidR="00FE7DCF" w:rsidRPr="005C3015" w:rsidRDefault="00FE7DCF" w:rsidP="000C6A67">
      <w:pPr>
        <w:spacing w:after="0" w:line="240" w:lineRule="auto"/>
        <w:jc w:val="both"/>
        <w:rPr>
          <w:rFonts w:ascii="Arial" w:hAnsi="Arial" w:cs="Arial"/>
          <w:sz w:val="24"/>
          <w:szCs w:val="24"/>
        </w:rPr>
      </w:pPr>
      <w:r w:rsidRPr="005C3015">
        <w:rPr>
          <w:rFonts w:ascii="Arial" w:hAnsi="Arial" w:cs="Arial"/>
          <w:bCs/>
          <w:sz w:val="24"/>
          <w:szCs w:val="24"/>
        </w:rPr>
        <w:t xml:space="preserve">Preocupările universităților din regiune pentru cercetare și inovație sunt evidențiate în documentele strategice ale acestor instituții, bine ancorate in realitatea regională. </w:t>
      </w:r>
    </w:p>
    <w:p w:rsidR="00FE7DCF" w:rsidRPr="002E6486" w:rsidRDefault="00FE7DCF" w:rsidP="000C6A67">
      <w:pPr>
        <w:spacing w:after="0" w:line="240" w:lineRule="auto"/>
        <w:jc w:val="both"/>
        <w:rPr>
          <w:rFonts w:ascii="Arial" w:hAnsi="Arial" w:cs="Arial"/>
          <w:b/>
          <w:sz w:val="24"/>
          <w:szCs w:val="24"/>
        </w:rPr>
      </w:pPr>
      <w:r w:rsidRPr="002E6486">
        <w:rPr>
          <w:rFonts w:ascii="Arial" w:hAnsi="Arial" w:cs="Arial"/>
          <w:b/>
          <w:sz w:val="24"/>
          <w:szCs w:val="24"/>
        </w:rPr>
        <w:t>Planul strategic al Universității  Politehnica Timișoara, de dezvoltare instituțională în intervalul 2016 – 2020</w:t>
      </w:r>
    </w:p>
    <w:p w:rsidR="00FE7DCF" w:rsidRPr="002E6486" w:rsidRDefault="00DC3D41" w:rsidP="000C6A67">
      <w:pPr>
        <w:spacing w:after="0" w:line="240" w:lineRule="auto"/>
        <w:jc w:val="both"/>
        <w:rPr>
          <w:rFonts w:ascii="Arial" w:hAnsi="Arial" w:cs="Arial"/>
          <w:sz w:val="24"/>
          <w:szCs w:val="24"/>
        </w:rPr>
      </w:pPr>
      <w:hyperlink r:id="rId72" w:history="1">
        <w:r w:rsidR="00FE7DCF" w:rsidRPr="002E6486">
          <w:rPr>
            <w:rStyle w:val="Hyperlink"/>
            <w:rFonts w:ascii="Arial" w:hAnsi="Arial" w:cs="Arial"/>
            <w:sz w:val="24"/>
            <w:szCs w:val="24"/>
          </w:rPr>
          <w:t>http://www.upt.ro/img/files/ps/2016-2020/Plan-strategic-UPT_2016-2020.pdf</w:t>
        </w:r>
      </w:hyperlink>
      <w:r w:rsidR="00FE7DCF" w:rsidRPr="002E6486">
        <w:rPr>
          <w:rFonts w:ascii="Arial" w:hAnsi="Arial" w:cs="Arial"/>
          <w:sz w:val="24"/>
          <w:szCs w:val="24"/>
        </w:rPr>
        <w:t xml:space="preserve"> </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Planul UPT este conceput pe axe strategice/obiective strategice, obiective și activități.  Oportunitațile ce pot fi exploatate din perspectiva regional sunt creionate astfel:</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 atractivitatea domeniilor de învățământ și cercetare ale universității pentru un segment consistent de public interesat de profilul tehnic;</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lastRenderedPageBreak/>
        <w:t>• potentialul economic al Regiunii de Vest care favorizează absorbția absolvenților universității pe piața muncii;</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b/>
          <w:sz w:val="24"/>
          <w:szCs w:val="24"/>
        </w:rPr>
        <w:t>Obiectivul XI. Obiective si activități suport privind angajamentul regional include o expunere de motive</w:t>
      </w:r>
      <w:r w:rsidRPr="002E6486">
        <w:rPr>
          <w:rFonts w:ascii="Arial" w:hAnsi="Arial" w:cs="Arial"/>
          <w:sz w:val="24"/>
          <w:szCs w:val="24"/>
        </w:rPr>
        <w:t xml:space="preserve"> :</w:t>
      </w:r>
    </w:p>
    <w:p w:rsidR="00FE7DCF" w:rsidRDefault="00FE7DCF" w:rsidP="000C6A67">
      <w:pPr>
        <w:spacing w:after="0" w:line="240" w:lineRule="auto"/>
        <w:jc w:val="both"/>
        <w:rPr>
          <w:rFonts w:ascii="Arial" w:hAnsi="Arial" w:cs="Arial"/>
          <w:sz w:val="24"/>
          <w:szCs w:val="24"/>
        </w:rPr>
      </w:pPr>
      <w:r w:rsidRPr="002E6486">
        <w:rPr>
          <w:rFonts w:ascii="Arial" w:hAnsi="Arial" w:cs="Arial"/>
          <w:sz w:val="24"/>
          <w:szCs w:val="24"/>
        </w:rPr>
        <w:t>“UPT are deja dezvoltata o structura funcționala de interfață cu mediul economic - Comitetul Director - ai carei membri sunt liderii marilor companii naționele și transnaționele din partea de vest a Romaniei. Activitatea desfășurată a contribuit la creșterea rolului UPT ca principal partener al companiilor preocupate de a angaja absolvenți (cu competențe generale sau specifice - în anumite situații), în elaborarea ori participarea la proiecte comune de cercetare. Universitatea nu se va limita doar la aspectele menționate, ci va trebui să se implice activ în parteneriate cu autoritățile locale, regionale, organizații neguvernamentale la dezvoltarea economică și socială a regiunii. ”</w:t>
      </w:r>
    </w:p>
    <w:p w:rsidR="00FE7DCF" w:rsidRPr="002E6486" w:rsidRDefault="00FE7DCF" w:rsidP="000C6A67">
      <w:pPr>
        <w:spacing w:after="0" w:line="240" w:lineRule="auto"/>
        <w:jc w:val="both"/>
        <w:rPr>
          <w:rFonts w:ascii="Arial" w:hAnsi="Arial" w:cs="Arial"/>
          <w:sz w:val="24"/>
          <w:szCs w:val="24"/>
        </w:rPr>
      </w:pP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b/>
          <w:sz w:val="24"/>
          <w:szCs w:val="24"/>
        </w:rPr>
        <w:t>Planul strategic de dezvoltare instituţională a Universităţii de Vest din Timişoara 2016-2020</w:t>
      </w:r>
      <w:r>
        <w:rPr>
          <w:rFonts w:ascii="Arial" w:hAnsi="Arial" w:cs="Arial"/>
          <w:b/>
          <w:sz w:val="24"/>
          <w:szCs w:val="24"/>
        </w:rPr>
        <w:t xml:space="preserve"> </w:t>
      </w:r>
      <w:hyperlink r:id="rId73" w:history="1">
        <w:r w:rsidRPr="002E6486">
          <w:rPr>
            <w:rStyle w:val="Hyperlink"/>
            <w:rFonts w:ascii="Arial" w:hAnsi="Arial" w:cs="Arial"/>
            <w:sz w:val="24"/>
            <w:szCs w:val="24"/>
          </w:rPr>
          <w:t>https://www.uvt.ro/files/912ddaf702d70a706882b6fdc9a9bdbce369fe60/</w:t>
        </w:r>
      </w:hyperlink>
      <w:r w:rsidRPr="002E6486">
        <w:rPr>
          <w:rFonts w:ascii="Arial" w:hAnsi="Arial" w:cs="Arial"/>
          <w:sz w:val="24"/>
          <w:szCs w:val="24"/>
        </w:rPr>
        <w:t xml:space="preserve"> </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Strategia este conceputa pe Obiective strategice, obiective operaționale și direcții de actiune.Misiunea instituției include și următorul punct, referitor la implicarea în regiunea Vest: “UVT trebuie să îşi construiască curajos statutul de actor proactiv în viaţa socială, economică şi culturală a regiunii, prin valorificarea potenţialului uman excepţional pe care îl deţine şi prin asumarea identităţii de cea mai numeroasă comunitate universitară din această parte a României (aproape o zecime din populaţia municipiului Timişoara).”</w:t>
      </w:r>
    </w:p>
    <w:p w:rsidR="00FE7DCF" w:rsidRPr="002E6486" w:rsidRDefault="00FE7DCF" w:rsidP="000C6A67">
      <w:pPr>
        <w:spacing w:after="0" w:line="240" w:lineRule="auto"/>
        <w:jc w:val="both"/>
        <w:rPr>
          <w:rFonts w:ascii="Arial" w:hAnsi="Arial" w:cs="Arial"/>
          <w:b/>
          <w:sz w:val="24"/>
          <w:szCs w:val="24"/>
        </w:rPr>
      </w:pPr>
      <w:r w:rsidRPr="002E6486">
        <w:rPr>
          <w:rFonts w:ascii="Arial" w:hAnsi="Arial" w:cs="Arial"/>
          <w:b/>
          <w:sz w:val="24"/>
          <w:szCs w:val="24"/>
        </w:rPr>
        <w:t>În capitolul 3.5. Relaţia cu studenţii şi servicii pentru studenţi</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Obiectivul strategic: Crearea de oportunități pentru dezvoltarea personală și profesională a studenților în vederea integrării active și responsabile în societate, este evidențiat următorul obiectiv operational: “Susținerea parteneriatelor încheiate între organizaţiile studenţeşti şi consiliile judeţene ale elevilor din regiunile de interes ale Universităţii de Vest”;</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In cadrul Obiectivului strategic: Afirmarea fermă a rolului strategic al UVT în dezvoltarea economică, socială, culturală civică și morală a comunității locale, regionale, naționale și international, UVT si-a propus sa actioneze pentru  “Crearea și operaționalizarea unui Centru Euroregional de Diagnoză şi Intervenţie Socială (CEDIS) ca partener academic al mediului politic, administrativ, economic şi cultural din Euroregiunea DKMT, în vederea unei conlucrări euroregionale eficiente şi pertinente, care să contribuie consistent la dezvoltarea social-economică a regiunii.”</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UVT are în structura ei un departament specializat pentru relația cu mediul preuniversitar, unic la nivel național, ce vizează prezența activă în unitațile de învățământ din regiune și din regiuni invecinate în vederea consilierii în cariera  și promovării ofertei educaționale a UVT.</w:t>
      </w:r>
    </w:p>
    <w:p w:rsidR="00FE7DCF" w:rsidRPr="002E6486" w:rsidRDefault="00FE7DCF" w:rsidP="000C6A67">
      <w:pPr>
        <w:spacing w:after="0" w:line="240" w:lineRule="auto"/>
        <w:jc w:val="both"/>
        <w:rPr>
          <w:rFonts w:ascii="Arial" w:hAnsi="Arial" w:cs="Arial"/>
          <w:sz w:val="24"/>
          <w:szCs w:val="24"/>
        </w:rPr>
      </w:pPr>
    </w:p>
    <w:p w:rsidR="00FE7DCF" w:rsidRPr="005C3015" w:rsidRDefault="00FE7DCF" w:rsidP="000C6A67">
      <w:pPr>
        <w:spacing w:after="0" w:line="240" w:lineRule="auto"/>
        <w:jc w:val="both"/>
        <w:rPr>
          <w:rFonts w:ascii="Arial" w:hAnsi="Arial" w:cs="Arial"/>
          <w:sz w:val="20"/>
          <w:szCs w:val="20"/>
        </w:rPr>
      </w:pPr>
      <w:r w:rsidRPr="002E6486">
        <w:rPr>
          <w:rFonts w:ascii="Arial" w:hAnsi="Arial" w:cs="Arial"/>
          <w:b/>
          <w:sz w:val="24"/>
          <w:szCs w:val="24"/>
        </w:rPr>
        <w:t>Planul Strategic de Dezvoltare Instituțională 2016-2020 al Universitatii de Ştiinţe Agricole si Medicină Veterinară a Banatului „Regele Mihai I al României” din Timişoara</w:t>
      </w:r>
      <w:r w:rsidR="00911CFD">
        <w:rPr>
          <w:rFonts w:ascii="Arial" w:hAnsi="Arial" w:cs="Arial"/>
          <w:b/>
          <w:sz w:val="24"/>
          <w:szCs w:val="24"/>
        </w:rPr>
        <w:t xml:space="preserve"> </w:t>
      </w:r>
      <w:hyperlink r:id="rId74" w:history="1">
        <w:r w:rsidRPr="005C3015">
          <w:rPr>
            <w:rStyle w:val="Hyperlink"/>
            <w:rFonts w:ascii="Arial" w:hAnsi="Arial" w:cs="Arial"/>
            <w:sz w:val="20"/>
            <w:szCs w:val="20"/>
          </w:rPr>
          <w:t>http://usab-tm.ro/utilizatori/universitate/file/2016/Plan%20strategic%20USAMVBT%202016%20-%202020.pdf</w:t>
        </w:r>
      </w:hyperlink>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 xml:space="preserve">Strategia este structurata pe obiective strategice </w:t>
      </w:r>
      <w:r w:rsidR="00E53080">
        <w:rPr>
          <w:rFonts w:ascii="Arial" w:hAnsi="Arial" w:cs="Arial"/>
          <w:sz w:val="24"/>
          <w:szCs w:val="24"/>
        </w:rPr>
        <w:t>ș</w:t>
      </w:r>
      <w:r w:rsidRPr="002E6486">
        <w:rPr>
          <w:rFonts w:ascii="Arial" w:hAnsi="Arial" w:cs="Arial"/>
          <w:sz w:val="24"/>
          <w:szCs w:val="24"/>
        </w:rPr>
        <w:t>i direc</w:t>
      </w:r>
      <w:r w:rsidR="00E53080">
        <w:rPr>
          <w:rFonts w:ascii="Arial" w:hAnsi="Arial" w:cs="Arial"/>
          <w:sz w:val="24"/>
          <w:szCs w:val="24"/>
        </w:rPr>
        <w:t>ț</w:t>
      </w:r>
      <w:r w:rsidRPr="002E6486">
        <w:rPr>
          <w:rFonts w:ascii="Arial" w:hAnsi="Arial" w:cs="Arial"/>
          <w:sz w:val="24"/>
          <w:szCs w:val="24"/>
        </w:rPr>
        <w:t>ii de ac</w:t>
      </w:r>
      <w:r w:rsidR="00E53080">
        <w:rPr>
          <w:rFonts w:ascii="Arial" w:hAnsi="Arial" w:cs="Arial"/>
          <w:sz w:val="24"/>
          <w:szCs w:val="24"/>
        </w:rPr>
        <w:t>ți</w:t>
      </w:r>
      <w:r w:rsidRPr="002E6486">
        <w:rPr>
          <w:rFonts w:ascii="Arial" w:hAnsi="Arial" w:cs="Arial"/>
          <w:sz w:val="24"/>
          <w:szCs w:val="24"/>
        </w:rPr>
        <w:t>une.</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b/>
          <w:sz w:val="24"/>
          <w:szCs w:val="24"/>
        </w:rPr>
        <w:t>OS.1 Promovarea USAMVB „Regele Mihai I al României” din Timişoara ca entitate reprezentativă la nivel regional, naţional şi internaţional;</w:t>
      </w:r>
    </w:p>
    <w:p w:rsidR="00FE7DCF" w:rsidRPr="002E6486" w:rsidRDefault="00FE7DCF" w:rsidP="00445724">
      <w:pPr>
        <w:pStyle w:val="ListParagraph"/>
        <w:numPr>
          <w:ilvl w:val="0"/>
          <w:numId w:val="13"/>
        </w:numPr>
        <w:contextualSpacing/>
        <w:jc w:val="both"/>
        <w:rPr>
          <w:rFonts w:ascii="Arial" w:hAnsi="Arial" w:cs="Arial"/>
          <w:sz w:val="24"/>
          <w:szCs w:val="24"/>
        </w:rPr>
      </w:pPr>
      <w:r w:rsidRPr="002E6486">
        <w:rPr>
          <w:rFonts w:ascii="Arial" w:hAnsi="Arial" w:cs="Arial"/>
          <w:sz w:val="24"/>
          <w:szCs w:val="24"/>
        </w:rPr>
        <w:t>Dezvoltarea parteneriatelor cu Inspectoratele şcolare din judeţele Timiş, Caraş-</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Severin, Mehedinţi; Hunedoara; Arad pentru sprijinirea acţiunilor de promovare a USAMVB</w:t>
      </w:r>
      <w:r w:rsidR="00911CFD">
        <w:rPr>
          <w:rFonts w:ascii="Arial" w:hAnsi="Arial" w:cs="Arial"/>
          <w:sz w:val="24"/>
          <w:szCs w:val="24"/>
        </w:rPr>
        <w:t xml:space="preserve"> </w:t>
      </w:r>
      <w:r w:rsidRPr="002E6486">
        <w:rPr>
          <w:rFonts w:ascii="Arial" w:hAnsi="Arial" w:cs="Arial"/>
          <w:sz w:val="24"/>
          <w:szCs w:val="24"/>
        </w:rPr>
        <w:t>„Regele Mihai I al României” din Timişoara în licee;”</w:t>
      </w:r>
    </w:p>
    <w:p w:rsidR="00FE7DCF" w:rsidRPr="002E6486" w:rsidRDefault="0026160D" w:rsidP="00445724">
      <w:pPr>
        <w:pStyle w:val="ListParagraph"/>
        <w:numPr>
          <w:ilvl w:val="0"/>
          <w:numId w:val="13"/>
        </w:numPr>
        <w:contextualSpacing/>
        <w:jc w:val="both"/>
        <w:rPr>
          <w:rFonts w:ascii="Arial" w:hAnsi="Arial" w:cs="Arial"/>
          <w:sz w:val="24"/>
          <w:szCs w:val="24"/>
        </w:rPr>
      </w:pPr>
      <w:r>
        <w:rPr>
          <w:rFonts w:ascii="Arial" w:hAnsi="Arial" w:cs="Arial"/>
          <w:sz w:val="24"/>
          <w:szCs w:val="24"/>
        </w:rPr>
        <w:t>O</w:t>
      </w:r>
      <w:r w:rsidR="00FE7DCF" w:rsidRPr="002E6486">
        <w:rPr>
          <w:rFonts w:ascii="Arial" w:hAnsi="Arial" w:cs="Arial"/>
          <w:sz w:val="24"/>
          <w:szCs w:val="24"/>
        </w:rPr>
        <w:t>rganizarea anuală a Târgului de Job-uri pentru facilitatea inserţiei absolvenţilor pe piaţa regională a muncii</w:t>
      </w:r>
    </w:p>
    <w:p w:rsidR="00FE7DCF" w:rsidRPr="002E6486" w:rsidRDefault="00FE7DCF" w:rsidP="000C6A67">
      <w:pPr>
        <w:spacing w:after="0" w:line="240" w:lineRule="auto"/>
        <w:jc w:val="both"/>
        <w:rPr>
          <w:rFonts w:ascii="Arial" w:hAnsi="Arial" w:cs="Arial"/>
          <w:b/>
          <w:sz w:val="24"/>
          <w:szCs w:val="24"/>
        </w:rPr>
      </w:pPr>
      <w:r w:rsidRPr="002E6486">
        <w:rPr>
          <w:rFonts w:ascii="Arial" w:hAnsi="Arial" w:cs="Arial"/>
          <w:b/>
          <w:sz w:val="24"/>
          <w:szCs w:val="24"/>
        </w:rPr>
        <w:lastRenderedPageBreak/>
        <w:t xml:space="preserve"> OS 2. Conturarea unei vizibilităţi maxime în spaţiul</w:t>
      </w:r>
      <w:r w:rsidR="00911CFD">
        <w:rPr>
          <w:rFonts w:ascii="Arial" w:hAnsi="Arial" w:cs="Arial"/>
          <w:b/>
          <w:sz w:val="24"/>
          <w:szCs w:val="24"/>
        </w:rPr>
        <w:t xml:space="preserve"> </w:t>
      </w:r>
      <w:r w:rsidRPr="002E6486">
        <w:rPr>
          <w:rFonts w:ascii="Arial" w:hAnsi="Arial" w:cs="Arial"/>
          <w:b/>
          <w:sz w:val="24"/>
          <w:szCs w:val="24"/>
        </w:rPr>
        <w:t>socio-economic în care universitatea activează.</w:t>
      </w:r>
    </w:p>
    <w:p w:rsidR="00FE7DCF" w:rsidRPr="002E6486" w:rsidRDefault="0026160D" w:rsidP="00445724">
      <w:pPr>
        <w:pStyle w:val="ListParagraph"/>
        <w:numPr>
          <w:ilvl w:val="0"/>
          <w:numId w:val="13"/>
        </w:numPr>
        <w:contextualSpacing/>
        <w:jc w:val="both"/>
        <w:rPr>
          <w:rFonts w:ascii="Arial" w:hAnsi="Arial" w:cs="Arial"/>
          <w:sz w:val="24"/>
          <w:szCs w:val="24"/>
        </w:rPr>
      </w:pPr>
      <w:r>
        <w:rPr>
          <w:rFonts w:ascii="Arial" w:hAnsi="Arial" w:cs="Arial"/>
          <w:sz w:val="24"/>
          <w:szCs w:val="24"/>
        </w:rPr>
        <w:t>I</w:t>
      </w:r>
      <w:r w:rsidR="00FE7DCF" w:rsidRPr="002E6486">
        <w:rPr>
          <w:rFonts w:ascii="Arial" w:hAnsi="Arial" w:cs="Arial"/>
          <w:sz w:val="24"/>
          <w:szCs w:val="24"/>
        </w:rPr>
        <w:t>ntensificarea relaţiilor cu agenţii economici de la nivel local, regional, naţional şi</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chiar internaţional în vederea desfăşurării unor activităţi de formare a resurselor umane, de cercetare-dezvoltare şi de transfer tehnologic;</w:t>
      </w:r>
    </w:p>
    <w:p w:rsidR="00FE7DCF" w:rsidRPr="00911CFD" w:rsidRDefault="0026160D" w:rsidP="00445724">
      <w:pPr>
        <w:pStyle w:val="ListParagraph"/>
        <w:numPr>
          <w:ilvl w:val="0"/>
          <w:numId w:val="13"/>
        </w:numPr>
        <w:contextualSpacing/>
        <w:jc w:val="both"/>
        <w:rPr>
          <w:rFonts w:ascii="Arial" w:hAnsi="Arial" w:cs="Arial"/>
          <w:sz w:val="24"/>
          <w:szCs w:val="24"/>
        </w:rPr>
      </w:pPr>
      <w:r>
        <w:rPr>
          <w:rFonts w:ascii="Arial" w:hAnsi="Arial" w:cs="Arial"/>
          <w:sz w:val="24"/>
          <w:szCs w:val="24"/>
        </w:rPr>
        <w:t>C</w:t>
      </w:r>
      <w:r w:rsidR="00FE7DCF" w:rsidRPr="00911CFD">
        <w:rPr>
          <w:rFonts w:ascii="Arial" w:hAnsi="Arial" w:cs="Arial"/>
          <w:sz w:val="24"/>
          <w:szCs w:val="24"/>
        </w:rPr>
        <w:t>onsolidarea parteneriatelor cu autorităţile locale şi regionale în vederea dezvoltării</w:t>
      </w:r>
      <w:r w:rsidR="00911CFD" w:rsidRPr="00911CFD">
        <w:rPr>
          <w:rFonts w:ascii="Arial" w:hAnsi="Arial" w:cs="Arial"/>
          <w:sz w:val="24"/>
          <w:szCs w:val="24"/>
        </w:rPr>
        <w:t xml:space="preserve"> </w:t>
      </w:r>
      <w:r w:rsidR="00FE7DCF" w:rsidRPr="00911CFD">
        <w:rPr>
          <w:rFonts w:ascii="Arial" w:hAnsi="Arial" w:cs="Arial"/>
          <w:sz w:val="24"/>
          <w:szCs w:val="24"/>
        </w:rPr>
        <w:t>unor proiecte comune care să conducă la dezvoltarea academică, socială şi economică</w:t>
      </w:r>
    </w:p>
    <w:p w:rsidR="00FE7DCF" w:rsidRPr="002E6486" w:rsidRDefault="00FE7DCF" w:rsidP="000C6A67">
      <w:pPr>
        <w:spacing w:after="0" w:line="240" w:lineRule="auto"/>
        <w:jc w:val="both"/>
        <w:rPr>
          <w:rFonts w:ascii="Arial" w:hAnsi="Arial" w:cs="Arial"/>
          <w:b/>
          <w:sz w:val="24"/>
          <w:szCs w:val="24"/>
        </w:rPr>
      </w:pPr>
    </w:p>
    <w:p w:rsidR="00FE7DCF" w:rsidRPr="002E6486" w:rsidRDefault="00FE7DCF" w:rsidP="000C6A67">
      <w:pPr>
        <w:spacing w:after="0" w:line="240" w:lineRule="auto"/>
        <w:jc w:val="both"/>
        <w:rPr>
          <w:rFonts w:ascii="Arial" w:hAnsi="Arial" w:cs="Arial"/>
          <w:b/>
          <w:sz w:val="24"/>
          <w:szCs w:val="24"/>
        </w:rPr>
      </w:pPr>
      <w:r w:rsidRPr="002E6486">
        <w:rPr>
          <w:rFonts w:ascii="Arial" w:hAnsi="Arial" w:cs="Arial"/>
          <w:b/>
          <w:sz w:val="24"/>
          <w:szCs w:val="24"/>
        </w:rPr>
        <w:t>Planul Strategic al Universităţii „Eftimie Murgu” din Reşiţa pentru perioada 2016 – 2020</w:t>
      </w:r>
    </w:p>
    <w:p w:rsidR="00FE7DCF" w:rsidRPr="00903E6A" w:rsidRDefault="00DC3D41" w:rsidP="000C6A67">
      <w:pPr>
        <w:spacing w:after="0" w:line="240" w:lineRule="auto"/>
        <w:jc w:val="both"/>
        <w:rPr>
          <w:rFonts w:ascii="Arial" w:hAnsi="Arial" w:cs="Arial"/>
          <w:sz w:val="20"/>
          <w:szCs w:val="20"/>
        </w:rPr>
      </w:pPr>
      <w:hyperlink r:id="rId75" w:history="1">
        <w:r w:rsidR="00FE7DCF" w:rsidRPr="00903E6A">
          <w:rPr>
            <w:rStyle w:val="Hyperlink"/>
            <w:rFonts w:ascii="Arial" w:hAnsi="Arial" w:cs="Arial"/>
            <w:sz w:val="20"/>
            <w:szCs w:val="20"/>
          </w:rPr>
          <w:t>http://www.uem.ro/fileadmin/1_ACASA/Informatii/1_Documente_programatice_si_rapoarte/1.1_Planuri_strategice/Plan_strategic_2016-2020.pdf</w:t>
        </w:r>
      </w:hyperlink>
      <w:r w:rsidR="00FE7DCF" w:rsidRPr="00903E6A">
        <w:rPr>
          <w:rFonts w:ascii="Arial" w:hAnsi="Arial" w:cs="Arial"/>
          <w:sz w:val="20"/>
          <w:szCs w:val="20"/>
        </w:rPr>
        <w:t xml:space="preserve"> </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 xml:space="preserve"> Planul este conceput pe următorele secțiuni: viziune, misiune, valori, obiective strategice pentru perioada 2016-2020, măsuri pe domenii de activitate pentru perioada 2016-2020.</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Universitatea „Eftimie Murgu” din Reşiţa îşi propune să rămână în continuare o prezenţă activă în regiunea sa de origine, puternic ancorată în real</w:t>
      </w:r>
      <w:r>
        <w:rPr>
          <w:rFonts w:ascii="Arial" w:hAnsi="Arial" w:cs="Arial"/>
          <w:sz w:val="24"/>
          <w:szCs w:val="24"/>
        </w:rPr>
        <w:t>itatea judeţului Caraş-Severin.</w:t>
      </w:r>
    </w:p>
    <w:p w:rsidR="00FE7DCF" w:rsidRPr="002E6486" w:rsidRDefault="00FE7DCF" w:rsidP="000C6A67">
      <w:pPr>
        <w:spacing w:after="0" w:line="240" w:lineRule="auto"/>
        <w:jc w:val="both"/>
        <w:rPr>
          <w:rFonts w:ascii="Arial" w:hAnsi="Arial" w:cs="Arial"/>
          <w:b/>
          <w:sz w:val="24"/>
          <w:szCs w:val="24"/>
        </w:rPr>
      </w:pPr>
      <w:r w:rsidRPr="002E6486">
        <w:rPr>
          <w:rFonts w:ascii="Arial" w:hAnsi="Arial" w:cs="Arial"/>
          <w:b/>
          <w:sz w:val="24"/>
          <w:szCs w:val="24"/>
        </w:rPr>
        <w:t>Misiunea :Universitatea „Eftimie Murgu” din Reşiţa este o universitate în regiune şi pentru regiune. Punctual 4 al misiunii asumate specifică : “susţinerea mediului de afaceri şi a mediului instituţional public prin cercetare aplicată pe teme relevante pentru regiune;”</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Primul obiectiv strategic al universitatii  consta in :” oferirea unui învățământ de calitate, centrat pe student și adaptarea continuă a ofertei educaţionale a universităţii la cererea de pe piaţa muncii din regiune, în domenii relevante și prin programe de studii universitare de licenţă, master şi doctorat, programe postliceale şi cursuri de specializare/perfecţionare;”</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 xml:space="preserve"> Cap 6.1. este dedicate inv</w:t>
      </w:r>
      <w:r w:rsidR="00E53080">
        <w:rPr>
          <w:rFonts w:ascii="Arial" w:hAnsi="Arial" w:cs="Arial"/>
          <w:sz w:val="24"/>
          <w:szCs w:val="24"/>
        </w:rPr>
        <w:t>ăță</w:t>
      </w:r>
      <w:r w:rsidRPr="002E6486">
        <w:rPr>
          <w:rFonts w:ascii="Arial" w:hAnsi="Arial" w:cs="Arial"/>
          <w:sz w:val="24"/>
          <w:szCs w:val="24"/>
        </w:rPr>
        <w:t>m</w:t>
      </w:r>
      <w:r w:rsidR="00E53080">
        <w:rPr>
          <w:rFonts w:ascii="Arial" w:hAnsi="Arial" w:cs="Arial"/>
          <w:sz w:val="24"/>
          <w:szCs w:val="24"/>
        </w:rPr>
        <w:t>â</w:t>
      </w:r>
      <w:r w:rsidRPr="002E6486">
        <w:rPr>
          <w:rFonts w:ascii="Arial" w:hAnsi="Arial" w:cs="Arial"/>
          <w:sz w:val="24"/>
          <w:szCs w:val="24"/>
        </w:rPr>
        <w:t>ntului cu una din m</w:t>
      </w:r>
      <w:r w:rsidR="00E53080">
        <w:rPr>
          <w:rFonts w:ascii="Arial" w:hAnsi="Arial" w:cs="Arial"/>
          <w:sz w:val="24"/>
          <w:szCs w:val="24"/>
        </w:rPr>
        <w:t>ă</w:t>
      </w:r>
      <w:r w:rsidRPr="002E6486">
        <w:rPr>
          <w:rFonts w:ascii="Arial" w:hAnsi="Arial" w:cs="Arial"/>
          <w:sz w:val="24"/>
          <w:szCs w:val="24"/>
        </w:rPr>
        <w:t>suri ce vizeaz</w:t>
      </w:r>
      <w:r w:rsidR="00E53080">
        <w:rPr>
          <w:rFonts w:ascii="Arial" w:hAnsi="Arial" w:cs="Arial"/>
          <w:sz w:val="24"/>
          <w:szCs w:val="24"/>
        </w:rPr>
        <w:t>ă</w:t>
      </w:r>
      <w:r w:rsidRPr="002E6486">
        <w:rPr>
          <w:rFonts w:ascii="Arial" w:hAnsi="Arial" w:cs="Arial"/>
          <w:sz w:val="24"/>
          <w:szCs w:val="24"/>
        </w:rPr>
        <w:t>: identificării necesarului real de formare iniţială, care va intensifica dialogul cu prin</w:t>
      </w:r>
      <w:r>
        <w:rPr>
          <w:rFonts w:ascii="Arial" w:hAnsi="Arial" w:cs="Arial"/>
          <w:sz w:val="24"/>
          <w:szCs w:val="24"/>
        </w:rPr>
        <w:t>cipalii angajatori din regiune;</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În domeniul Cercetării se urmareste extinderea parteneriatelor cu firmele din regiune și stimularea implicării cadrelor didactice şi studenţilor/masteranzilor/doctoranzilor UEMR</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În capitolul Relația cu societatea direcția de acțiune este de  intensificare a dialogului cu instituţiile de învăţământ preuniversitar, administraţia publică şi cu societăţile comerciale.</w:t>
      </w:r>
    </w:p>
    <w:p w:rsidR="00FE7DCF" w:rsidRPr="002E6486" w:rsidRDefault="00FE7DCF" w:rsidP="000C6A67">
      <w:pPr>
        <w:spacing w:after="0" w:line="240" w:lineRule="auto"/>
        <w:jc w:val="both"/>
        <w:rPr>
          <w:rFonts w:ascii="Arial" w:hAnsi="Arial" w:cs="Arial"/>
          <w:sz w:val="24"/>
          <w:szCs w:val="24"/>
        </w:rPr>
      </w:pPr>
    </w:p>
    <w:p w:rsidR="00FE7DCF" w:rsidRPr="002E6486" w:rsidRDefault="00FE7DCF" w:rsidP="000C6A67">
      <w:pPr>
        <w:spacing w:after="0" w:line="240" w:lineRule="auto"/>
        <w:jc w:val="both"/>
        <w:rPr>
          <w:rFonts w:ascii="Arial" w:hAnsi="Arial" w:cs="Arial"/>
          <w:b/>
          <w:sz w:val="24"/>
          <w:szCs w:val="24"/>
        </w:rPr>
      </w:pPr>
      <w:r w:rsidRPr="002E6486">
        <w:rPr>
          <w:rFonts w:ascii="Arial" w:hAnsi="Arial" w:cs="Arial"/>
          <w:b/>
          <w:sz w:val="24"/>
          <w:szCs w:val="24"/>
        </w:rPr>
        <w:t>Planul strategic al Universității din Petroșani, 2016-2020</w:t>
      </w:r>
    </w:p>
    <w:p w:rsidR="00FE7DCF" w:rsidRPr="002E6486" w:rsidRDefault="00DC3D41" w:rsidP="000C6A67">
      <w:pPr>
        <w:spacing w:after="0" w:line="240" w:lineRule="auto"/>
        <w:jc w:val="both"/>
        <w:rPr>
          <w:rFonts w:ascii="Arial" w:hAnsi="Arial" w:cs="Arial"/>
          <w:sz w:val="24"/>
          <w:szCs w:val="24"/>
        </w:rPr>
      </w:pPr>
      <w:hyperlink r:id="rId76" w:history="1">
        <w:r w:rsidR="00FE7DCF" w:rsidRPr="002E6486">
          <w:rPr>
            <w:rStyle w:val="Hyperlink"/>
            <w:rFonts w:ascii="Arial" w:hAnsi="Arial" w:cs="Arial"/>
            <w:sz w:val="24"/>
            <w:szCs w:val="24"/>
          </w:rPr>
          <w:t>http://www.upet.ro/documente/2016/Plan%20strategic%202016-2020.pdf</w:t>
        </w:r>
      </w:hyperlink>
      <w:r w:rsidR="00FE7DCF" w:rsidRPr="002E6486">
        <w:rPr>
          <w:rFonts w:ascii="Arial" w:hAnsi="Arial" w:cs="Arial"/>
          <w:sz w:val="24"/>
          <w:szCs w:val="24"/>
        </w:rPr>
        <w:t xml:space="preserve"> </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Pentru realizarea misiunii asumate, Planul Strategic al Universității din Petroșani pentru</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perioada 2016-2020 include obiectivele strategice,  principalele direcţii de acţiune și domenii prioritare.</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 xml:space="preserve"> Din perspectiva regionala UP, a stabilit directii de actiune astfel:</w:t>
      </w:r>
    </w:p>
    <w:p w:rsidR="00FE7DCF" w:rsidRPr="002E6486" w:rsidRDefault="00FE7DCF" w:rsidP="000C6A67">
      <w:pPr>
        <w:spacing w:after="0" w:line="240" w:lineRule="auto"/>
        <w:jc w:val="both"/>
        <w:rPr>
          <w:rFonts w:ascii="Arial" w:hAnsi="Arial" w:cs="Arial"/>
          <w:b/>
          <w:sz w:val="24"/>
          <w:szCs w:val="24"/>
        </w:rPr>
      </w:pPr>
      <w:r w:rsidRPr="002E6486">
        <w:rPr>
          <w:rFonts w:ascii="Arial" w:hAnsi="Arial" w:cs="Arial"/>
          <w:sz w:val="24"/>
          <w:szCs w:val="24"/>
        </w:rPr>
        <w:t xml:space="preserve">In cadrul </w:t>
      </w:r>
      <w:r w:rsidRPr="002E6486">
        <w:rPr>
          <w:rFonts w:ascii="Arial" w:hAnsi="Arial" w:cs="Arial"/>
          <w:b/>
          <w:sz w:val="24"/>
          <w:szCs w:val="24"/>
        </w:rPr>
        <w:t>OS5. Promovarea unui proces de educație continuă, centrat pe beneficiar, având la bază cunoașterea necesarului de competențe al angajatorilor</w:t>
      </w:r>
      <w:r w:rsidRPr="002E6486">
        <w:rPr>
          <w:rFonts w:ascii="Arial" w:hAnsi="Arial" w:cs="Arial"/>
          <w:sz w:val="24"/>
          <w:szCs w:val="24"/>
        </w:rPr>
        <w:t>-</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 xml:space="preserve">Consolidarea legăturilor cu principalii agenţi socio-economici locali şi regionali, pebaza unor parteneriate active în direcţia acoperirii nevoilor de formare continuă şi formare profesională a resurselor umane din aceste instituţii publice </w:t>
      </w:r>
      <w:r w:rsidR="00E53080">
        <w:rPr>
          <w:rFonts w:ascii="Arial" w:hAnsi="Arial" w:cs="Arial"/>
          <w:sz w:val="24"/>
          <w:szCs w:val="24"/>
        </w:rPr>
        <w:t>ș</w:t>
      </w:r>
      <w:r w:rsidRPr="002E6486">
        <w:rPr>
          <w:rFonts w:ascii="Arial" w:hAnsi="Arial" w:cs="Arial"/>
          <w:sz w:val="24"/>
          <w:szCs w:val="24"/>
        </w:rPr>
        <w:t>i private</w:t>
      </w:r>
      <w:r w:rsidR="00E53080">
        <w:rPr>
          <w:rFonts w:ascii="Arial" w:hAnsi="Arial" w:cs="Arial"/>
          <w:sz w:val="24"/>
          <w:szCs w:val="24"/>
        </w:rPr>
        <w:t>.</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Proiectarea, acreditarea și derularea unor programe atractive de formare continuă, programe de conversie profesională, programe postuniversitare de formare şi dezvoltare profesională continuă care vor răspunde nevoilor de formare identificate în plan local și/sau regional;</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 xml:space="preserve">În cadrul obiectivelor  strategice generale din perspectiva activităţii de cercetare ştiinţifică, dezvoltare şi inovare, se remarca ”Dezvoltarea parteneriatelor de cooperare </w:t>
      </w:r>
      <w:r w:rsidRPr="002E6486">
        <w:rPr>
          <w:rFonts w:ascii="Arial" w:hAnsi="Arial" w:cs="Arial"/>
          <w:sz w:val="24"/>
          <w:szCs w:val="24"/>
        </w:rPr>
        <w:lastRenderedPageBreak/>
        <w:t>naţională şi internaţională de tip public-privat şi public-public (cu universităţi/institute de cercetare, industrie, etc.), accentuarea activităţilor de diseminare şi transfer tehnologic pentru a îmbunătăţi performanţele, vizibilitatea cadrelor didactice/cercetătorilor şi a creşte rolul universităţii pe plan local/regional/naţional/interna</w:t>
      </w:r>
      <w:r w:rsidR="00E53080">
        <w:rPr>
          <w:rFonts w:ascii="Arial" w:hAnsi="Arial" w:cs="Arial"/>
          <w:sz w:val="24"/>
          <w:szCs w:val="24"/>
        </w:rPr>
        <w:t>ț</w:t>
      </w:r>
      <w:r w:rsidRPr="002E6486">
        <w:rPr>
          <w:rFonts w:ascii="Arial" w:hAnsi="Arial" w:cs="Arial"/>
          <w:sz w:val="24"/>
          <w:szCs w:val="24"/>
        </w:rPr>
        <w:t>ional”.</w:t>
      </w:r>
    </w:p>
    <w:p w:rsidR="00FE7DCF" w:rsidRPr="002E6486" w:rsidRDefault="00FE7DCF" w:rsidP="000C6A67">
      <w:pPr>
        <w:spacing w:after="0" w:line="240" w:lineRule="auto"/>
        <w:jc w:val="both"/>
        <w:rPr>
          <w:rFonts w:ascii="Arial" w:hAnsi="Arial" w:cs="Arial"/>
          <w:sz w:val="24"/>
          <w:szCs w:val="24"/>
        </w:rPr>
      </w:pPr>
    </w:p>
    <w:p w:rsidR="00FE7DCF" w:rsidRPr="002E6486" w:rsidRDefault="00FE7DCF" w:rsidP="000C6A67">
      <w:pPr>
        <w:spacing w:after="0" w:line="240" w:lineRule="auto"/>
        <w:jc w:val="both"/>
        <w:rPr>
          <w:rFonts w:ascii="Arial" w:hAnsi="Arial" w:cs="Arial"/>
          <w:b/>
          <w:sz w:val="24"/>
          <w:szCs w:val="24"/>
        </w:rPr>
      </w:pPr>
      <w:r w:rsidRPr="002E6486">
        <w:rPr>
          <w:rFonts w:ascii="Arial" w:hAnsi="Arial" w:cs="Arial"/>
          <w:b/>
          <w:sz w:val="24"/>
          <w:szCs w:val="24"/>
        </w:rPr>
        <w:t>Planul Strategic al Universităţii „Aurel Vlaicu” Arad 2016-2020</w:t>
      </w:r>
    </w:p>
    <w:p w:rsidR="00FE7DCF" w:rsidRPr="005C3015" w:rsidRDefault="00DC3D41" w:rsidP="000C6A67">
      <w:pPr>
        <w:spacing w:after="0" w:line="240" w:lineRule="auto"/>
        <w:jc w:val="both"/>
        <w:rPr>
          <w:rFonts w:ascii="Arial" w:hAnsi="Arial" w:cs="Arial"/>
          <w:sz w:val="20"/>
          <w:szCs w:val="20"/>
        </w:rPr>
      </w:pPr>
      <w:hyperlink r:id="rId77" w:history="1">
        <w:r w:rsidR="00FE7DCF" w:rsidRPr="005C3015">
          <w:rPr>
            <w:rStyle w:val="Hyperlink"/>
            <w:rFonts w:ascii="Arial" w:hAnsi="Arial" w:cs="Arial"/>
            <w:sz w:val="20"/>
            <w:szCs w:val="20"/>
          </w:rPr>
          <w:t>http://uav.ro/files/documente/reglementari%20interne%20uav/Plan%20strategic%202016%20-%202020.pdf</w:t>
        </w:r>
      </w:hyperlink>
      <w:r w:rsidR="00FE7DCF" w:rsidRPr="005C3015">
        <w:rPr>
          <w:rFonts w:ascii="Arial" w:hAnsi="Arial" w:cs="Arial"/>
          <w:sz w:val="20"/>
          <w:szCs w:val="20"/>
        </w:rPr>
        <w:t xml:space="preserve"> </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Strategia este conceputa pe Directii generale de actiune – obiective prioritare-obiective specifice. UAV isi asuma rolul de ”motor al dezvoltarii regionale”. Cerceta</w:t>
      </w:r>
      <w:r w:rsidR="00E53080">
        <w:rPr>
          <w:rFonts w:ascii="Arial" w:hAnsi="Arial" w:cs="Arial"/>
          <w:sz w:val="24"/>
          <w:szCs w:val="24"/>
        </w:rPr>
        <w:t>rea ramane o prioritate asumata</w:t>
      </w:r>
      <w:r w:rsidRPr="002E6486">
        <w:rPr>
          <w:rFonts w:ascii="Arial" w:hAnsi="Arial" w:cs="Arial"/>
          <w:sz w:val="24"/>
          <w:szCs w:val="24"/>
        </w:rPr>
        <w:t>, colaborarea cu mediul economic in vederea ”transferului de cunostiinte”, fiind foarte important</w:t>
      </w:r>
      <w:r w:rsidR="00E53080">
        <w:rPr>
          <w:rFonts w:ascii="Arial" w:hAnsi="Arial" w:cs="Arial"/>
          <w:sz w:val="24"/>
          <w:szCs w:val="24"/>
        </w:rPr>
        <w:t>ă</w:t>
      </w:r>
      <w:r w:rsidRPr="002E6486">
        <w:rPr>
          <w:rFonts w:ascii="Arial" w:hAnsi="Arial" w:cs="Arial"/>
          <w:sz w:val="24"/>
          <w:szCs w:val="24"/>
        </w:rPr>
        <w:t>.</w:t>
      </w:r>
    </w:p>
    <w:p w:rsidR="00FE7DCF" w:rsidRPr="002E6486" w:rsidRDefault="00FE7DCF" w:rsidP="000C6A67">
      <w:pPr>
        <w:spacing w:after="0" w:line="240" w:lineRule="auto"/>
        <w:jc w:val="both"/>
        <w:rPr>
          <w:rFonts w:ascii="Arial" w:hAnsi="Arial" w:cs="Arial"/>
          <w:sz w:val="24"/>
          <w:szCs w:val="24"/>
        </w:rPr>
      </w:pPr>
    </w:p>
    <w:p w:rsidR="00FE7DCF" w:rsidRPr="002E6486" w:rsidRDefault="00FE7DCF" w:rsidP="000C6A67">
      <w:pPr>
        <w:spacing w:after="0" w:line="240" w:lineRule="auto"/>
        <w:jc w:val="both"/>
        <w:rPr>
          <w:rFonts w:ascii="Arial" w:hAnsi="Arial" w:cs="Arial"/>
          <w:b/>
          <w:sz w:val="24"/>
          <w:szCs w:val="24"/>
        </w:rPr>
      </w:pPr>
      <w:r w:rsidRPr="002E6486">
        <w:rPr>
          <w:rFonts w:ascii="Arial" w:hAnsi="Arial" w:cs="Arial"/>
          <w:b/>
          <w:sz w:val="24"/>
          <w:szCs w:val="24"/>
        </w:rPr>
        <w:t>Planul Strategic al Universităţii „Tibiscus” din Timişoara 2012-2016</w:t>
      </w:r>
    </w:p>
    <w:p w:rsidR="00FE7DCF" w:rsidRPr="005C3015" w:rsidRDefault="00DC3D41" w:rsidP="000C6A67">
      <w:pPr>
        <w:spacing w:after="0" w:line="240" w:lineRule="auto"/>
        <w:jc w:val="both"/>
        <w:rPr>
          <w:rFonts w:ascii="Arial" w:hAnsi="Arial" w:cs="Arial"/>
          <w:sz w:val="20"/>
          <w:szCs w:val="20"/>
        </w:rPr>
      </w:pPr>
      <w:hyperlink r:id="rId78" w:history="1">
        <w:r w:rsidR="00FE7DCF" w:rsidRPr="005C3015">
          <w:rPr>
            <w:rStyle w:val="Hyperlink"/>
            <w:rFonts w:ascii="Arial" w:hAnsi="Arial" w:cs="Arial"/>
            <w:sz w:val="20"/>
            <w:szCs w:val="20"/>
          </w:rPr>
          <w:t>http://www.tibiscus.ro/management-universitar/itemlist/category/14-carta-reglementari-interne</w:t>
        </w:r>
      </w:hyperlink>
      <w:r w:rsidR="00FE7DCF" w:rsidRPr="005C3015">
        <w:rPr>
          <w:rFonts w:ascii="Arial" w:hAnsi="Arial" w:cs="Arial"/>
          <w:sz w:val="20"/>
          <w:szCs w:val="20"/>
        </w:rPr>
        <w:t xml:space="preserve"> </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Universitatea isi asuma prin misiune, sa-si consolideze pozitia si sa asigure creşterea factorului</w:t>
      </w:r>
      <w:r>
        <w:rPr>
          <w:rFonts w:ascii="Arial" w:hAnsi="Arial" w:cs="Arial"/>
          <w:sz w:val="24"/>
          <w:szCs w:val="24"/>
        </w:rPr>
        <w:t xml:space="preserve"> </w:t>
      </w:r>
      <w:r w:rsidRPr="002E6486">
        <w:rPr>
          <w:rFonts w:ascii="Arial" w:hAnsi="Arial" w:cs="Arial"/>
          <w:sz w:val="24"/>
          <w:szCs w:val="24"/>
        </w:rPr>
        <w:t>de impact al instituţiei în comunitatea locală, regională şi naţională.</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Din perspectiva colaborarii cu mediul socio economic  universitatea subliniaza necesitatea colaborarii cu administraţia locală, regională şi naţională, în scopul elaborării politicilor de dezvoltare regională pe domenii de expertiză.</w:t>
      </w:r>
    </w:p>
    <w:p w:rsidR="00FE7DCF" w:rsidRPr="002E6486" w:rsidRDefault="00FE7DCF" w:rsidP="000C6A67">
      <w:pPr>
        <w:spacing w:after="0" w:line="240" w:lineRule="auto"/>
        <w:jc w:val="both"/>
        <w:rPr>
          <w:rFonts w:ascii="Arial" w:hAnsi="Arial" w:cs="Arial"/>
          <w:sz w:val="24"/>
          <w:szCs w:val="24"/>
        </w:rPr>
      </w:pPr>
    </w:p>
    <w:p w:rsidR="00FE7DCF" w:rsidRPr="005C3015" w:rsidRDefault="00FE7DCF" w:rsidP="000C6A67">
      <w:pPr>
        <w:spacing w:after="0" w:line="240" w:lineRule="auto"/>
        <w:jc w:val="both"/>
        <w:rPr>
          <w:rFonts w:ascii="Arial" w:hAnsi="Arial" w:cs="Arial"/>
          <w:sz w:val="20"/>
          <w:szCs w:val="20"/>
        </w:rPr>
      </w:pPr>
      <w:r w:rsidRPr="002E6486">
        <w:rPr>
          <w:rFonts w:ascii="Arial" w:hAnsi="Arial" w:cs="Arial"/>
          <w:b/>
          <w:sz w:val="24"/>
          <w:szCs w:val="24"/>
        </w:rPr>
        <w:t>Planul Strategic de Dezvoltare al Universităţii “Ioan Slavici” din Timişoara 2012 – 2016</w:t>
      </w:r>
      <w:r>
        <w:rPr>
          <w:rFonts w:ascii="Arial" w:hAnsi="Arial" w:cs="Arial"/>
          <w:b/>
          <w:sz w:val="24"/>
          <w:szCs w:val="24"/>
        </w:rPr>
        <w:t xml:space="preserve">  </w:t>
      </w:r>
      <w:hyperlink r:id="rId79" w:history="1">
        <w:r w:rsidRPr="005C3015">
          <w:rPr>
            <w:rStyle w:val="Hyperlink"/>
            <w:rFonts w:ascii="Arial" w:hAnsi="Arial" w:cs="Arial"/>
            <w:sz w:val="20"/>
            <w:szCs w:val="20"/>
          </w:rPr>
          <w:t>http://www.islavici.ro/articol.php?id=106&amp;menuid=115</w:t>
        </w:r>
      </w:hyperlink>
      <w:r w:rsidRPr="005C3015">
        <w:rPr>
          <w:rFonts w:ascii="Arial" w:hAnsi="Arial" w:cs="Arial"/>
          <w:sz w:val="20"/>
          <w:szCs w:val="20"/>
        </w:rPr>
        <w:t xml:space="preserve"> </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Palanul strategic este realizat pe obiectiv general-obiective punctuale si actiuni.</w:t>
      </w:r>
    </w:p>
    <w:p w:rsidR="00FE7DCF" w:rsidRPr="002E6486" w:rsidRDefault="00FE7DCF" w:rsidP="000C6A67">
      <w:pPr>
        <w:spacing w:after="0" w:line="240" w:lineRule="auto"/>
        <w:jc w:val="both"/>
        <w:rPr>
          <w:rFonts w:ascii="Arial" w:hAnsi="Arial" w:cs="Arial"/>
          <w:sz w:val="24"/>
          <w:szCs w:val="24"/>
        </w:rPr>
      </w:pPr>
      <w:r w:rsidRPr="002E6486">
        <w:rPr>
          <w:rFonts w:ascii="Arial" w:hAnsi="Arial" w:cs="Arial"/>
          <w:sz w:val="24"/>
          <w:szCs w:val="24"/>
        </w:rPr>
        <w:t xml:space="preserve">Universitatea  vizeaza la ” </w:t>
      </w:r>
      <w:r w:rsidRPr="002E6486">
        <w:rPr>
          <w:rFonts w:ascii="Arial" w:hAnsi="Arial" w:cs="Arial"/>
          <w:b/>
          <w:sz w:val="24"/>
          <w:szCs w:val="24"/>
        </w:rPr>
        <w:t>2.8. Obiective şi acţiuni privind relaţiile interne:</w:t>
      </w:r>
    </w:p>
    <w:p w:rsidR="00FE7DCF" w:rsidRPr="002E6486" w:rsidRDefault="00FE7DCF" w:rsidP="00445724">
      <w:pPr>
        <w:pStyle w:val="ListParagraph"/>
        <w:numPr>
          <w:ilvl w:val="0"/>
          <w:numId w:val="14"/>
        </w:numPr>
        <w:contextualSpacing/>
        <w:jc w:val="both"/>
        <w:rPr>
          <w:rFonts w:ascii="Arial" w:hAnsi="Arial" w:cs="Arial"/>
          <w:sz w:val="24"/>
          <w:szCs w:val="24"/>
        </w:rPr>
      </w:pPr>
      <w:r w:rsidRPr="002E6486">
        <w:rPr>
          <w:rFonts w:ascii="Arial" w:hAnsi="Arial" w:cs="Arial"/>
          <w:sz w:val="24"/>
          <w:szCs w:val="24"/>
        </w:rPr>
        <w:t>cultivarea de bune relaţii cu celelalte universităţi din Timişoara şi din ţară;</w:t>
      </w:r>
    </w:p>
    <w:p w:rsidR="00FE7DCF" w:rsidRPr="00AE6171" w:rsidRDefault="00FE7DCF" w:rsidP="00445724">
      <w:pPr>
        <w:pStyle w:val="ListParagraph"/>
        <w:numPr>
          <w:ilvl w:val="0"/>
          <w:numId w:val="14"/>
        </w:numPr>
        <w:contextualSpacing/>
        <w:jc w:val="both"/>
        <w:rPr>
          <w:rFonts w:ascii="Arial" w:hAnsi="Arial" w:cs="Arial"/>
          <w:sz w:val="24"/>
          <w:szCs w:val="24"/>
        </w:rPr>
      </w:pPr>
      <w:r w:rsidRPr="00AE6171">
        <w:rPr>
          <w:rFonts w:ascii="Arial" w:hAnsi="Arial" w:cs="Arial"/>
          <w:sz w:val="24"/>
          <w:szCs w:val="24"/>
        </w:rPr>
        <w:t>promovarea de bune relaţii cu Camera de Comerţ, Industrie şi Agricultură, precum şi cu</w:t>
      </w:r>
      <w:r w:rsidR="00AE6171">
        <w:rPr>
          <w:rFonts w:ascii="Arial" w:hAnsi="Arial" w:cs="Arial"/>
          <w:sz w:val="24"/>
          <w:szCs w:val="24"/>
        </w:rPr>
        <w:t xml:space="preserve"> </w:t>
      </w:r>
      <w:r w:rsidRPr="00AE6171">
        <w:rPr>
          <w:rFonts w:ascii="Arial" w:hAnsi="Arial" w:cs="Arial"/>
          <w:sz w:val="24"/>
          <w:szCs w:val="24"/>
        </w:rPr>
        <w:t xml:space="preserve">companiile care fiinţează în Timişoara, în judeţ, în regiune şi în ţară; </w:t>
      </w:r>
    </w:p>
    <w:p w:rsidR="00FE7DCF" w:rsidRPr="00911CFD" w:rsidRDefault="00FE7DCF" w:rsidP="00445724">
      <w:pPr>
        <w:pStyle w:val="ListParagraph"/>
        <w:numPr>
          <w:ilvl w:val="0"/>
          <w:numId w:val="14"/>
        </w:numPr>
        <w:contextualSpacing/>
        <w:jc w:val="both"/>
        <w:rPr>
          <w:rFonts w:ascii="Arial" w:hAnsi="Arial" w:cs="Arial"/>
          <w:sz w:val="24"/>
          <w:szCs w:val="24"/>
        </w:rPr>
      </w:pPr>
      <w:r w:rsidRPr="00911CFD">
        <w:rPr>
          <w:rFonts w:ascii="Arial" w:hAnsi="Arial" w:cs="Arial"/>
          <w:sz w:val="24"/>
          <w:szCs w:val="24"/>
        </w:rPr>
        <w:t>implicarea universităţii în stabilirea strategiei şi politicii municipale, judeţene, regionale</w:t>
      </w:r>
      <w:r w:rsidR="00911CFD" w:rsidRPr="00911CFD">
        <w:rPr>
          <w:rFonts w:ascii="Arial" w:hAnsi="Arial" w:cs="Arial"/>
          <w:sz w:val="24"/>
          <w:szCs w:val="24"/>
        </w:rPr>
        <w:t xml:space="preserve"> </w:t>
      </w:r>
      <w:r w:rsidRPr="00911CFD">
        <w:rPr>
          <w:rFonts w:ascii="Arial" w:hAnsi="Arial" w:cs="Arial"/>
          <w:sz w:val="24"/>
          <w:szCs w:val="24"/>
        </w:rPr>
        <w:t>şi naţionale referitoare la domeniile ei de competenţă;</w:t>
      </w:r>
    </w:p>
    <w:p w:rsidR="00FE7DCF" w:rsidRPr="002E6486" w:rsidRDefault="00FE7DCF" w:rsidP="00445724">
      <w:pPr>
        <w:pStyle w:val="ListParagraph"/>
        <w:numPr>
          <w:ilvl w:val="0"/>
          <w:numId w:val="14"/>
        </w:numPr>
        <w:contextualSpacing/>
        <w:jc w:val="both"/>
        <w:rPr>
          <w:rFonts w:ascii="Arial" w:hAnsi="Arial" w:cs="Arial"/>
          <w:sz w:val="24"/>
          <w:szCs w:val="24"/>
        </w:rPr>
      </w:pPr>
      <w:r w:rsidRPr="002E6486">
        <w:rPr>
          <w:rFonts w:ascii="Arial" w:hAnsi="Arial" w:cs="Arial"/>
          <w:sz w:val="24"/>
          <w:szCs w:val="24"/>
        </w:rPr>
        <w:t xml:space="preserve">cultivarea de bune relaţii cu liceele timişene şi cu </w:t>
      </w:r>
      <w:r w:rsidR="00911CFD">
        <w:rPr>
          <w:rFonts w:ascii="Arial" w:hAnsi="Arial" w:cs="Arial"/>
          <w:sz w:val="24"/>
          <w:szCs w:val="24"/>
        </w:rPr>
        <w:t>ISJ</w:t>
      </w:r>
      <w:r w:rsidRPr="002E6486">
        <w:rPr>
          <w:rFonts w:ascii="Arial" w:hAnsi="Arial" w:cs="Arial"/>
          <w:sz w:val="24"/>
          <w:szCs w:val="24"/>
        </w:rPr>
        <w:t xml:space="preserve"> Timiş;</w:t>
      </w:r>
    </w:p>
    <w:p w:rsidR="00FE7DCF" w:rsidRPr="002E6486" w:rsidRDefault="00FE7DCF" w:rsidP="00445724">
      <w:pPr>
        <w:pStyle w:val="ListParagraph"/>
        <w:numPr>
          <w:ilvl w:val="0"/>
          <w:numId w:val="14"/>
        </w:numPr>
        <w:contextualSpacing/>
        <w:jc w:val="both"/>
        <w:rPr>
          <w:rFonts w:ascii="Arial" w:hAnsi="Arial" w:cs="Arial"/>
          <w:sz w:val="24"/>
          <w:szCs w:val="24"/>
        </w:rPr>
      </w:pPr>
      <w:r w:rsidRPr="002E6486">
        <w:rPr>
          <w:rFonts w:ascii="Arial" w:hAnsi="Arial" w:cs="Arial"/>
          <w:sz w:val="24"/>
          <w:szCs w:val="24"/>
        </w:rPr>
        <w:t>cultivarea de bune relaţii cu Consiliul Judeţean Timiş, Consiliul Local Timişoara,</w:t>
      </w:r>
    </w:p>
    <w:p w:rsidR="00FE7DCF" w:rsidRPr="002E6486" w:rsidRDefault="00FE7DCF" w:rsidP="00445724">
      <w:pPr>
        <w:pStyle w:val="ListParagraph"/>
        <w:numPr>
          <w:ilvl w:val="0"/>
          <w:numId w:val="14"/>
        </w:numPr>
        <w:contextualSpacing/>
        <w:jc w:val="both"/>
        <w:rPr>
          <w:rFonts w:ascii="Arial" w:hAnsi="Arial" w:cs="Arial"/>
          <w:sz w:val="24"/>
          <w:szCs w:val="24"/>
        </w:rPr>
      </w:pPr>
      <w:r w:rsidRPr="002E6486">
        <w:rPr>
          <w:rFonts w:ascii="Arial" w:hAnsi="Arial" w:cs="Arial"/>
          <w:sz w:val="24"/>
          <w:szCs w:val="24"/>
        </w:rPr>
        <w:t>Primăria Timişoara şi Prefectura Timiş;</w:t>
      </w:r>
    </w:p>
    <w:p w:rsidR="00FE7DCF" w:rsidRPr="002E6486" w:rsidRDefault="00FE7DCF" w:rsidP="00445724">
      <w:pPr>
        <w:pStyle w:val="ListParagraph"/>
        <w:numPr>
          <w:ilvl w:val="0"/>
          <w:numId w:val="14"/>
        </w:numPr>
        <w:contextualSpacing/>
        <w:jc w:val="both"/>
        <w:rPr>
          <w:rFonts w:ascii="Arial" w:hAnsi="Arial" w:cs="Arial"/>
          <w:sz w:val="24"/>
          <w:szCs w:val="24"/>
        </w:rPr>
      </w:pPr>
      <w:r w:rsidRPr="002E6486">
        <w:rPr>
          <w:rFonts w:ascii="Arial" w:hAnsi="Arial" w:cs="Arial"/>
          <w:sz w:val="24"/>
          <w:szCs w:val="24"/>
        </w:rPr>
        <w:t>cultivarea de bune relaţii cu MECT şi cu alte foruri de importanţă notabilă.</w:t>
      </w:r>
    </w:p>
    <w:p w:rsidR="00FE7DCF" w:rsidRPr="00597FB2" w:rsidRDefault="00FE7DCF" w:rsidP="000C6A67">
      <w:pPr>
        <w:spacing w:after="0" w:line="240" w:lineRule="auto"/>
        <w:rPr>
          <w:rFonts w:ascii="Arial" w:hAnsi="Arial" w:cs="Arial"/>
          <w:b/>
          <w:sz w:val="24"/>
          <w:szCs w:val="24"/>
          <w:lang w:eastAsia="ro-RO"/>
        </w:rPr>
      </w:pPr>
    </w:p>
    <w:p w:rsidR="00FE7DCF" w:rsidRPr="00597FB2" w:rsidRDefault="00FE7DCF" w:rsidP="000C6A67">
      <w:pPr>
        <w:tabs>
          <w:tab w:val="left" w:pos="0"/>
        </w:tabs>
        <w:spacing w:after="0" w:line="240" w:lineRule="auto"/>
        <w:jc w:val="both"/>
        <w:rPr>
          <w:rFonts w:ascii="Arial" w:hAnsi="Arial" w:cs="Arial"/>
          <w:b/>
          <w:bCs/>
          <w:sz w:val="24"/>
          <w:szCs w:val="24"/>
        </w:rPr>
      </w:pPr>
      <w:r w:rsidRPr="00597FB2">
        <w:rPr>
          <w:rFonts w:ascii="Arial" w:hAnsi="Arial" w:cs="Arial"/>
          <w:b/>
          <w:bCs/>
          <w:sz w:val="24"/>
          <w:szCs w:val="24"/>
        </w:rPr>
        <w:t>4.3. Exemple de bună practică</w:t>
      </w:r>
    </w:p>
    <w:p w:rsidR="00FE7DCF" w:rsidRPr="004D0173" w:rsidRDefault="00FE7DCF" w:rsidP="000C6A67">
      <w:pPr>
        <w:spacing w:after="0" w:line="240" w:lineRule="auto"/>
        <w:ind w:left="1134" w:hanging="708"/>
        <w:jc w:val="both"/>
        <w:rPr>
          <w:rFonts w:ascii="Arial" w:hAnsi="Arial" w:cs="Arial"/>
          <w:bCs/>
          <w:i/>
          <w:sz w:val="24"/>
          <w:szCs w:val="24"/>
        </w:rPr>
      </w:pPr>
      <w:r w:rsidRPr="004D0173">
        <w:rPr>
          <w:rFonts w:ascii="Arial" w:hAnsi="Arial" w:cs="Arial"/>
          <w:bCs/>
          <w:i/>
          <w:sz w:val="24"/>
          <w:szCs w:val="24"/>
        </w:rPr>
        <w:t xml:space="preserve">4.3.1 Colaborarea cu învăţământul profesional şi tehnic - </w:t>
      </w:r>
    </w:p>
    <w:p w:rsidR="00FE7DCF" w:rsidRPr="004D0173" w:rsidRDefault="00FE7DCF" w:rsidP="000C6A67">
      <w:pPr>
        <w:tabs>
          <w:tab w:val="left" w:pos="720"/>
        </w:tabs>
        <w:spacing w:after="0" w:line="240" w:lineRule="auto"/>
        <w:ind w:left="1134" w:hanging="708"/>
        <w:jc w:val="both"/>
        <w:rPr>
          <w:rFonts w:ascii="Arial" w:hAnsi="Arial" w:cs="Arial"/>
          <w:i/>
          <w:sz w:val="24"/>
          <w:szCs w:val="24"/>
        </w:rPr>
      </w:pPr>
      <w:r w:rsidRPr="004D0173">
        <w:rPr>
          <w:rFonts w:ascii="Arial" w:hAnsi="Arial" w:cs="Arial"/>
          <w:i/>
          <w:sz w:val="24"/>
          <w:szCs w:val="24"/>
        </w:rPr>
        <w:t xml:space="preserve">4.3.2.Parteneriate ale universităţilor cu  mediul economic - </w:t>
      </w:r>
    </w:p>
    <w:p w:rsidR="00FE7DCF" w:rsidRPr="004D0173" w:rsidRDefault="00FE7DCF" w:rsidP="000C6A67">
      <w:pPr>
        <w:spacing w:after="0" w:line="240" w:lineRule="auto"/>
        <w:ind w:left="1134" w:hanging="708"/>
        <w:jc w:val="both"/>
        <w:rPr>
          <w:rFonts w:ascii="Arial" w:hAnsi="Arial" w:cs="Arial"/>
          <w:i/>
          <w:sz w:val="24"/>
          <w:szCs w:val="24"/>
        </w:rPr>
      </w:pPr>
      <w:r w:rsidRPr="004D0173">
        <w:rPr>
          <w:rFonts w:ascii="Arial" w:hAnsi="Arial" w:cs="Arial"/>
          <w:i/>
          <w:sz w:val="24"/>
          <w:szCs w:val="24"/>
        </w:rPr>
        <w:t xml:space="preserve">4.3.3. Oferta IS din regiune pentru formarea adulţilor - </w:t>
      </w:r>
    </w:p>
    <w:p w:rsidR="00FE7DCF" w:rsidRPr="004D0173" w:rsidRDefault="00FE7DCF" w:rsidP="000C6A67">
      <w:pPr>
        <w:spacing w:after="0" w:line="240" w:lineRule="auto"/>
        <w:ind w:left="1134" w:hanging="708"/>
        <w:jc w:val="both"/>
        <w:rPr>
          <w:rFonts w:ascii="Arial" w:hAnsi="Arial" w:cs="Arial"/>
          <w:i/>
          <w:sz w:val="24"/>
          <w:szCs w:val="24"/>
        </w:rPr>
      </w:pPr>
      <w:r w:rsidRPr="004D0173">
        <w:rPr>
          <w:rFonts w:ascii="Arial" w:hAnsi="Arial" w:cs="Arial"/>
          <w:i/>
          <w:sz w:val="24"/>
          <w:szCs w:val="24"/>
        </w:rPr>
        <w:t xml:space="preserve">4.3.4. Colaborări ale universităţilor  pentru sprijinirea dezvoltării regionale - </w:t>
      </w:r>
    </w:p>
    <w:p w:rsidR="00FE7DCF" w:rsidRPr="004D0173" w:rsidRDefault="00FE7DCF" w:rsidP="000C6A67">
      <w:pPr>
        <w:spacing w:after="0" w:line="240" w:lineRule="auto"/>
        <w:ind w:left="1134" w:hanging="708"/>
        <w:jc w:val="both"/>
        <w:rPr>
          <w:rFonts w:ascii="Arial" w:hAnsi="Arial" w:cs="Arial"/>
          <w:i/>
          <w:sz w:val="24"/>
          <w:szCs w:val="24"/>
        </w:rPr>
      </w:pPr>
      <w:r w:rsidRPr="004D0173">
        <w:rPr>
          <w:rFonts w:ascii="Arial" w:hAnsi="Arial" w:cs="Arial"/>
          <w:i/>
          <w:sz w:val="24"/>
          <w:szCs w:val="24"/>
        </w:rPr>
        <w:t xml:space="preserve">4.3.5. Mecanisme şi instrumente de corelare a ofertei educaţionale a  IS din regiune cu nevoile de dezvoltare socio-economică - </w:t>
      </w:r>
    </w:p>
    <w:p w:rsidR="00FE7DCF" w:rsidRDefault="00FE7DCF" w:rsidP="000C6A67">
      <w:pPr>
        <w:spacing w:after="0" w:line="240" w:lineRule="auto"/>
        <w:rPr>
          <w:rFonts w:ascii="Arial" w:hAnsi="Arial" w:cs="Arial"/>
          <w:sz w:val="24"/>
          <w:szCs w:val="24"/>
        </w:rPr>
      </w:pPr>
      <w:r w:rsidRPr="00AF028A">
        <w:rPr>
          <w:rFonts w:ascii="Arial" w:hAnsi="Arial" w:cs="Arial"/>
          <w:sz w:val="24"/>
          <w:szCs w:val="24"/>
        </w:rPr>
        <w:t xml:space="preserve">Universitatea Politehnica Timișoara în parteneriat cu </w:t>
      </w:r>
      <w:r>
        <w:rPr>
          <w:rFonts w:ascii="Arial" w:hAnsi="Arial" w:cs="Arial"/>
          <w:sz w:val="24"/>
          <w:szCs w:val="24"/>
        </w:rPr>
        <w:t>Asociația CRIO Vest au dezvoltat și implementat proiectul „</w:t>
      </w:r>
      <w:r w:rsidRPr="00AF028A">
        <w:rPr>
          <w:rFonts w:ascii="Arial" w:hAnsi="Arial" w:cs="Arial"/>
          <w:sz w:val="24"/>
          <w:szCs w:val="24"/>
        </w:rPr>
        <w:t>Orientarea programelor de studii pe realitatea economică regională, validarea acestora de către actorii economici şi dinamizarea relaţiei în tripleta universitate-student-companii, pentru un învăţămâ</w:t>
      </w:r>
      <w:r>
        <w:rPr>
          <w:rFonts w:ascii="Arial" w:hAnsi="Arial" w:cs="Arial"/>
          <w:sz w:val="24"/>
          <w:szCs w:val="24"/>
        </w:rPr>
        <w:t xml:space="preserve">nt superior tehnic performant „ </w:t>
      </w:r>
      <w:r w:rsidRPr="00AF028A">
        <w:rPr>
          <w:rFonts w:ascii="Arial" w:hAnsi="Arial" w:cs="Arial"/>
          <w:sz w:val="24"/>
          <w:szCs w:val="24"/>
        </w:rPr>
        <w:t>OVDIP,  cu valoarea de 2.151.800</w:t>
      </w:r>
      <w:r>
        <w:rPr>
          <w:rFonts w:ascii="Arial" w:hAnsi="Arial" w:cs="Arial"/>
          <w:sz w:val="24"/>
          <w:szCs w:val="24"/>
        </w:rPr>
        <w:t xml:space="preserve"> lei. </w:t>
      </w:r>
    </w:p>
    <w:p w:rsidR="00FE7DCF" w:rsidRDefault="00FE7DCF" w:rsidP="000C6A67">
      <w:pPr>
        <w:spacing w:after="0" w:line="240" w:lineRule="auto"/>
        <w:rPr>
          <w:rFonts w:ascii="Arial" w:hAnsi="Arial" w:cs="Arial"/>
          <w:sz w:val="24"/>
          <w:szCs w:val="24"/>
        </w:rPr>
      </w:pPr>
      <w:r>
        <w:rPr>
          <w:rFonts w:ascii="Arial" w:hAnsi="Arial" w:cs="Arial"/>
          <w:sz w:val="24"/>
          <w:szCs w:val="24"/>
        </w:rPr>
        <w:t xml:space="preserve">Cooperarea a vizat </w:t>
      </w:r>
    </w:p>
    <w:p w:rsidR="00FE7DCF" w:rsidRDefault="00FE7DCF" w:rsidP="00445724">
      <w:pPr>
        <w:pStyle w:val="ListParagraph"/>
        <w:numPr>
          <w:ilvl w:val="0"/>
          <w:numId w:val="14"/>
        </w:numPr>
        <w:rPr>
          <w:rFonts w:ascii="Arial" w:hAnsi="Arial" w:cs="Arial"/>
          <w:sz w:val="24"/>
          <w:szCs w:val="24"/>
        </w:rPr>
      </w:pPr>
      <w:r w:rsidRPr="00AF028A">
        <w:rPr>
          <w:rFonts w:ascii="Arial" w:hAnsi="Arial" w:cs="Arial"/>
          <w:sz w:val="24"/>
          <w:szCs w:val="24"/>
        </w:rPr>
        <w:t xml:space="preserve">Consolidarea cooperării dintre universitate si mediul de afaceri - vizând inovarea in pregătirea resurselor umane, cu adaptabilitate/flexibilitate într-o economie competitiva </w:t>
      </w:r>
    </w:p>
    <w:p w:rsidR="00FE7DCF" w:rsidRDefault="00FE7DCF" w:rsidP="00445724">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lang w:val="ro-RO"/>
        </w:rPr>
      </w:pPr>
      <w:r w:rsidRPr="00AF028A">
        <w:rPr>
          <w:rFonts w:ascii="Arial" w:hAnsi="Arial" w:cs="Arial"/>
          <w:sz w:val="24"/>
          <w:szCs w:val="24"/>
          <w:lang w:val="ro-RO"/>
        </w:rPr>
        <w:lastRenderedPageBreak/>
        <w:t xml:space="preserve">Creșterea relevantei ofertei învățământului superior la cerințele mediului economic prin intervenții sistemice, prin validarea ofertei prin feedback de către mediul economic </w:t>
      </w:r>
    </w:p>
    <w:p w:rsidR="00FE7DCF" w:rsidRDefault="00FE7DCF" w:rsidP="00445724">
      <w:pPr>
        <w:pStyle w:val="ListParagraph"/>
        <w:numPr>
          <w:ilvl w:val="0"/>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lang w:val="ro-RO"/>
        </w:rPr>
      </w:pPr>
      <w:r w:rsidRPr="00AF028A">
        <w:rPr>
          <w:rFonts w:ascii="Arial" w:hAnsi="Arial" w:cs="Arial"/>
          <w:sz w:val="24"/>
          <w:szCs w:val="24"/>
          <w:lang w:val="ro-RO"/>
        </w:rPr>
        <w:t>Creșterea si facilitarea accesului la educația universitara prin promovarea de programe susținute de companiile relevante pentru dezvoltarea economica.</w:t>
      </w:r>
    </w:p>
    <w:p w:rsidR="00FE7DCF" w:rsidRDefault="00FE7DCF" w:rsidP="00E530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hAnsi="Arial" w:cs="Arial"/>
          <w:sz w:val="24"/>
          <w:szCs w:val="24"/>
        </w:rPr>
      </w:pPr>
      <w:r>
        <w:rPr>
          <w:rFonts w:ascii="Arial" w:hAnsi="Arial" w:cs="Arial"/>
          <w:sz w:val="24"/>
          <w:szCs w:val="24"/>
        </w:rPr>
        <w:t>Pe parcursul celor 2 ani de implementare s-au obținut următoarele rezultate:</w:t>
      </w:r>
    </w:p>
    <w:p w:rsidR="00FE7DCF" w:rsidRPr="00AF028A" w:rsidRDefault="00FE7DCF" w:rsidP="00E530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Arial" w:hAnsi="Arial" w:cs="Arial"/>
          <w:sz w:val="24"/>
          <w:szCs w:val="24"/>
        </w:rPr>
      </w:pPr>
      <w:r>
        <w:rPr>
          <w:rFonts w:ascii="Arial" w:hAnsi="Arial" w:cs="Arial"/>
          <w:b/>
          <w:sz w:val="24"/>
          <w:szCs w:val="24"/>
        </w:rPr>
        <w:t xml:space="preserve">S-a elaborat în parteneriat un </w:t>
      </w:r>
      <w:r w:rsidRPr="00AF028A">
        <w:rPr>
          <w:rFonts w:ascii="Arial" w:hAnsi="Arial" w:cs="Arial"/>
          <w:b/>
          <w:sz w:val="24"/>
          <w:szCs w:val="24"/>
        </w:rPr>
        <w:t>Studiul</w:t>
      </w:r>
      <w:r w:rsidR="00597FB2">
        <w:rPr>
          <w:rFonts w:ascii="Arial" w:hAnsi="Arial" w:cs="Arial"/>
          <w:b/>
          <w:sz w:val="24"/>
          <w:szCs w:val="24"/>
        </w:rPr>
        <w:t xml:space="preserve"> </w:t>
      </w:r>
      <w:r w:rsidRPr="00AF028A">
        <w:rPr>
          <w:rFonts w:ascii="Arial" w:hAnsi="Arial" w:cs="Arial"/>
          <w:b/>
          <w:sz w:val="24"/>
          <w:szCs w:val="24"/>
        </w:rPr>
        <w:t>privind Modelul de parteneriat și rețeaua consolidată</w:t>
      </w:r>
      <w:r>
        <w:rPr>
          <w:rFonts w:ascii="Arial" w:hAnsi="Arial" w:cs="Arial"/>
          <w:b/>
          <w:sz w:val="24"/>
          <w:szCs w:val="24"/>
        </w:rPr>
        <w:t xml:space="preserve"> cu parteneri oparatori economici. </w:t>
      </w:r>
      <w:r w:rsidRPr="00AF028A">
        <w:rPr>
          <w:rFonts w:ascii="Arial" w:hAnsi="Arial" w:cs="Arial"/>
          <w:sz w:val="24"/>
          <w:szCs w:val="24"/>
        </w:rPr>
        <w:t>Studiul are trei capitole, și anexe, care includ Rapoartele de progres, instrumentele de monitorizare și modelele de partene</w:t>
      </w:r>
      <w:r>
        <w:rPr>
          <w:rFonts w:ascii="Arial" w:hAnsi="Arial" w:cs="Arial"/>
          <w:sz w:val="24"/>
          <w:szCs w:val="24"/>
        </w:rPr>
        <w:t xml:space="preserve">riat inclusiv acodurile semnate dintre universitate si companiile partenere ( peste 40 de companii investigate) </w:t>
      </w:r>
    </w:p>
    <w:p w:rsidR="00FE7DCF" w:rsidRPr="00AF028A" w:rsidRDefault="00FE7DCF" w:rsidP="00E53080">
      <w:pPr>
        <w:spacing w:after="0" w:line="240" w:lineRule="auto"/>
        <w:jc w:val="both"/>
        <w:rPr>
          <w:rFonts w:ascii="Arial" w:hAnsi="Arial" w:cs="Arial"/>
          <w:sz w:val="24"/>
          <w:szCs w:val="24"/>
          <w:lang w:eastAsia="ro-RO"/>
        </w:rPr>
      </w:pPr>
      <w:r>
        <w:rPr>
          <w:rFonts w:ascii="Arial" w:hAnsi="Arial" w:cs="Arial"/>
          <w:b/>
          <w:sz w:val="24"/>
          <w:szCs w:val="24"/>
          <w:lang w:eastAsia="ro-RO"/>
        </w:rPr>
        <w:t>Au fost inchaieta acorduri bilaterale</w:t>
      </w:r>
      <w:r w:rsidRPr="00AF028A">
        <w:rPr>
          <w:rFonts w:ascii="Arial" w:hAnsi="Arial" w:cs="Arial"/>
          <w:b/>
          <w:sz w:val="24"/>
          <w:szCs w:val="24"/>
          <w:lang w:eastAsia="ro-RO"/>
        </w:rPr>
        <w:t>,</w:t>
      </w:r>
      <w:r w:rsidRPr="00AF028A">
        <w:rPr>
          <w:rFonts w:ascii="Arial" w:hAnsi="Arial" w:cs="Arial"/>
          <w:sz w:val="24"/>
          <w:szCs w:val="24"/>
          <w:lang w:eastAsia="ro-RO"/>
        </w:rPr>
        <w:t xml:space="preserve"> ca fundamentare a rețelei de cooperare, inclusiv setul de proceduri de lucru agreate de membrii rețelei,</w:t>
      </w:r>
    </w:p>
    <w:p w:rsidR="00FE7DCF" w:rsidRPr="00AF028A" w:rsidRDefault="00FE7DCF" w:rsidP="00E53080">
      <w:pPr>
        <w:spacing w:after="0" w:line="240" w:lineRule="auto"/>
        <w:jc w:val="both"/>
        <w:rPr>
          <w:rFonts w:ascii="Arial" w:hAnsi="Arial" w:cs="Arial"/>
          <w:sz w:val="24"/>
          <w:szCs w:val="24"/>
          <w:lang w:eastAsia="ro-RO"/>
        </w:rPr>
      </w:pPr>
      <w:r>
        <w:rPr>
          <w:rFonts w:ascii="Arial" w:hAnsi="Arial" w:cs="Arial"/>
          <w:sz w:val="24"/>
          <w:szCs w:val="24"/>
          <w:lang w:eastAsia="ro-RO"/>
        </w:rPr>
        <w:t>Au fost sprijinite c</w:t>
      </w:r>
      <w:r w:rsidRPr="00AF028A">
        <w:rPr>
          <w:rFonts w:ascii="Arial" w:hAnsi="Arial" w:cs="Arial"/>
          <w:sz w:val="24"/>
          <w:szCs w:val="24"/>
          <w:lang w:eastAsia="ro-RO"/>
        </w:rPr>
        <w:t>ele șase echipe mixte care și-au asumat responsabilitatea revizuirii</w:t>
      </w:r>
      <w:r>
        <w:rPr>
          <w:rFonts w:ascii="Arial" w:hAnsi="Arial" w:cs="Arial"/>
          <w:sz w:val="24"/>
          <w:szCs w:val="24"/>
          <w:lang w:eastAsia="ro-RO"/>
        </w:rPr>
        <w:t xml:space="preserve"> programelor  de studii, echipa cu membrii din universitate și companiile partenere. </w:t>
      </w:r>
      <w:r w:rsidRPr="00AF028A">
        <w:rPr>
          <w:rFonts w:ascii="Arial" w:hAnsi="Arial" w:cs="Arial"/>
          <w:b/>
          <w:sz w:val="24"/>
          <w:szCs w:val="24"/>
          <w:lang w:eastAsia="ro-RO"/>
        </w:rPr>
        <w:t>Rezultatul final al procesului de revizure,</w:t>
      </w:r>
      <w:r w:rsidRPr="00AF028A">
        <w:rPr>
          <w:rFonts w:ascii="Arial" w:hAnsi="Arial" w:cs="Arial"/>
          <w:sz w:val="24"/>
          <w:szCs w:val="24"/>
          <w:lang w:eastAsia="ro-RO"/>
        </w:rPr>
        <w:t xml:space="preserve"> </w:t>
      </w:r>
      <w:r>
        <w:rPr>
          <w:rFonts w:ascii="Arial" w:hAnsi="Arial" w:cs="Arial"/>
          <w:sz w:val="24"/>
          <w:szCs w:val="24"/>
          <w:lang w:eastAsia="ro-RO"/>
        </w:rPr>
        <w:t xml:space="preserve">sunt </w:t>
      </w:r>
      <w:r w:rsidRPr="00AF028A">
        <w:rPr>
          <w:rFonts w:ascii="Arial" w:hAnsi="Arial" w:cs="Arial"/>
          <w:sz w:val="24"/>
          <w:szCs w:val="24"/>
          <w:lang w:eastAsia="ro-RO"/>
        </w:rPr>
        <w:t xml:space="preserve">cele șase studii de analiză a programelor, </w:t>
      </w:r>
      <w:r>
        <w:rPr>
          <w:rFonts w:ascii="Arial" w:hAnsi="Arial" w:cs="Arial"/>
          <w:sz w:val="24"/>
          <w:szCs w:val="24"/>
          <w:lang w:eastAsia="ro-RO"/>
        </w:rPr>
        <w:t xml:space="preserve">care </w:t>
      </w:r>
      <w:r w:rsidRPr="00AF028A">
        <w:rPr>
          <w:rFonts w:ascii="Arial" w:hAnsi="Arial" w:cs="Arial"/>
          <w:sz w:val="24"/>
          <w:szCs w:val="24"/>
          <w:lang w:eastAsia="ro-RO"/>
        </w:rPr>
        <w:t>a fost prezentat conducerii universităţii inclusiv pentru decizia de  propunere pentru acreditare ARACIS.</w:t>
      </w:r>
      <w:r>
        <w:rPr>
          <w:rFonts w:ascii="Arial" w:hAnsi="Arial" w:cs="Arial"/>
          <w:sz w:val="24"/>
          <w:szCs w:val="24"/>
          <w:lang w:eastAsia="ro-RO"/>
        </w:rPr>
        <w:t xml:space="preserve"> Programele reviuizte sunt aferente domeniilor </w:t>
      </w:r>
      <w:r w:rsidRPr="00AF028A">
        <w:rPr>
          <w:rFonts w:ascii="Arial" w:hAnsi="Arial" w:cs="Arial"/>
          <w:sz w:val="24"/>
          <w:szCs w:val="24"/>
          <w:lang w:eastAsia="ro-RO"/>
        </w:rPr>
        <w:t>1. Mecatronica si robotica,</w:t>
      </w:r>
      <w:r w:rsidRPr="005C3015">
        <w:rPr>
          <w:rFonts w:ascii="Arial" w:hAnsi="Arial" w:cs="Arial"/>
          <w:sz w:val="24"/>
          <w:szCs w:val="24"/>
          <w:lang w:eastAsia="ro-RO"/>
        </w:rPr>
        <w:t xml:space="preserve"> </w:t>
      </w:r>
      <w:r>
        <w:rPr>
          <w:rFonts w:ascii="Arial" w:hAnsi="Arial" w:cs="Arial"/>
          <w:sz w:val="24"/>
          <w:szCs w:val="24"/>
          <w:lang w:eastAsia="ro-RO"/>
        </w:rPr>
        <w:t xml:space="preserve"> </w:t>
      </w:r>
      <w:r w:rsidRPr="00AF028A">
        <w:rPr>
          <w:rFonts w:ascii="Arial" w:hAnsi="Arial" w:cs="Arial"/>
          <w:sz w:val="24"/>
          <w:szCs w:val="24"/>
          <w:lang w:eastAsia="ro-RO"/>
        </w:rPr>
        <w:t>2. Inginerie electronica si telecomunicatii,</w:t>
      </w:r>
      <w:r w:rsidRPr="005C3015">
        <w:rPr>
          <w:rFonts w:ascii="Arial" w:hAnsi="Arial" w:cs="Arial"/>
          <w:sz w:val="24"/>
          <w:szCs w:val="24"/>
          <w:lang w:eastAsia="ro-RO"/>
        </w:rPr>
        <w:t xml:space="preserve"> </w:t>
      </w:r>
      <w:r w:rsidRPr="00AF028A">
        <w:rPr>
          <w:rFonts w:ascii="Arial" w:hAnsi="Arial" w:cs="Arial"/>
          <w:sz w:val="24"/>
          <w:szCs w:val="24"/>
          <w:lang w:eastAsia="ro-RO"/>
        </w:rPr>
        <w:t>3. Calculatoare si tehnologia informatiei,</w:t>
      </w:r>
      <w:r w:rsidRPr="005C3015">
        <w:rPr>
          <w:rFonts w:ascii="Arial" w:hAnsi="Arial" w:cs="Arial"/>
          <w:sz w:val="24"/>
          <w:szCs w:val="24"/>
          <w:lang w:eastAsia="ro-RO"/>
        </w:rPr>
        <w:t xml:space="preserve"> </w:t>
      </w:r>
      <w:r w:rsidRPr="00AF028A">
        <w:rPr>
          <w:rFonts w:ascii="Arial" w:hAnsi="Arial" w:cs="Arial"/>
          <w:sz w:val="24"/>
          <w:szCs w:val="24"/>
          <w:lang w:eastAsia="ro-RO"/>
        </w:rPr>
        <w:t>4. Ingineria sistemelor,</w:t>
      </w:r>
      <w:r w:rsidRPr="005C3015">
        <w:rPr>
          <w:rFonts w:ascii="Arial" w:hAnsi="Arial" w:cs="Arial"/>
          <w:sz w:val="24"/>
          <w:szCs w:val="24"/>
          <w:lang w:eastAsia="ro-RO"/>
        </w:rPr>
        <w:t xml:space="preserve"> </w:t>
      </w:r>
      <w:r w:rsidRPr="00AF028A">
        <w:rPr>
          <w:rFonts w:ascii="Arial" w:hAnsi="Arial" w:cs="Arial"/>
          <w:sz w:val="24"/>
          <w:szCs w:val="24"/>
          <w:lang w:eastAsia="ro-RO"/>
        </w:rPr>
        <w:t>5. Inginerie electrica,</w:t>
      </w:r>
      <w:r w:rsidRPr="005C3015">
        <w:rPr>
          <w:rFonts w:ascii="Arial" w:hAnsi="Arial" w:cs="Arial"/>
          <w:sz w:val="24"/>
          <w:szCs w:val="24"/>
          <w:lang w:eastAsia="ro-RO"/>
        </w:rPr>
        <w:t xml:space="preserve"> </w:t>
      </w:r>
      <w:r w:rsidRPr="00AF028A">
        <w:rPr>
          <w:rFonts w:ascii="Arial" w:hAnsi="Arial" w:cs="Arial"/>
          <w:sz w:val="24"/>
          <w:szCs w:val="24"/>
          <w:lang w:eastAsia="ro-RO"/>
        </w:rPr>
        <w:t>6. Autovehicule rutiere;</w:t>
      </w:r>
      <w:r>
        <w:rPr>
          <w:rFonts w:ascii="Arial" w:hAnsi="Arial" w:cs="Arial"/>
          <w:sz w:val="24"/>
          <w:szCs w:val="24"/>
          <w:lang w:eastAsia="ro-RO"/>
        </w:rPr>
        <w:t xml:space="preserve"> - relevante pentru cererea economică regională </w:t>
      </w:r>
    </w:p>
    <w:p w:rsidR="00FE7DCF" w:rsidRPr="00AF028A" w:rsidRDefault="00FE7DCF" w:rsidP="00E53080">
      <w:pPr>
        <w:spacing w:after="0" w:line="240" w:lineRule="auto"/>
        <w:jc w:val="both"/>
        <w:rPr>
          <w:rFonts w:ascii="Arial" w:hAnsi="Arial" w:cs="Arial"/>
          <w:sz w:val="24"/>
          <w:szCs w:val="24"/>
        </w:rPr>
      </w:pPr>
      <w:r>
        <w:rPr>
          <w:rFonts w:ascii="Arial" w:hAnsi="Arial" w:cs="Arial"/>
          <w:b/>
          <w:sz w:val="24"/>
          <w:szCs w:val="24"/>
        </w:rPr>
        <w:t>În scopul dezvoltării, îmbunătățirii și promovării</w:t>
      </w:r>
      <w:r w:rsidRPr="00AF028A">
        <w:rPr>
          <w:rFonts w:ascii="Arial" w:hAnsi="Arial" w:cs="Arial"/>
          <w:b/>
          <w:sz w:val="24"/>
          <w:szCs w:val="24"/>
        </w:rPr>
        <w:t xml:space="preserve"> programelor de studii universitare care sustin dezvol</w:t>
      </w:r>
      <w:r>
        <w:rPr>
          <w:rFonts w:ascii="Arial" w:hAnsi="Arial" w:cs="Arial"/>
          <w:b/>
          <w:sz w:val="24"/>
          <w:szCs w:val="24"/>
        </w:rPr>
        <w:t xml:space="preserve">tarea culturii antreprenoriale  au fost dezvoltate și livrate module scurte, cu implicarea experților de la copaniile partenere. Pentru aceste activități </w:t>
      </w:r>
      <w:r w:rsidRPr="00AF028A">
        <w:rPr>
          <w:rFonts w:ascii="Arial" w:hAnsi="Arial" w:cs="Arial"/>
          <w:sz w:val="24"/>
          <w:szCs w:val="24"/>
        </w:rPr>
        <w:t xml:space="preserve">partenerul CRIO Vest a asigurat  conceperea și organizarea </w:t>
      </w:r>
      <w:r>
        <w:rPr>
          <w:rFonts w:ascii="Arial" w:hAnsi="Arial" w:cs="Arial"/>
          <w:sz w:val="24"/>
          <w:szCs w:val="24"/>
        </w:rPr>
        <w:t xml:space="preserve">împreună cu UPT, responsabil pentru promovare și multiplicare internă a rezultatelor. </w:t>
      </w:r>
      <w:r w:rsidRPr="00AF028A">
        <w:rPr>
          <w:rFonts w:ascii="Arial" w:hAnsi="Arial" w:cs="Arial"/>
          <w:sz w:val="24"/>
          <w:szCs w:val="24"/>
        </w:rPr>
        <w:t>Au fost planificate cinci „module scurte„, definite în urma acțiunii Busa de idei, care a vizat identificarea ofertelor companiilor partenere pentru sesiuni centrate pe competente care pot creste angajabilitatea absolventilor, cu accent pe spirit antreprenorial, leadership si competente transocupationale.</w:t>
      </w:r>
      <w:r>
        <w:rPr>
          <w:rFonts w:ascii="Arial" w:hAnsi="Arial" w:cs="Arial"/>
          <w:sz w:val="24"/>
          <w:szCs w:val="24"/>
        </w:rPr>
        <w:t xml:space="preserve"> Tematica modulelor a cuprins </w:t>
      </w:r>
      <w:r w:rsidRPr="00AF028A">
        <w:rPr>
          <w:rFonts w:ascii="Arial" w:hAnsi="Arial" w:cs="Arial"/>
          <w:sz w:val="24"/>
          <w:szCs w:val="24"/>
          <w:lang w:eastAsia="ro-RO"/>
        </w:rPr>
        <w:t>„Eficientizare prin creativitate”</w:t>
      </w:r>
      <w:r>
        <w:rPr>
          <w:rFonts w:ascii="Arial" w:hAnsi="Arial" w:cs="Arial"/>
          <w:sz w:val="24"/>
          <w:szCs w:val="24"/>
          <w:lang w:eastAsia="ro-RO"/>
        </w:rPr>
        <w:t xml:space="preserve">, </w:t>
      </w:r>
      <w:r w:rsidRPr="00AF028A">
        <w:rPr>
          <w:rFonts w:ascii="Arial" w:hAnsi="Arial" w:cs="Arial"/>
          <w:sz w:val="24"/>
          <w:szCs w:val="24"/>
          <w:lang w:eastAsia="ro-RO"/>
        </w:rPr>
        <w:t>Project Management Challenge- Life Reloaded</w:t>
      </w:r>
      <w:r>
        <w:rPr>
          <w:rFonts w:ascii="Arial" w:hAnsi="Arial" w:cs="Arial"/>
          <w:sz w:val="24"/>
          <w:szCs w:val="24"/>
          <w:lang w:eastAsia="ro-RO"/>
        </w:rPr>
        <w:t xml:space="preserve">, </w:t>
      </w:r>
      <w:r w:rsidRPr="00AF028A">
        <w:rPr>
          <w:rFonts w:ascii="Arial" w:hAnsi="Arial" w:cs="Arial"/>
          <w:sz w:val="24"/>
          <w:szCs w:val="24"/>
          <w:lang w:eastAsia="ro-RO"/>
        </w:rPr>
        <w:t>„Începe cu dreptul„-6 pași pentru succesul în carieră</w:t>
      </w:r>
      <w:r>
        <w:rPr>
          <w:rFonts w:ascii="Arial" w:hAnsi="Arial" w:cs="Arial"/>
          <w:sz w:val="24"/>
          <w:szCs w:val="24"/>
          <w:lang w:eastAsia="ro-RO"/>
        </w:rPr>
        <w:t xml:space="preserve">, </w:t>
      </w:r>
      <w:r w:rsidRPr="00AF028A">
        <w:rPr>
          <w:rFonts w:ascii="Arial" w:hAnsi="Arial" w:cs="Arial"/>
          <w:sz w:val="24"/>
          <w:szCs w:val="24"/>
          <w:lang w:eastAsia="ro-RO"/>
        </w:rPr>
        <w:t>„De la ideea la produs final„ – realizarea unui produs electronic,</w:t>
      </w:r>
      <w:r w:rsidRPr="005C3015">
        <w:rPr>
          <w:rFonts w:ascii="Arial" w:hAnsi="Arial" w:cs="Arial"/>
          <w:sz w:val="24"/>
          <w:szCs w:val="24"/>
          <w:lang w:eastAsia="ro-RO"/>
        </w:rPr>
        <w:t xml:space="preserve"> </w:t>
      </w:r>
      <w:r>
        <w:rPr>
          <w:rFonts w:ascii="Arial" w:hAnsi="Arial" w:cs="Arial"/>
          <w:sz w:val="24"/>
          <w:szCs w:val="24"/>
          <w:lang w:eastAsia="ro-RO"/>
        </w:rPr>
        <w:t xml:space="preserve"> și </w:t>
      </w:r>
      <w:r w:rsidRPr="00AF028A">
        <w:rPr>
          <w:rFonts w:ascii="Arial" w:hAnsi="Arial" w:cs="Arial"/>
          <w:sz w:val="24"/>
          <w:szCs w:val="24"/>
          <w:lang w:eastAsia="ro-RO"/>
        </w:rPr>
        <w:t>De la start la performață- antreprenoriat</w:t>
      </w:r>
      <w:r>
        <w:rPr>
          <w:rFonts w:ascii="Arial" w:hAnsi="Arial" w:cs="Arial"/>
          <w:sz w:val="24"/>
          <w:szCs w:val="24"/>
          <w:lang w:eastAsia="ro-RO"/>
        </w:rPr>
        <w:t xml:space="preserve">. </w:t>
      </w:r>
    </w:p>
    <w:p w:rsidR="00FE7DCF" w:rsidRDefault="00FE7DCF" w:rsidP="00E53080">
      <w:pPr>
        <w:spacing w:after="0" w:line="240" w:lineRule="auto"/>
        <w:jc w:val="both"/>
        <w:rPr>
          <w:rFonts w:ascii="Arial" w:hAnsi="Arial" w:cs="Arial"/>
          <w:sz w:val="24"/>
          <w:szCs w:val="24"/>
        </w:rPr>
      </w:pPr>
      <w:r>
        <w:rPr>
          <w:rFonts w:ascii="Arial" w:hAnsi="Arial" w:cs="Arial"/>
          <w:sz w:val="24"/>
          <w:szCs w:val="24"/>
        </w:rPr>
        <w:t xml:space="preserve">In cadrul </w:t>
      </w:r>
      <w:r w:rsidR="00911CFD">
        <w:rPr>
          <w:rFonts w:ascii="Arial" w:hAnsi="Arial" w:cs="Arial"/>
          <w:sz w:val="24"/>
          <w:szCs w:val="24"/>
        </w:rPr>
        <w:t>proiectului s-a realizat o largă</w:t>
      </w:r>
      <w:r>
        <w:rPr>
          <w:rFonts w:ascii="Arial" w:hAnsi="Arial" w:cs="Arial"/>
          <w:sz w:val="24"/>
          <w:szCs w:val="24"/>
        </w:rPr>
        <w:t xml:space="preserve"> campanie de promovare a ofertei UPT pentru absolvenți</w:t>
      </w:r>
      <w:r w:rsidR="00556768">
        <w:rPr>
          <w:rFonts w:ascii="Arial" w:hAnsi="Arial" w:cs="Arial"/>
          <w:sz w:val="24"/>
          <w:szCs w:val="24"/>
        </w:rPr>
        <w:t>i</w:t>
      </w:r>
      <w:r>
        <w:rPr>
          <w:rFonts w:ascii="Arial" w:hAnsi="Arial" w:cs="Arial"/>
          <w:sz w:val="24"/>
          <w:szCs w:val="24"/>
        </w:rPr>
        <w:t xml:space="preserve"> de liceu, care au fost încurajați pentru continuarea studiilor conform cerintelor pieței și aspiratiilor personale. </w:t>
      </w:r>
    </w:p>
    <w:p w:rsidR="00597FB2" w:rsidRDefault="00597FB2" w:rsidP="00E53080">
      <w:pPr>
        <w:spacing w:after="0" w:line="240" w:lineRule="auto"/>
        <w:jc w:val="both"/>
        <w:rPr>
          <w:rFonts w:ascii="Arial" w:hAnsi="Arial" w:cs="Arial"/>
          <w:sz w:val="24"/>
          <w:szCs w:val="24"/>
        </w:rPr>
      </w:pPr>
      <w:r>
        <w:rPr>
          <w:rFonts w:ascii="Arial" w:hAnsi="Arial" w:cs="Arial"/>
          <w:sz w:val="24"/>
          <w:szCs w:val="24"/>
        </w:rPr>
        <w:t xml:space="preserve">Acest proiect implementat în colaborare a generat alte intervenții inovatoare, dintre amintim proiectul TRIALOG, cu finantare din programul Erasmus+, cu coordonarea CRIO Vest. </w:t>
      </w:r>
    </w:p>
    <w:p w:rsidR="00FE7DCF" w:rsidRPr="002E6486" w:rsidRDefault="00FE7DCF" w:rsidP="00E53080">
      <w:pPr>
        <w:spacing w:after="0" w:line="240" w:lineRule="auto"/>
        <w:jc w:val="both"/>
        <w:rPr>
          <w:rFonts w:ascii="Arial" w:hAnsi="Arial" w:cs="Arial"/>
          <w:sz w:val="24"/>
          <w:szCs w:val="24"/>
        </w:rPr>
      </w:pPr>
    </w:p>
    <w:p w:rsidR="00FE7DCF" w:rsidRPr="00DD5F85" w:rsidRDefault="00FE7DCF" w:rsidP="000C6A67">
      <w:pPr>
        <w:spacing w:after="0" w:line="240" w:lineRule="auto"/>
        <w:rPr>
          <w:rFonts w:ascii="Arial" w:hAnsi="Arial" w:cs="Arial"/>
          <w:b/>
          <w:sz w:val="24"/>
          <w:szCs w:val="24"/>
          <w:lang w:eastAsia="ro-RO"/>
        </w:rPr>
      </w:pPr>
    </w:p>
    <w:sectPr w:rsidR="00FE7DCF" w:rsidRPr="00DD5F85" w:rsidSect="00272CA6">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3D41" w:rsidRDefault="00DC3D41" w:rsidP="00E45322">
      <w:pPr>
        <w:spacing w:after="0" w:line="240" w:lineRule="auto"/>
      </w:pPr>
      <w:r>
        <w:separator/>
      </w:r>
    </w:p>
  </w:endnote>
  <w:endnote w:type="continuationSeparator" w:id="0">
    <w:p w:rsidR="00DC3D41" w:rsidRDefault="00DC3D41" w:rsidP="00E45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w:altName w:val="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AllerRegular">
    <w:altName w:val="Times New Roman"/>
    <w:panose1 w:val="00000000000000000000"/>
    <w:charset w:val="00"/>
    <w:family w:val="roman"/>
    <w:notTrueType/>
    <w:pitch w:val="default"/>
  </w:font>
  <w:font w:name="Americana BT">
    <w:altName w:val="Courier New"/>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6380984"/>
      <w:docPartObj>
        <w:docPartGallery w:val="Page Numbers (Bottom of Page)"/>
        <w:docPartUnique/>
      </w:docPartObj>
    </w:sdtPr>
    <w:sdtEndPr/>
    <w:sdtContent>
      <w:p w:rsidR="0056611C" w:rsidRDefault="00DC3D41">
        <w:pPr>
          <w:pStyle w:val="Footer"/>
          <w:jc w:val="center"/>
        </w:pPr>
        <w:r>
          <w:fldChar w:fldCharType="begin"/>
        </w:r>
        <w:r>
          <w:instrText>PAGE   \* MERGEFORMAT</w:instrText>
        </w:r>
        <w:r>
          <w:fldChar w:fldCharType="separate"/>
        </w:r>
        <w:r w:rsidR="005A44AF">
          <w:rPr>
            <w:noProof/>
          </w:rPr>
          <w:t>10</w:t>
        </w:r>
        <w:r>
          <w:rPr>
            <w:noProof/>
          </w:rPr>
          <w:fldChar w:fldCharType="end"/>
        </w:r>
      </w:p>
    </w:sdtContent>
  </w:sdt>
  <w:p w:rsidR="0056611C" w:rsidRDefault="005661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901178"/>
      <w:docPartObj>
        <w:docPartGallery w:val="Page Numbers (Bottom of Page)"/>
        <w:docPartUnique/>
      </w:docPartObj>
    </w:sdtPr>
    <w:sdtEndPr/>
    <w:sdtContent>
      <w:p w:rsidR="0056611C" w:rsidRDefault="00DC3D41">
        <w:pPr>
          <w:pStyle w:val="Footer"/>
          <w:jc w:val="center"/>
        </w:pPr>
        <w:r>
          <w:fldChar w:fldCharType="begin"/>
        </w:r>
        <w:r>
          <w:instrText xml:space="preserve"> PAGE   \* MERGEFORMAT </w:instrText>
        </w:r>
        <w:r>
          <w:fldChar w:fldCharType="separate"/>
        </w:r>
        <w:r w:rsidR="005A44AF">
          <w:rPr>
            <w:noProof/>
          </w:rPr>
          <w:t>21</w:t>
        </w:r>
        <w:r>
          <w:rPr>
            <w:noProof/>
          </w:rPr>
          <w:fldChar w:fldCharType="end"/>
        </w:r>
      </w:p>
    </w:sdtContent>
  </w:sdt>
  <w:p w:rsidR="0056611C" w:rsidRDefault="0056611C">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3D41" w:rsidRDefault="00DC3D41" w:rsidP="00E45322">
      <w:pPr>
        <w:spacing w:after="0" w:line="240" w:lineRule="auto"/>
      </w:pPr>
      <w:r>
        <w:separator/>
      </w:r>
    </w:p>
  </w:footnote>
  <w:footnote w:type="continuationSeparator" w:id="0">
    <w:p w:rsidR="00DC3D41" w:rsidRDefault="00DC3D41" w:rsidP="00E45322">
      <w:pPr>
        <w:spacing w:after="0" w:line="240" w:lineRule="auto"/>
      </w:pPr>
      <w:r>
        <w:continuationSeparator/>
      </w:r>
    </w:p>
  </w:footnote>
  <w:footnote w:id="1">
    <w:p w:rsidR="005A44AF" w:rsidRDefault="005A44AF" w:rsidP="005A44AF">
      <w:pPr>
        <w:pStyle w:val="FootnoteText"/>
        <w:rPr>
          <w:lang w:val="pt-BR"/>
        </w:rPr>
      </w:pPr>
      <w:r>
        <w:rPr>
          <w:rStyle w:val="FootnoteReference"/>
        </w:rPr>
        <w:footnoteRef/>
      </w:r>
      <w:r>
        <w:rPr>
          <w:lang w:val="pt-BR"/>
        </w:rPr>
        <w:t xml:space="preserve"> Termenul „planificare strategică” este utilizat cu semnificaţia de  „prognoză” pe termen mediu de 5 – 7 ani a ofertei IPT realizată în contextul modelului propus de CNDIPT.</w:t>
      </w:r>
    </w:p>
  </w:footnote>
  <w:footnote w:id="2">
    <w:p w:rsidR="0056611C" w:rsidRPr="00AF7443" w:rsidRDefault="0056611C" w:rsidP="00DD2534">
      <w:pPr>
        <w:pStyle w:val="FootnoteText"/>
        <w:jc w:val="both"/>
        <w:rPr>
          <w:rFonts w:ascii="Arial" w:hAnsi="Arial" w:cs="Arial"/>
          <w:sz w:val="18"/>
          <w:szCs w:val="18"/>
        </w:rPr>
      </w:pPr>
      <w:r w:rsidRPr="006511FB">
        <w:rPr>
          <w:rStyle w:val="FootnoteReference"/>
          <w:rFonts w:ascii="Times New Roman" w:hAnsi="Times New Roman"/>
        </w:rPr>
        <w:footnoteRef/>
      </w:r>
      <w:r w:rsidRPr="006511FB">
        <w:rPr>
          <w:rFonts w:ascii="Times New Roman" w:hAnsi="Times New Roman"/>
        </w:rPr>
        <w:t xml:space="preserve"> </w:t>
      </w:r>
      <w:r w:rsidRPr="00AF7443">
        <w:rPr>
          <w:rFonts w:ascii="Arial" w:hAnsi="Arial" w:cs="Arial"/>
          <w:sz w:val="18"/>
          <w:szCs w:val="18"/>
        </w:rPr>
        <w:t>Față de nivelul de referință de 69% la momentul adoptării Strategiei EFP</w:t>
      </w:r>
    </w:p>
  </w:footnote>
  <w:footnote w:id="3">
    <w:p w:rsidR="0056611C" w:rsidRPr="00AF7443" w:rsidRDefault="0056611C" w:rsidP="00DD2534">
      <w:pPr>
        <w:pStyle w:val="FootnoteText"/>
        <w:jc w:val="both"/>
        <w:rPr>
          <w:rFonts w:ascii="Arial" w:hAnsi="Arial" w:cs="Arial"/>
          <w:sz w:val="18"/>
          <w:szCs w:val="18"/>
        </w:rPr>
      </w:pPr>
      <w:r w:rsidRPr="00AF7443">
        <w:rPr>
          <w:rStyle w:val="FootnoteReference"/>
          <w:rFonts w:ascii="Arial" w:hAnsi="Arial" w:cs="Arial"/>
          <w:sz w:val="18"/>
          <w:szCs w:val="18"/>
        </w:rPr>
        <w:footnoteRef/>
      </w:r>
      <w:r w:rsidRPr="00AF7443">
        <w:rPr>
          <w:rFonts w:ascii="Arial" w:hAnsi="Arial" w:cs="Arial"/>
          <w:sz w:val="18"/>
          <w:szCs w:val="18"/>
        </w:rPr>
        <w:t xml:space="preserve"> Prin definiția acceptată de UE încă din 2003 (Reuniunea miniștrilor educației în cadrul Consiliului UE din mai 2003), abandonul școlar timpuriu se referă la persoanele cu vârstă cuprinsă între 18 și 24 de ani care au absolvit cel mult învățământul secundar inferior și care nu-și continuă educația sau formarea profesională</w:t>
      </w:r>
    </w:p>
  </w:footnote>
  <w:footnote w:id="4">
    <w:p w:rsidR="0056611C" w:rsidRPr="00AF7443" w:rsidRDefault="0056611C" w:rsidP="00DD2534">
      <w:pPr>
        <w:pStyle w:val="FootnoteText"/>
        <w:jc w:val="both"/>
        <w:rPr>
          <w:rFonts w:ascii="Arial" w:hAnsi="Arial" w:cs="Arial"/>
          <w:sz w:val="18"/>
          <w:szCs w:val="18"/>
        </w:rPr>
      </w:pPr>
      <w:r w:rsidRPr="00AF7443">
        <w:rPr>
          <w:rStyle w:val="FootnoteReference"/>
          <w:rFonts w:ascii="Arial" w:hAnsi="Arial" w:cs="Arial"/>
          <w:sz w:val="18"/>
          <w:szCs w:val="18"/>
        </w:rPr>
        <w:footnoteRef/>
      </w:r>
      <w:r w:rsidRPr="00AF7443">
        <w:rPr>
          <w:rFonts w:ascii="Arial" w:hAnsi="Arial" w:cs="Arial"/>
          <w:sz w:val="18"/>
          <w:szCs w:val="18"/>
        </w:rPr>
        <w:t xml:space="preserve"> Față de nivelul de referință de 15% la momentul adoptării Strategiei EFP</w:t>
      </w:r>
    </w:p>
  </w:footnote>
  <w:footnote w:id="5">
    <w:p w:rsidR="0056611C" w:rsidRPr="00AF7443" w:rsidRDefault="0056611C" w:rsidP="00DD2534">
      <w:pPr>
        <w:pStyle w:val="FootnoteText"/>
        <w:jc w:val="both"/>
        <w:rPr>
          <w:rFonts w:ascii="Arial" w:hAnsi="Arial" w:cs="Arial"/>
          <w:sz w:val="18"/>
          <w:szCs w:val="18"/>
        </w:rPr>
      </w:pPr>
      <w:r w:rsidRPr="00AF7443">
        <w:rPr>
          <w:rStyle w:val="FootnoteReference"/>
          <w:rFonts w:ascii="Arial" w:hAnsi="Arial" w:cs="Arial"/>
          <w:sz w:val="18"/>
          <w:szCs w:val="18"/>
        </w:rPr>
        <w:footnoteRef/>
      </w:r>
      <w:r w:rsidRPr="00AF7443">
        <w:rPr>
          <w:rFonts w:ascii="Arial" w:hAnsi="Arial" w:cs="Arial"/>
          <w:sz w:val="18"/>
          <w:szCs w:val="18"/>
        </w:rPr>
        <w:t xml:space="preserve"> Față de nivelul de referință de 31% la momentul adoptării Strategiei EFP</w:t>
      </w:r>
    </w:p>
  </w:footnote>
  <w:footnote w:id="6">
    <w:p w:rsidR="0056611C" w:rsidRPr="00AF7443" w:rsidRDefault="0056611C" w:rsidP="00DD2534">
      <w:pPr>
        <w:autoSpaceDE w:val="0"/>
        <w:autoSpaceDN w:val="0"/>
        <w:adjustRightInd w:val="0"/>
        <w:spacing w:after="0" w:line="240" w:lineRule="auto"/>
        <w:jc w:val="both"/>
        <w:rPr>
          <w:rFonts w:ascii="Arial" w:hAnsi="Arial" w:cs="Arial"/>
          <w:sz w:val="18"/>
          <w:szCs w:val="18"/>
        </w:rPr>
      </w:pPr>
      <w:r w:rsidRPr="00AF7443">
        <w:rPr>
          <w:rStyle w:val="FootnoteReference"/>
          <w:rFonts w:ascii="Arial" w:hAnsi="Arial" w:cs="Arial"/>
          <w:sz w:val="18"/>
          <w:szCs w:val="18"/>
        </w:rPr>
        <w:footnoteRef/>
      </w:r>
      <w:r w:rsidRPr="00AF7443">
        <w:rPr>
          <w:rFonts w:ascii="Arial" w:hAnsi="Arial" w:cs="Arial"/>
          <w:sz w:val="18"/>
          <w:szCs w:val="18"/>
        </w:rPr>
        <w:t xml:space="preserve"> Pragul național de sărăcie este stabilit la 60% din venitul median disponibil în fiecare stat membru</w:t>
      </w:r>
    </w:p>
  </w:footnote>
  <w:footnote w:id="7">
    <w:p w:rsidR="0056611C" w:rsidRPr="00AF7443" w:rsidRDefault="0056611C" w:rsidP="00DD2534">
      <w:pPr>
        <w:pStyle w:val="FootnoteText"/>
        <w:jc w:val="both"/>
        <w:rPr>
          <w:rFonts w:ascii="Arial" w:hAnsi="Arial" w:cs="Arial"/>
          <w:sz w:val="18"/>
          <w:szCs w:val="18"/>
        </w:rPr>
      </w:pPr>
      <w:r w:rsidRPr="00AF7443">
        <w:rPr>
          <w:rStyle w:val="FootnoteReference"/>
          <w:rFonts w:ascii="Arial" w:hAnsi="Arial" w:cs="Arial"/>
          <w:sz w:val="18"/>
          <w:szCs w:val="18"/>
        </w:rPr>
        <w:footnoteRef/>
      </w:r>
      <w:r w:rsidRPr="00AF7443">
        <w:rPr>
          <w:rFonts w:ascii="Arial" w:hAnsi="Arial" w:cs="Arial"/>
          <w:color w:val="000000"/>
          <w:sz w:val="18"/>
          <w:szCs w:val="18"/>
        </w:rPr>
        <w:t>Adică procentul din populația cu vârste cuprinse între 25 și 64 de ani care a participat la programe de educație și formare în cele patru săptămâni care au precedat ancheta (Eurostat, Studiul privind forța de muncă)</w:t>
      </w:r>
    </w:p>
  </w:footnote>
  <w:footnote w:id="8">
    <w:p w:rsidR="0056611C" w:rsidRPr="00AF7443" w:rsidRDefault="0056611C" w:rsidP="00DD2534">
      <w:pPr>
        <w:pStyle w:val="FootnoteText"/>
        <w:jc w:val="both"/>
        <w:rPr>
          <w:rFonts w:ascii="Arial" w:hAnsi="Arial" w:cs="Arial"/>
          <w:sz w:val="18"/>
          <w:szCs w:val="18"/>
        </w:rPr>
      </w:pPr>
      <w:r w:rsidRPr="00AF7443">
        <w:rPr>
          <w:rStyle w:val="FootnoteReference"/>
          <w:rFonts w:ascii="Arial" w:hAnsi="Arial" w:cs="Arial"/>
          <w:sz w:val="18"/>
          <w:szCs w:val="18"/>
        </w:rPr>
        <w:footnoteRef/>
      </w:r>
      <w:r w:rsidRPr="00AF7443">
        <w:rPr>
          <w:rFonts w:ascii="Arial" w:hAnsi="Arial" w:cs="Arial"/>
          <w:color w:val="000000"/>
          <w:sz w:val="18"/>
          <w:szCs w:val="18"/>
        </w:rPr>
        <w:t>Sursă: OCDE/PISA</w:t>
      </w:r>
    </w:p>
  </w:footnote>
  <w:footnote w:id="9">
    <w:p w:rsidR="0056611C" w:rsidRPr="00AF7443" w:rsidRDefault="0056611C" w:rsidP="00DD2534">
      <w:pPr>
        <w:pStyle w:val="FootnoteText"/>
        <w:jc w:val="both"/>
        <w:rPr>
          <w:rFonts w:ascii="Arial" w:hAnsi="Arial" w:cs="Arial"/>
          <w:sz w:val="18"/>
          <w:szCs w:val="18"/>
        </w:rPr>
      </w:pPr>
      <w:r w:rsidRPr="00AF7443">
        <w:rPr>
          <w:rStyle w:val="FootnoteReference"/>
          <w:rFonts w:ascii="Arial" w:hAnsi="Arial" w:cs="Arial"/>
          <w:sz w:val="18"/>
          <w:szCs w:val="18"/>
        </w:rPr>
        <w:footnoteRef/>
      </w:r>
      <w:r w:rsidRPr="00AF7443">
        <w:rPr>
          <w:rFonts w:ascii="Arial" w:hAnsi="Arial" w:cs="Arial"/>
          <w:sz w:val="18"/>
          <w:szCs w:val="18"/>
        </w:rPr>
        <w:t xml:space="preserve"> N</w:t>
      </w:r>
      <w:r w:rsidRPr="00AF7443">
        <w:rPr>
          <w:rFonts w:ascii="Arial" w:hAnsi="Arial" w:cs="Arial"/>
          <w:color w:val="000000"/>
          <w:sz w:val="18"/>
          <w:szCs w:val="18"/>
        </w:rPr>
        <w:t>ivelurile ISCED 5 și 6 (EUROSTAT, UOE)</w:t>
      </w:r>
    </w:p>
  </w:footnote>
  <w:footnote w:id="10">
    <w:p w:rsidR="0056611C" w:rsidRPr="00AF7443" w:rsidRDefault="0056611C" w:rsidP="00DD2534">
      <w:pPr>
        <w:pStyle w:val="FootnoteText"/>
        <w:jc w:val="both"/>
        <w:rPr>
          <w:rFonts w:ascii="Arial" w:hAnsi="Arial" w:cs="Arial"/>
          <w:sz w:val="18"/>
          <w:szCs w:val="18"/>
        </w:rPr>
      </w:pPr>
      <w:r w:rsidRPr="00AF7443">
        <w:rPr>
          <w:rStyle w:val="FootnoteReference"/>
          <w:rFonts w:ascii="Arial" w:hAnsi="Arial" w:cs="Arial"/>
          <w:sz w:val="18"/>
          <w:szCs w:val="18"/>
        </w:rPr>
        <w:footnoteRef/>
      </w:r>
      <w:r w:rsidRPr="00AF7443">
        <w:rPr>
          <w:rFonts w:ascii="Arial" w:hAnsi="Arial" w:cs="Arial"/>
          <w:color w:val="000000"/>
          <w:sz w:val="18"/>
          <w:szCs w:val="18"/>
        </w:rPr>
        <w:t>Adică procentul din populația cu vârste cuprinse între 18 și 24 de ani care au absolvit doar învățământul secundar inferior sau mai puțin și care nu mai sunt înscriși într-o instituție de învățământ sau de formare (Eurostat, Studiul privind forța de muncă)</w:t>
      </w:r>
    </w:p>
  </w:footnote>
  <w:footnote w:id="11">
    <w:p w:rsidR="0056611C" w:rsidRPr="00AF7443" w:rsidRDefault="0056611C" w:rsidP="00DD2534">
      <w:pPr>
        <w:pStyle w:val="CM1"/>
        <w:jc w:val="both"/>
        <w:rPr>
          <w:rFonts w:ascii="Arial" w:hAnsi="Arial" w:cs="Arial"/>
          <w:sz w:val="18"/>
          <w:szCs w:val="18"/>
          <w:lang w:val="ro-RO"/>
        </w:rPr>
      </w:pPr>
      <w:r w:rsidRPr="00AF7443">
        <w:rPr>
          <w:rStyle w:val="FootnoteReference"/>
          <w:rFonts w:ascii="Arial" w:hAnsi="Arial" w:cs="Arial"/>
          <w:sz w:val="18"/>
          <w:szCs w:val="18"/>
        </w:rPr>
        <w:footnoteRef/>
      </w:r>
      <w:r w:rsidRPr="00AF7443">
        <w:rPr>
          <w:rFonts w:ascii="Arial" w:hAnsi="Arial" w:cs="Arial"/>
          <w:sz w:val="18"/>
          <w:szCs w:val="18"/>
          <w:lang w:val="ro-RO"/>
        </w:rPr>
        <w:t xml:space="preserve"> Se referă la </w:t>
      </w:r>
      <w:r w:rsidRPr="00AF7443">
        <w:rPr>
          <w:rFonts w:ascii="Arial" w:hAnsi="Arial" w:cs="Arial"/>
          <w:color w:val="000000"/>
          <w:sz w:val="18"/>
          <w:szCs w:val="18"/>
          <w:lang w:val="ro-RO"/>
        </w:rPr>
        <w:t xml:space="preserve">absolvenții învățământului secundar superior (ISCED 3), </w:t>
      </w:r>
      <w:r w:rsidRPr="00AF7443">
        <w:rPr>
          <w:rFonts w:ascii="Arial" w:hAnsi="Arial" w:cs="Arial"/>
          <w:sz w:val="18"/>
          <w:szCs w:val="18"/>
          <w:lang w:val="ro-RO"/>
        </w:rPr>
        <w:t>terțiar nonuniversitar</w:t>
      </w:r>
      <w:r w:rsidRPr="00AF7443">
        <w:rPr>
          <w:rFonts w:ascii="Arial" w:hAnsi="Arial" w:cs="Arial"/>
          <w:color w:val="000000"/>
          <w:sz w:val="18"/>
          <w:szCs w:val="18"/>
          <w:lang w:val="ro-RO"/>
        </w:rPr>
        <w:t>(ISCED 4) și absolvenții învățământului terțiar (ISCED 5-6)</w:t>
      </w:r>
    </w:p>
  </w:footnote>
  <w:footnote w:id="12">
    <w:p w:rsidR="0056611C" w:rsidRPr="006511FB" w:rsidRDefault="0056611C" w:rsidP="00DD2534">
      <w:pPr>
        <w:pStyle w:val="CM1"/>
        <w:jc w:val="both"/>
        <w:rPr>
          <w:rFonts w:ascii="Times New Roman" w:hAnsi="Times New Roman"/>
          <w:sz w:val="20"/>
          <w:szCs w:val="20"/>
          <w:lang w:val="ro-RO"/>
        </w:rPr>
      </w:pPr>
      <w:r w:rsidRPr="006511FB">
        <w:rPr>
          <w:rStyle w:val="FootnoteReference"/>
          <w:rFonts w:ascii="Times New Roman" w:hAnsi="Times New Roman"/>
          <w:sz w:val="20"/>
          <w:szCs w:val="20"/>
        </w:rPr>
        <w:footnoteRef/>
      </w:r>
      <w:r w:rsidRPr="006511FB">
        <w:rPr>
          <w:rFonts w:ascii="Times New Roman" w:hAnsi="Times New Roman"/>
          <w:color w:val="000000"/>
          <w:sz w:val="20"/>
          <w:szCs w:val="20"/>
          <w:lang w:val="ro-RO"/>
        </w:rPr>
        <w:t>Măsurată ca proporția populației angajată cu vârste cuprinse între 20 și 34 de ani, care a absolvit în urmă cu 1, 2 și 3 ani și care nu este înscrisă în prezent în nici</w:t>
      </w:r>
      <w:r>
        <w:rPr>
          <w:rFonts w:ascii="Times New Roman" w:hAnsi="Times New Roman"/>
          <w:color w:val="000000"/>
          <w:sz w:val="20"/>
          <w:szCs w:val="20"/>
          <w:lang w:val="ro-RO"/>
        </w:rPr>
        <w:t xml:space="preserve"> </w:t>
      </w:r>
      <w:r w:rsidRPr="006511FB">
        <w:rPr>
          <w:rFonts w:ascii="Times New Roman" w:hAnsi="Times New Roman"/>
          <w:color w:val="000000"/>
          <w:sz w:val="20"/>
          <w:szCs w:val="20"/>
          <w:lang w:val="ro-RO"/>
        </w:rPr>
        <w:t>o altă activitate de educație și formare profesională.</w:t>
      </w:r>
    </w:p>
  </w:footnote>
  <w:footnote w:id="13">
    <w:p w:rsidR="0056611C" w:rsidRDefault="0056611C" w:rsidP="00FB4004">
      <w:pPr>
        <w:pStyle w:val="FootnoteText"/>
        <w:jc w:val="both"/>
        <w:rPr>
          <w:rFonts w:ascii="Times New Roman" w:hAnsi="Times New Roman"/>
          <w:lang w:val="fr-FR"/>
        </w:rPr>
      </w:pPr>
      <w:r>
        <w:rPr>
          <w:rStyle w:val="FootnoteReference"/>
          <w:rFonts w:ascii="Times New Roman" w:hAnsi="Times New Roman"/>
        </w:rPr>
        <w:footnoteRef/>
      </w:r>
      <w:r>
        <w:rPr>
          <w:rFonts w:ascii="Times New Roman" w:hAnsi="Times New Roman"/>
        </w:rPr>
        <w:t xml:space="preserve"> Sursa: Eurostat (date online, code</w:t>
      </w:r>
      <w:r>
        <w:rPr>
          <w:rFonts w:ascii="Times New Roman" w:hAnsi="Times New Roman"/>
          <w:lang w:val="fr-FR"/>
        </w:rPr>
        <w:t xml:space="preserve">: </w:t>
      </w:r>
      <w:r>
        <w:rPr>
          <w:rFonts w:ascii="Times New Roman" w:hAnsi="Times New Roman"/>
          <w:i/>
          <w:iCs/>
        </w:rPr>
        <w:t>t2020_40</w:t>
      </w:r>
      <w:r>
        <w:rPr>
          <w:rFonts w:ascii="Times New Roman" w:hAnsi="Times New Roman"/>
          <w:lang w:val="fr-FR"/>
        </w:rPr>
        <w:t>)</w:t>
      </w:r>
    </w:p>
  </w:footnote>
  <w:footnote w:id="14">
    <w:p w:rsidR="0056611C" w:rsidRDefault="0056611C" w:rsidP="00FB4004">
      <w:pPr>
        <w:pStyle w:val="Heading2"/>
        <w:spacing w:before="0" w:line="240" w:lineRule="auto"/>
        <w:jc w:val="both"/>
        <w:rPr>
          <w:rFonts w:ascii="Times New Roman" w:hAnsi="Times New Roman"/>
          <w:b w:val="0"/>
          <w:color w:val="auto"/>
          <w:sz w:val="20"/>
          <w:szCs w:val="20"/>
          <w:lang w:val="fr-FR"/>
        </w:rPr>
      </w:pPr>
      <w:r>
        <w:rPr>
          <w:rStyle w:val="FootnoteReference"/>
          <w:rFonts w:ascii="Times New Roman" w:hAnsi="Times New Roman"/>
          <w:b w:val="0"/>
          <w:color w:val="auto"/>
          <w:sz w:val="20"/>
          <w:szCs w:val="20"/>
        </w:rPr>
        <w:footnoteRef/>
      </w:r>
      <w:r>
        <w:rPr>
          <w:rFonts w:ascii="Times New Roman" w:hAnsi="Times New Roman"/>
          <w:b w:val="0"/>
          <w:color w:val="auto"/>
          <w:sz w:val="20"/>
          <w:szCs w:val="20"/>
        </w:rPr>
        <w:t xml:space="preserve"> Sursa: Eurostat (date online, code</w:t>
      </w:r>
      <w:r>
        <w:rPr>
          <w:rFonts w:ascii="Times New Roman" w:hAnsi="Times New Roman"/>
          <w:b w:val="0"/>
          <w:color w:val="auto"/>
          <w:sz w:val="20"/>
          <w:szCs w:val="20"/>
          <w:lang w:val="fr-FR"/>
        </w:rPr>
        <w:t>:</w:t>
      </w:r>
      <w:r>
        <w:rPr>
          <w:rStyle w:val="Heading1Char"/>
          <w:rFonts w:ascii="Times New Roman" w:hAnsi="Times New Roman"/>
          <w:color w:val="auto"/>
          <w:sz w:val="20"/>
          <w:szCs w:val="20"/>
          <w:lang w:val="fr-FR"/>
        </w:rPr>
        <w:t xml:space="preserve"> </w:t>
      </w:r>
      <w:r>
        <w:rPr>
          <w:rFonts w:ascii="Times New Roman" w:hAnsi="Times New Roman"/>
          <w:b w:val="0"/>
          <w:bCs w:val="0"/>
          <w:color w:val="auto"/>
          <w:sz w:val="20"/>
          <w:szCs w:val="20"/>
        </w:rPr>
        <w:t>t2020_41</w:t>
      </w:r>
      <w:r>
        <w:rPr>
          <w:rFonts w:ascii="Times New Roman" w:hAnsi="Times New Roman"/>
          <w:b w:val="0"/>
          <w:color w:val="auto"/>
          <w:sz w:val="20"/>
          <w:szCs w:val="20"/>
          <w:lang w:val="fr-FR"/>
        </w:rPr>
        <w:t>)</w:t>
      </w:r>
    </w:p>
  </w:footnote>
  <w:footnote w:id="15">
    <w:p w:rsidR="0056611C" w:rsidRPr="00016460" w:rsidRDefault="0056611C" w:rsidP="00FB4004">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Sursa: Education and Training Monitor 2014, conform OECD (PISA 2009 și 2012), se referă la</w:t>
      </w:r>
      <w:r w:rsidRPr="00016460">
        <w:rPr>
          <w:rFonts w:ascii="Times New Roman" w:hAnsi="Times New Roman"/>
        </w:rPr>
        <w:t xml:space="preserve"> persoane cu vârsta de 15 ani </w:t>
      </w:r>
    </w:p>
  </w:footnote>
  <w:footnote w:id="16">
    <w:p w:rsidR="0056611C" w:rsidRDefault="0056611C" w:rsidP="00FB4004">
      <w:pPr>
        <w:pStyle w:val="FootnoteText"/>
        <w:jc w:val="both"/>
        <w:rPr>
          <w:rFonts w:ascii="Times New Roman" w:hAnsi="Times New Roman"/>
        </w:rPr>
      </w:pPr>
      <w:r w:rsidRPr="00016460">
        <w:footnoteRef/>
      </w:r>
      <w:r>
        <w:rPr>
          <w:rFonts w:ascii="Times New Roman" w:hAnsi="Times New Roman"/>
        </w:rPr>
        <w:t xml:space="preserve"> Sursa: Eurostat (date online, code</w:t>
      </w:r>
      <w:r w:rsidRPr="00016460">
        <w:rPr>
          <w:rFonts w:ascii="Times New Roman" w:hAnsi="Times New Roman"/>
        </w:rPr>
        <w:t>: trng_lfs_13)</w:t>
      </w:r>
    </w:p>
  </w:footnote>
  <w:footnote w:id="17">
    <w:p w:rsidR="0056611C" w:rsidRDefault="0056611C" w:rsidP="00FB4004">
      <w:pPr>
        <w:pStyle w:val="FootnoteText"/>
        <w:jc w:val="both"/>
        <w:rPr>
          <w:rFonts w:ascii="Times New Roman" w:hAnsi="Times New Roman"/>
        </w:rPr>
      </w:pPr>
      <w:r>
        <w:rPr>
          <w:rStyle w:val="FootnoteReference"/>
          <w:rFonts w:ascii="Times New Roman" w:hAnsi="Times New Roman"/>
        </w:rPr>
        <w:footnoteRef/>
      </w:r>
      <w:r>
        <w:rPr>
          <w:rFonts w:ascii="Times New Roman" w:hAnsi="Times New Roman"/>
        </w:rPr>
        <w:t xml:space="preserve"> Sursa: Eurostat (date online, code</w:t>
      </w:r>
      <w:r>
        <w:rPr>
          <w:rFonts w:ascii="Times New Roman" w:hAnsi="Times New Roman"/>
          <w:lang w:val="fr-FR"/>
        </w:rPr>
        <w:t>:</w:t>
      </w:r>
      <w:r>
        <w:rPr>
          <w:rFonts w:ascii="Times New Roman" w:hAnsi="Times New Roman"/>
          <w:i/>
          <w:iCs/>
        </w:rPr>
        <w:t xml:space="preserve"> edat_lfse_32)</w:t>
      </w:r>
    </w:p>
  </w:footnote>
  <w:footnote w:id="18">
    <w:p w:rsidR="0056611C" w:rsidRDefault="0056611C" w:rsidP="00FB4004">
      <w:pPr>
        <w:pStyle w:val="Heading2"/>
        <w:spacing w:before="0" w:line="240" w:lineRule="auto"/>
        <w:jc w:val="both"/>
        <w:rPr>
          <w:rFonts w:ascii="Times New Roman" w:hAnsi="Times New Roman"/>
          <w:b w:val="0"/>
          <w:bCs w:val="0"/>
          <w:color w:val="auto"/>
          <w:sz w:val="20"/>
          <w:szCs w:val="20"/>
        </w:rPr>
      </w:pPr>
      <w:r>
        <w:rPr>
          <w:rStyle w:val="FootnoteReference"/>
          <w:rFonts w:ascii="Times New Roman" w:hAnsi="Times New Roman"/>
          <w:b w:val="0"/>
          <w:color w:val="auto"/>
          <w:sz w:val="20"/>
          <w:szCs w:val="20"/>
        </w:rPr>
        <w:footnoteRef/>
      </w:r>
      <w:r>
        <w:rPr>
          <w:rFonts w:ascii="Times New Roman" w:hAnsi="Times New Roman"/>
          <w:b w:val="0"/>
          <w:color w:val="auto"/>
          <w:sz w:val="20"/>
          <w:szCs w:val="20"/>
        </w:rPr>
        <w:t xml:space="preserve"> Sursa: Eurostat (date online, code</w:t>
      </w:r>
      <w:r>
        <w:rPr>
          <w:rFonts w:ascii="Times New Roman" w:hAnsi="Times New Roman"/>
          <w:b w:val="0"/>
          <w:color w:val="auto"/>
          <w:sz w:val="20"/>
          <w:szCs w:val="20"/>
          <w:lang w:val="fr-FR"/>
        </w:rPr>
        <w:t>:</w:t>
      </w:r>
      <w:r>
        <w:rPr>
          <w:rFonts w:ascii="Times New Roman" w:hAnsi="Times New Roman"/>
          <w:b w:val="0"/>
          <w:bCs w:val="0"/>
          <w:color w:val="auto"/>
          <w:sz w:val="20"/>
          <w:szCs w:val="20"/>
        </w:rPr>
        <w:t xml:space="preserve"> t2020_10</w:t>
      </w:r>
      <w:r>
        <w:rPr>
          <w:rFonts w:ascii="Times New Roman" w:hAnsi="Times New Roman"/>
          <w:b w:val="0"/>
          <w:color w:val="auto"/>
          <w:sz w:val="20"/>
          <w:szCs w:val="20"/>
          <w:lang w:val="fr-FR"/>
        </w:rPr>
        <w:t>)</w:t>
      </w:r>
    </w:p>
  </w:footnote>
  <w:footnote w:id="19">
    <w:p w:rsidR="0056611C" w:rsidRPr="006511FB" w:rsidRDefault="0056611C" w:rsidP="00DD2534">
      <w:pPr>
        <w:pStyle w:val="FootnoteText"/>
        <w:jc w:val="both"/>
        <w:rPr>
          <w:rFonts w:ascii="Times New Roman" w:hAnsi="Times New Roman"/>
        </w:rPr>
      </w:pPr>
      <w:r w:rsidRPr="006511FB">
        <w:rPr>
          <w:rStyle w:val="FootnoteReference"/>
          <w:rFonts w:ascii="Times New Roman" w:hAnsi="Times New Roman"/>
        </w:rPr>
        <w:footnoteRef/>
      </w:r>
      <w:r w:rsidRPr="006511FB">
        <w:rPr>
          <w:rFonts w:ascii="Times New Roman" w:hAnsi="Times New Roman"/>
        </w:rPr>
        <w:t xml:space="preserve"> </w:t>
      </w:r>
      <w:r w:rsidRPr="00096DAF">
        <w:rPr>
          <w:rFonts w:ascii="Times New Roman" w:hAnsi="Times New Roman"/>
        </w:rPr>
        <w:t>OECD 2016</w:t>
      </w:r>
      <w:r>
        <w:rPr>
          <w:rFonts w:ascii="Times New Roman" w:hAnsi="Times New Roman"/>
        </w:rPr>
        <w:t xml:space="preserve"> - </w:t>
      </w:r>
      <w:r w:rsidRPr="00096DAF">
        <w:rPr>
          <w:rFonts w:ascii="Times New Roman" w:hAnsi="Times New Roman"/>
        </w:rPr>
        <w:t>PISA 2015 Results (Volume I): Excelle</w:t>
      </w:r>
      <w:r>
        <w:rPr>
          <w:rFonts w:ascii="Times New Roman" w:hAnsi="Times New Roman"/>
        </w:rPr>
        <w:t xml:space="preserve">nce and Equity in Education </w:t>
      </w:r>
    </w:p>
  </w:footnote>
  <w:footnote w:id="20">
    <w:p w:rsidR="0056611C" w:rsidRPr="006511FB" w:rsidRDefault="0056611C" w:rsidP="00DD2534">
      <w:pPr>
        <w:pStyle w:val="FootnoteText"/>
        <w:rPr>
          <w:rFonts w:ascii="Times New Roman" w:hAnsi="Times New Roman"/>
        </w:rPr>
      </w:pPr>
      <w:r w:rsidRPr="006511FB">
        <w:rPr>
          <w:rStyle w:val="FootnoteReference"/>
          <w:rFonts w:ascii="Times New Roman" w:hAnsi="Times New Roman"/>
        </w:rPr>
        <w:footnoteRef/>
      </w:r>
      <w:r w:rsidRPr="006511FB">
        <w:rPr>
          <w:rFonts w:ascii="Times New Roman" w:hAnsi="Times New Roman"/>
        </w:rPr>
        <w:t xml:space="preserve">  Date actualizate pentru anul 2012, conf. Eurostat (date online, code</w:t>
      </w:r>
      <w:r w:rsidRPr="006511FB">
        <w:rPr>
          <w:rFonts w:ascii="Times New Roman" w:hAnsi="Times New Roman"/>
          <w:i/>
        </w:rPr>
        <w:t>:</w:t>
      </w:r>
      <w:r w:rsidRPr="00647048">
        <w:t xml:space="preserve"> </w:t>
      </w:r>
      <w:r w:rsidRPr="00647048">
        <w:rPr>
          <w:rFonts w:ascii="Times New Roman" w:hAnsi="Times New Roman"/>
          <w:i/>
          <w:iCs/>
        </w:rPr>
        <w:t>educ_uoe_enra13</w:t>
      </w:r>
      <w:r w:rsidRPr="006511FB">
        <w:rPr>
          <w:rFonts w:ascii="Times New Roman" w:hAnsi="Times New Roman"/>
        </w:rPr>
        <w:t>)</w:t>
      </w:r>
    </w:p>
  </w:footnote>
  <w:footnote w:id="21">
    <w:p w:rsidR="0056611C" w:rsidRPr="00D7350A" w:rsidRDefault="0056611C" w:rsidP="00FB4004">
      <w:pPr>
        <w:pStyle w:val="FootnoteText"/>
        <w:rPr>
          <w:sz w:val="16"/>
          <w:szCs w:val="16"/>
        </w:rPr>
      </w:pPr>
      <w:r w:rsidRPr="00D7350A">
        <w:rPr>
          <w:rStyle w:val="FootnoteReference"/>
          <w:sz w:val="16"/>
          <w:szCs w:val="16"/>
        </w:rPr>
        <w:footnoteRef/>
      </w:r>
      <w:r w:rsidRPr="00D7350A">
        <w:rPr>
          <w:sz w:val="16"/>
          <w:szCs w:val="16"/>
        </w:rPr>
        <w:t xml:space="preserve"> Pe baza datelor din prezentarea ADR Vest </w:t>
      </w:r>
      <w:hyperlink r:id="rId1" w:history="1">
        <w:r w:rsidRPr="00D7350A">
          <w:rPr>
            <w:rStyle w:val="Hyperlink"/>
            <w:sz w:val="16"/>
            <w:szCs w:val="16"/>
          </w:rPr>
          <w:t>http://www.adrvest.ro/attach_files/Prezentare%20planificare%202014-2020%20-%20tur%20regional%20.pdf</w:t>
        </w:r>
      </w:hyperlink>
    </w:p>
    <w:p w:rsidR="0056611C" w:rsidRPr="00BD2832" w:rsidRDefault="0056611C" w:rsidP="00FB4004">
      <w:pPr>
        <w:pStyle w:val="FootnoteText"/>
      </w:pPr>
    </w:p>
  </w:footnote>
  <w:footnote w:id="22">
    <w:p w:rsidR="0056611C" w:rsidRPr="006A158D" w:rsidRDefault="0056611C" w:rsidP="00FB4004">
      <w:pPr>
        <w:spacing w:after="0" w:line="240" w:lineRule="auto"/>
        <w:jc w:val="both"/>
        <w:rPr>
          <w:rFonts w:ascii="Times New Roman" w:hAnsi="Times New Roman"/>
          <w:b/>
          <w:sz w:val="16"/>
          <w:szCs w:val="16"/>
        </w:rPr>
      </w:pPr>
      <w:r w:rsidRPr="006A158D">
        <w:rPr>
          <w:rStyle w:val="FootnoteReference"/>
          <w:rFonts w:ascii="Times New Roman" w:hAnsi="Times New Roman"/>
          <w:sz w:val="16"/>
          <w:szCs w:val="16"/>
        </w:rPr>
        <w:footnoteRef/>
      </w:r>
      <w:r w:rsidRPr="006A158D">
        <w:rPr>
          <w:rFonts w:ascii="Times New Roman" w:hAnsi="Times New Roman"/>
          <w:sz w:val="16"/>
          <w:szCs w:val="16"/>
        </w:rPr>
        <w:t xml:space="preserve"> STRATEGIA DE DEZVOLTARE A JUDEȚULUI ARAD cu Planul de dezvoltare 2015-2020 in consultare din iulie 2015</w:t>
      </w:r>
    </w:p>
    <w:p w:rsidR="0056611C" w:rsidRPr="00880336" w:rsidRDefault="0056611C" w:rsidP="00FB4004">
      <w:pPr>
        <w:pStyle w:val="FootnoteText"/>
      </w:pPr>
    </w:p>
  </w:footnote>
  <w:footnote w:id="23">
    <w:p w:rsidR="0056611C" w:rsidRPr="008321AE" w:rsidRDefault="0056611C" w:rsidP="00FB4004">
      <w:pPr>
        <w:pStyle w:val="FootnoteText"/>
      </w:pPr>
      <w:r>
        <w:rPr>
          <w:rStyle w:val="FootnoteReference"/>
        </w:rPr>
        <w:footnoteRef/>
      </w:r>
      <w:r>
        <w:t xml:space="preserve"> </w:t>
      </w:r>
      <w:r w:rsidRPr="008321AE">
        <w:rPr>
          <w:rFonts w:ascii="Times New Roman" w:hAnsi="Times New Roman"/>
          <w:bCs/>
          <w:iCs/>
        </w:rPr>
        <w:t>Strategia de dezvoltare durabilă a judeţului Caraş-Severin 2015-2020 – http://www.cjcs.ro/data_files/strategii_de_dezvoltare/strategie_dezvoltare_2015.pdf</w:t>
      </w:r>
    </w:p>
  </w:footnote>
  <w:footnote w:id="24">
    <w:p w:rsidR="0056611C" w:rsidRPr="00247CCC" w:rsidRDefault="0056611C" w:rsidP="00FB4004">
      <w:pPr>
        <w:pStyle w:val="FootnoteText"/>
        <w:rPr>
          <w:rFonts w:ascii="Times New Roman" w:hAnsi="Times New Roman"/>
          <w:sz w:val="16"/>
          <w:szCs w:val="16"/>
        </w:rPr>
      </w:pPr>
      <w:r w:rsidRPr="00247CCC">
        <w:rPr>
          <w:rStyle w:val="FootnoteReference"/>
          <w:rFonts w:ascii="Times New Roman" w:hAnsi="Times New Roman"/>
          <w:sz w:val="16"/>
          <w:szCs w:val="16"/>
        </w:rPr>
        <w:footnoteRef/>
      </w:r>
      <w:r w:rsidRPr="00247CCC">
        <w:rPr>
          <w:rFonts w:ascii="Times New Roman" w:hAnsi="Times New Roman"/>
          <w:sz w:val="16"/>
          <w:szCs w:val="16"/>
        </w:rPr>
        <w:t xml:space="preserve">  JUDEȚUL HUNEDOARA Planul de Dezvoltare Regională 2014-2020 </w:t>
      </w:r>
      <w:hyperlink r:id="rId2" w:history="1">
        <w:r w:rsidRPr="00247CCC">
          <w:rPr>
            <w:rStyle w:val="Hyperlink"/>
            <w:rFonts w:ascii="Times New Roman" w:hAnsi="Times New Roman"/>
            <w:sz w:val="16"/>
            <w:szCs w:val="16"/>
          </w:rPr>
          <w:t>http://www.cjhunedoara.ro/documente/finantare%20UE/CD%20Antonela%20plan%20de%20dezvoltare/SDJ_HD_rev_26.05_N.pdf</w:t>
        </w:r>
      </w:hyperlink>
    </w:p>
    <w:p w:rsidR="0056611C" w:rsidRPr="009F61D1" w:rsidRDefault="0056611C" w:rsidP="00FB4004">
      <w:pPr>
        <w:pStyle w:val="FootnoteText"/>
      </w:pPr>
      <w:r>
        <w:t xml:space="preserve"> </w:t>
      </w:r>
    </w:p>
  </w:footnote>
  <w:footnote w:id="25">
    <w:p w:rsidR="0056611C" w:rsidRPr="009E1DCE" w:rsidRDefault="0056611C" w:rsidP="00FB4004">
      <w:pPr>
        <w:pStyle w:val="FootnoteText"/>
        <w:rPr>
          <w:rFonts w:ascii="Times New Roman" w:hAnsi="Times New Roman"/>
          <w:sz w:val="16"/>
          <w:szCs w:val="16"/>
        </w:rPr>
      </w:pPr>
      <w:r w:rsidRPr="009E1DCE">
        <w:rPr>
          <w:rStyle w:val="FootnoteReference"/>
          <w:rFonts w:ascii="Times New Roman" w:hAnsi="Times New Roman"/>
          <w:sz w:val="16"/>
          <w:szCs w:val="16"/>
        </w:rPr>
        <w:footnoteRef/>
      </w:r>
      <w:r w:rsidRPr="009E1DCE">
        <w:rPr>
          <w:rFonts w:ascii="Times New Roman" w:hAnsi="Times New Roman"/>
          <w:sz w:val="16"/>
          <w:szCs w:val="16"/>
        </w:rPr>
        <w:t xml:space="preserve"> Strategia de dezvoltare durabilă  a Municipiului Hunedoara2014-2020 </w:t>
      </w:r>
      <w:hyperlink r:id="rId3" w:history="1">
        <w:r w:rsidRPr="009E1DCE">
          <w:rPr>
            <w:rStyle w:val="Hyperlink"/>
            <w:rFonts w:ascii="Times New Roman" w:hAnsi="Times New Roman"/>
            <w:sz w:val="16"/>
            <w:szCs w:val="16"/>
          </w:rPr>
          <w:t>http://www.primariahd.ro/fisiere/pagini_fisiere/141/Strategia%20de%20dezvoltare%20a%20municipiului%20Hunedoara%202014-2020.pdf</w:t>
        </w:r>
      </w:hyperlink>
    </w:p>
    <w:p w:rsidR="0056611C" w:rsidRPr="009F61D1" w:rsidRDefault="0056611C" w:rsidP="00FB4004">
      <w:pPr>
        <w:pStyle w:val="FootnoteText"/>
      </w:pPr>
      <w:r>
        <w:t xml:space="preserve"> </w:t>
      </w:r>
    </w:p>
  </w:footnote>
  <w:footnote w:id="26">
    <w:p w:rsidR="0056611C" w:rsidRDefault="0056611C">
      <w:pPr>
        <w:pStyle w:val="FootnoteText"/>
      </w:pPr>
      <w:r>
        <w:rPr>
          <w:rStyle w:val="FootnoteReference"/>
        </w:rPr>
        <w:footnoteRef/>
      </w:r>
      <w:r>
        <w:t xml:space="preserve"> Datele la care se face referire în acest capitol se regăsesc în anexa </w:t>
      </w:r>
      <w:hyperlink r:id="rId4" w:history="1">
        <w:r w:rsidRPr="003E0C26">
          <w:rPr>
            <w:rStyle w:val="Hyperlink"/>
          </w:rPr>
          <w:t>„01 -DEMOGRAFIE” – pentru vizualizare clic aici</w:t>
        </w:r>
      </w:hyperlink>
    </w:p>
  </w:footnote>
  <w:footnote w:id="27">
    <w:p w:rsidR="0056611C" w:rsidRDefault="0056611C">
      <w:pPr>
        <w:pStyle w:val="FootnoteText"/>
      </w:pPr>
      <w:r>
        <w:rPr>
          <w:rStyle w:val="FootnoteReference"/>
        </w:rPr>
        <w:footnoteRef/>
      </w:r>
      <w:r>
        <w:t xml:space="preserve"> Datele la care se face referire în acest capitol se regăsesc în anexa </w:t>
      </w:r>
      <w:hyperlink r:id="rId5" w:history="1">
        <w:r w:rsidRPr="003E0C26">
          <w:rPr>
            <w:rStyle w:val="Hyperlink"/>
          </w:rPr>
          <w:t>„01 ECONOMIE” – pentru vizualizare clic aici</w:t>
        </w:r>
      </w:hyperlink>
    </w:p>
  </w:footnote>
  <w:footnote w:id="28">
    <w:p w:rsidR="0056611C" w:rsidRDefault="0056611C">
      <w:pPr>
        <w:pStyle w:val="FootnoteText"/>
      </w:pPr>
      <w:r>
        <w:rPr>
          <w:rStyle w:val="FootnoteReference"/>
        </w:rPr>
        <w:footnoteRef/>
      </w:r>
      <w:r>
        <w:t xml:space="preserve"> Datele la care se face referire în acest capitol se regăsesc în anexa </w:t>
      </w:r>
      <w:hyperlink r:id="rId6" w:history="1">
        <w:r w:rsidRPr="003E0C26">
          <w:rPr>
            <w:rStyle w:val="Hyperlink"/>
          </w:rPr>
          <w:t>„02 ECONOMIE” – pentru vizualizare clic aici</w:t>
        </w:r>
      </w:hyperlink>
    </w:p>
  </w:footnote>
  <w:footnote w:id="29">
    <w:p w:rsidR="0056611C" w:rsidRDefault="0056611C">
      <w:pPr>
        <w:pStyle w:val="FootnoteText"/>
      </w:pPr>
      <w:r>
        <w:rPr>
          <w:rStyle w:val="FootnoteReference"/>
        </w:rPr>
        <w:footnoteRef/>
      </w:r>
      <w:r>
        <w:t xml:space="preserve"> Datele la care se face referire în acest capitol se regăsesc în anexa </w:t>
      </w:r>
      <w:hyperlink r:id="rId7" w:history="1">
        <w:r w:rsidRPr="003E0C26">
          <w:rPr>
            <w:rStyle w:val="Hyperlink"/>
          </w:rPr>
          <w:t>„03 ECONOMIE” – pentru vizualizare clic aici</w:t>
        </w:r>
      </w:hyperlink>
    </w:p>
  </w:footnote>
  <w:footnote w:id="30">
    <w:p w:rsidR="0056611C" w:rsidRDefault="0056611C">
      <w:pPr>
        <w:pStyle w:val="FootnoteText"/>
      </w:pPr>
      <w:r>
        <w:rPr>
          <w:rStyle w:val="FootnoteReference"/>
        </w:rPr>
        <w:footnoteRef/>
      </w:r>
      <w:r>
        <w:t xml:space="preserve"> Datele la care se face referire în acest capitol se regăsesc în anexa </w:t>
      </w:r>
      <w:hyperlink r:id="rId8" w:history="1">
        <w:r w:rsidRPr="003E0C26">
          <w:rPr>
            <w:rStyle w:val="Hyperlink"/>
          </w:rPr>
          <w:t>„04 ECONOMIE” – pentru vizualizare clic aici</w:t>
        </w:r>
      </w:hyperlink>
    </w:p>
  </w:footnote>
  <w:footnote w:id="31">
    <w:p w:rsidR="0056611C" w:rsidRDefault="0056611C">
      <w:pPr>
        <w:pStyle w:val="FootnoteText"/>
      </w:pPr>
      <w:r>
        <w:rPr>
          <w:rStyle w:val="FootnoteReference"/>
        </w:rPr>
        <w:footnoteRef/>
      </w:r>
      <w:r>
        <w:t xml:space="preserve">Datele la care se face referire în acest capitol se regăsesc în anexa </w:t>
      </w:r>
      <w:hyperlink r:id="rId9" w:history="1">
        <w:r w:rsidRPr="003E0C26">
          <w:rPr>
            <w:rStyle w:val="Hyperlink"/>
          </w:rPr>
          <w:t>„05 Prognoza_profil_teritorial_mai</w:t>
        </w:r>
        <w:r w:rsidRPr="003E0C26">
          <w:rPr>
            <w:rStyle w:val="Hyperlink"/>
          </w:rPr>
          <w:softHyphen/>
          <w:t>_2016” – pentru vizualizare clic aici</w:t>
        </w:r>
      </w:hyperlink>
      <w:r>
        <w:t xml:space="preserve"> </w:t>
      </w:r>
    </w:p>
  </w:footnote>
  <w:footnote w:id="32">
    <w:p w:rsidR="0056611C" w:rsidRDefault="0056611C" w:rsidP="00DB3AFF">
      <w:pPr>
        <w:pStyle w:val="FootnoteText"/>
      </w:pPr>
      <w:r>
        <w:rPr>
          <w:rStyle w:val="FootnoteReference"/>
        </w:rPr>
        <w:footnoteRef/>
      </w:r>
      <w:r>
        <w:t xml:space="preserve"> Datele la care se face referire în acest capitol se regăsesc în anexa </w:t>
      </w:r>
      <w:hyperlink r:id="rId10" w:history="1">
        <w:r w:rsidRPr="003E0C26">
          <w:rPr>
            <w:rStyle w:val="Hyperlink"/>
          </w:rPr>
          <w:t xml:space="preserve">„3 a,b PIATA MUNCII” – pentru vizualizare clic </w:t>
        </w:r>
      </w:hyperlink>
    </w:p>
    <w:p w:rsidR="0056611C" w:rsidRDefault="0056611C" w:rsidP="00DB3AFF">
      <w:pPr>
        <w:pStyle w:val="FootnoteText"/>
      </w:pPr>
    </w:p>
  </w:footnote>
  <w:footnote w:id="33">
    <w:p w:rsidR="0056611C" w:rsidRDefault="0056611C">
      <w:pPr>
        <w:pStyle w:val="FootnoteText"/>
      </w:pPr>
      <w:r>
        <w:rPr>
          <w:rStyle w:val="FootnoteReference"/>
        </w:rPr>
        <w:footnoteRef/>
      </w:r>
      <w:r>
        <w:t xml:space="preserve"> Datele la care se face referire în acest capitol se regăsesc în anexa </w:t>
      </w:r>
      <w:hyperlink r:id="rId11" w:history="1">
        <w:r w:rsidRPr="003E0C26">
          <w:rPr>
            <w:rStyle w:val="Hyperlink"/>
          </w:rPr>
          <w:t>„3 a,b PIATA MUNCII” – pentru vizualizare clic aici</w:t>
        </w:r>
      </w:hyperlink>
    </w:p>
  </w:footnote>
  <w:footnote w:id="34">
    <w:p w:rsidR="0056611C" w:rsidRDefault="0056611C" w:rsidP="00DB6E0C">
      <w:pPr>
        <w:pStyle w:val="FootnoteText"/>
      </w:pPr>
      <w:r>
        <w:rPr>
          <w:rStyle w:val="FootnoteReference"/>
        </w:rPr>
        <w:footnoteRef/>
      </w:r>
      <w:r>
        <w:t xml:space="preserve"> Datele la care se face referire în acest capitol se regăsesc în anexa </w:t>
      </w:r>
      <w:hyperlink r:id="rId12" w:history="1">
        <w:r w:rsidRPr="003E0C26">
          <w:rPr>
            <w:rStyle w:val="Hyperlink"/>
          </w:rPr>
          <w:t>„3 h PIATA MUNCII” – pentru vizualizare clic aici</w:t>
        </w:r>
      </w:hyperlink>
    </w:p>
    <w:p w:rsidR="0056611C" w:rsidRDefault="0056611C">
      <w:pPr>
        <w:pStyle w:val="FootnoteText"/>
      </w:pPr>
    </w:p>
  </w:footnote>
  <w:footnote w:id="35">
    <w:p w:rsidR="0056611C" w:rsidRDefault="0056611C">
      <w:pPr>
        <w:pStyle w:val="FootnoteText"/>
      </w:pPr>
      <w:r>
        <w:rPr>
          <w:rStyle w:val="FootnoteReference"/>
        </w:rPr>
        <w:footnoteRef/>
      </w:r>
      <w:r>
        <w:t xml:space="preserve"> Datele la care se face referire în acest capitol se regăsesc în anexa </w:t>
      </w:r>
      <w:hyperlink r:id="rId13" w:history="1">
        <w:r w:rsidRPr="003E0C26">
          <w:rPr>
            <w:rStyle w:val="Hyperlink"/>
          </w:rPr>
          <w:t>„3 c PIATA MUNCII” – pentru vizualizare clic aici</w:t>
        </w:r>
      </w:hyperlink>
    </w:p>
  </w:footnote>
  <w:footnote w:id="36">
    <w:p w:rsidR="0056611C" w:rsidRDefault="0056611C">
      <w:pPr>
        <w:pStyle w:val="FootnoteText"/>
      </w:pPr>
      <w:r>
        <w:rPr>
          <w:rStyle w:val="FootnoteReference"/>
        </w:rPr>
        <w:footnoteRef/>
      </w:r>
      <w:r>
        <w:t xml:space="preserve"> Datele la care se face referire în acest capitol se regăsesc în anexa </w:t>
      </w:r>
      <w:hyperlink r:id="rId14" w:history="1">
        <w:r w:rsidRPr="003E0C26">
          <w:rPr>
            <w:rStyle w:val="Hyperlink"/>
          </w:rPr>
          <w:t>„3 d PIATA MUNCII” – pentru vizualizare clic aici</w:t>
        </w:r>
      </w:hyperlink>
    </w:p>
  </w:footnote>
  <w:footnote w:id="37">
    <w:p w:rsidR="0056611C" w:rsidRDefault="0056611C">
      <w:pPr>
        <w:pStyle w:val="FootnoteText"/>
      </w:pPr>
      <w:r>
        <w:rPr>
          <w:rStyle w:val="FootnoteReference"/>
        </w:rPr>
        <w:footnoteRef/>
      </w:r>
      <w:r>
        <w:t xml:space="preserve"> Datele la care se face referire în acest capitol se regăsesc în anexa </w:t>
      </w:r>
      <w:hyperlink r:id="rId15" w:history="1">
        <w:r w:rsidRPr="003E0C26">
          <w:rPr>
            <w:rStyle w:val="Hyperlink"/>
          </w:rPr>
          <w:t>„3 e PIATA MUNCII” – pentru vizualizare clic aici</w:t>
        </w:r>
      </w:hyperlink>
    </w:p>
  </w:footnote>
  <w:footnote w:id="38">
    <w:p w:rsidR="0056611C" w:rsidRDefault="0056611C">
      <w:pPr>
        <w:pStyle w:val="FootnoteText"/>
      </w:pPr>
      <w:r>
        <w:rPr>
          <w:rStyle w:val="FootnoteReference"/>
        </w:rPr>
        <w:footnoteRef/>
      </w:r>
      <w:r>
        <w:t xml:space="preserve">Datele la care se face referire în acest capitol se regăsesc în anexa </w:t>
      </w:r>
      <w:hyperlink r:id="rId16" w:history="1">
        <w:r w:rsidRPr="003E0C26">
          <w:rPr>
            <w:rStyle w:val="Hyperlink"/>
          </w:rPr>
          <w:t>„3 f PIATA MUNCII” – pentru vizualizare clic aici</w:t>
        </w:r>
      </w:hyperlink>
    </w:p>
  </w:footnote>
  <w:footnote w:id="39">
    <w:p w:rsidR="0056611C" w:rsidRDefault="0056611C">
      <w:pPr>
        <w:pStyle w:val="FootnoteText"/>
      </w:pPr>
      <w:r>
        <w:rPr>
          <w:rStyle w:val="FootnoteReference"/>
        </w:rPr>
        <w:footnoteRef/>
      </w:r>
      <w:r>
        <w:t xml:space="preserve"> Datele la care se face referire în acest capitol se regăsesc în anexa </w:t>
      </w:r>
      <w:hyperlink r:id="rId17" w:history="1">
        <w:r w:rsidRPr="003E0C26">
          <w:rPr>
            <w:rStyle w:val="Hyperlink"/>
          </w:rPr>
          <w:t>„3 f PIATA MUNCII” – pentru vizualizare clic aici</w:t>
        </w:r>
      </w:hyperlink>
    </w:p>
  </w:footnote>
  <w:footnote w:id="40">
    <w:p w:rsidR="0056611C" w:rsidRDefault="0056611C" w:rsidP="008F04D5">
      <w:pPr>
        <w:pStyle w:val="FootnoteText"/>
      </w:pPr>
      <w:r>
        <w:rPr>
          <w:rStyle w:val="FootnoteReference"/>
        </w:rPr>
        <w:footnoteRef/>
      </w:r>
      <w:r>
        <w:t xml:space="preserve"> Datele la care se face referire în acest capitol se regăsesc în anexa </w:t>
      </w:r>
      <w:hyperlink r:id="rId18" w:history="1">
        <w:r w:rsidRPr="003E0C26">
          <w:rPr>
            <w:rStyle w:val="Hyperlink"/>
          </w:rPr>
          <w:t>„3 g PIATA MUNCII” – pentru vizualizare clic aici</w:t>
        </w:r>
      </w:hyperlink>
    </w:p>
  </w:footnote>
  <w:footnote w:id="41">
    <w:p w:rsidR="0056611C" w:rsidRDefault="0056611C" w:rsidP="005763E2">
      <w:pPr>
        <w:pStyle w:val="FootnoteText"/>
      </w:pPr>
      <w:r>
        <w:rPr>
          <w:rStyle w:val="FootnoteReference"/>
        </w:rPr>
        <w:footnoteRef/>
      </w:r>
      <w:r>
        <w:t xml:space="preserve"> Datele la care se face referire în acest capitol se regăsesc în anexa </w:t>
      </w:r>
      <w:hyperlink r:id="rId19" w:history="1">
        <w:r w:rsidRPr="00E2017C">
          <w:rPr>
            <w:rStyle w:val="Hyperlink"/>
          </w:rPr>
          <w:t>„3 i Prognoza_profil_teritorial__mai</w:t>
        </w:r>
        <w:r w:rsidRPr="00E2017C">
          <w:rPr>
            <w:rStyle w:val="Hyperlink"/>
          </w:rPr>
          <w:softHyphen/>
          <w:t>_2016” – pentru vizualizare clic aici</w:t>
        </w:r>
      </w:hyperlink>
    </w:p>
  </w:footnote>
  <w:footnote w:id="42">
    <w:p w:rsidR="0056611C" w:rsidRDefault="0056611C">
      <w:pPr>
        <w:pStyle w:val="FootnoteText"/>
      </w:pPr>
      <w:r>
        <w:rPr>
          <w:rStyle w:val="FootnoteReference"/>
        </w:rPr>
        <w:footnoteRef/>
      </w:r>
      <w:r>
        <w:t xml:space="preserve"> Datele la care se face referire în acest capitol se regăsesc în anexa </w:t>
      </w:r>
      <w:hyperlink r:id="rId20" w:history="1">
        <w:r w:rsidRPr="00E2017C">
          <w:rPr>
            <w:rStyle w:val="Hyperlink"/>
          </w:rPr>
          <w:t>„3 i Prognoza_profil_teritorial_mai_2016” – pentru vizualizare clic aici</w:t>
        </w:r>
      </w:hyperlink>
    </w:p>
  </w:footnote>
  <w:footnote w:id="43">
    <w:p w:rsidR="0056611C" w:rsidRDefault="0056611C" w:rsidP="000C25BD">
      <w:pPr>
        <w:pStyle w:val="FootnoteText"/>
      </w:pPr>
      <w:r>
        <w:rPr>
          <w:rStyle w:val="FootnoteReference"/>
        </w:rPr>
        <w:footnoteRef/>
      </w:r>
      <w:r>
        <w:t xml:space="preserve"> Datele la care se face referire în acest capitol se regăsesc în anexa</w:t>
      </w:r>
      <w:hyperlink r:id="rId21" w:history="1">
        <w:r w:rsidRPr="00E2017C">
          <w:rPr>
            <w:rStyle w:val="Hyperlink"/>
          </w:rPr>
          <w:t xml:space="preserve"> „3 i Prognoza_profil_teritorial_mai_2016” – pentru vizualizare clic aici</w:t>
        </w:r>
      </w:hyperlink>
    </w:p>
    <w:p w:rsidR="0056611C" w:rsidRDefault="0056611C">
      <w:pPr>
        <w:pStyle w:val="FootnoteText"/>
      </w:pPr>
    </w:p>
  </w:footnote>
  <w:footnote w:id="44">
    <w:p w:rsidR="0056611C" w:rsidRPr="00396D5A" w:rsidRDefault="0056611C" w:rsidP="00010DF6">
      <w:pPr>
        <w:rPr>
          <w:rFonts w:ascii="Times New Roman" w:hAnsi="Times New Roman"/>
          <w:sz w:val="20"/>
          <w:szCs w:val="20"/>
        </w:rPr>
      </w:pPr>
      <w:r w:rsidRPr="00396D5A">
        <w:rPr>
          <w:rStyle w:val="FootnoteReference"/>
          <w:rFonts w:ascii="Times New Roman" w:hAnsi="Times New Roman"/>
          <w:sz w:val="20"/>
          <w:szCs w:val="20"/>
        </w:rPr>
        <w:footnoteRef/>
      </w:r>
      <w:r w:rsidRPr="00396D5A">
        <w:rPr>
          <w:rFonts w:ascii="Times New Roman" w:hAnsi="Times New Roman"/>
          <w:sz w:val="20"/>
          <w:szCs w:val="20"/>
        </w:rPr>
        <w:t xml:space="preserve"> Conform datelor din Anuarul Statistic, în 2009 populația ocupată în agricultură reprezenta aproape 30% din totalul populației ocupate în România, în condițiile în care acest sector  contribuie cu doar  cca.7% la valoarea adăugată brută realizată în economia națională. 40,5% dintre populația ocupată în agricultură este formată din lucrători familiali neremunerați, iar 53,5% din lucrători pe cont propriu. 20,1% erau cuprinși în grupa de vârstă 55-64 ani, iar 15,9% în grupa 65 de ani și peste.  </w:t>
      </w:r>
    </w:p>
    <w:p w:rsidR="0056611C" w:rsidRPr="00396D5A" w:rsidRDefault="0056611C" w:rsidP="00010DF6">
      <w:pPr>
        <w:pStyle w:val="FootnoteText"/>
      </w:pPr>
    </w:p>
  </w:footnote>
  <w:footnote w:id="45">
    <w:p w:rsidR="0056611C" w:rsidRDefault="0056611C">
      <w:pPr>
        <w:pStyle w:val="FootnoteText"/>
      </w:pPr>
      <w:r>
        <w:rPr>
          <w:rStyle w:val="FootnoteReference"/>
        </w:rPr>
        <w:footnoteRef/>
      </w:r>
      <w:r>
        <w:t xml:space="preserve"> Datele la care se face referire în acest capitol se regăsesc în anexa </w:t>
      </w:r>
      <w:hyperlink r:id="rId22" w:history="1">
        <w:r w:rsidRPr="00E2017C">
          <w:rPr>
            <w:rStyle w:val="Hyperlink"/>
          </w:rPr>
          <w:t>„01 Populaţia şcolară (INS)” – pentru vizualizare clic aici</w:t>
        </w:r>
      </w:hyperlink>
    </w:p>
  </w:footnote>
  <w:footnote w:id="46">
    <w:p w:rsidR="0056611C" w:rsidRDefault="0056611C">
      <w:pPr>
        <w:pStyle w:val="FootnoteText"/>
      </w:pPr>
      <w:r>
        <w:rPr>
          <w:rStyle w:val="FootnoteReference"/>
        </w:rPr>
        <w:footnoteRef/>
      </w:r>
      <w:r>
        <w:t xml:space="preserve">Datele la care se face referire în acest capitol se regăsesc în anexa </w:t>
      </w:r>
      <w:hyperlink r:id="rId23" w:history="1">
        <w:r w:rsidRPr="00E2017C">
          <w:rPr>
            <w:rStyle w:val="Hyperlink"/>
          </w:rPr>
          <w:t>„02 Gradul de cuprindere (INS)” – pentru vizualizare clic aici</w:t>
        </w:r>
      </w:hyperlink>
    </w:p>
  </w:footnote>
  <w:footnote w:id="47">
    <w:p w:rsidR="0056611C" w:rsidRDefault="0056611C">
      <w:pPr>
        <w:pStyle w:val="FootnoteText"/>
      </w:pPr>
      <w:r>
        <w:rPr>
          <w:rStyle w:val="FootnoteReference"/>
        </w:rPr>
        <w:footnoteRef/>
      </w:r>
      <w:r>
        <w:t>Datele la care se face referire în acest capitol se regăsesc în anexa</w:t>
      </w:r>
      <w:r w:rsidRPr="00DD619A">
        <w:t xml:space="preserve"> </w:t>
      </w:r>
      <w:hyperlink r:id="rId24" w:history="1">
        <w:r w:rsidRPr="00E2017C">
          <w:rPr>
            <w:rStyle w:val="Hyperlink"/>
          </w:rPr>
          <w:t>„03 Rata neta de cuprindere (INS)” – pentru vizualizare clic aici</w:t>
        </w:r>
      </w:hyperlink>
    </w:p>
  </w:footnote>
  <w:footnote w:id="48">
    <w:p w:rsidR="0056611C" w:rsidRDefault="0056611C">
      <w:pPr>
        <w:pStyle w:val="FootnoteText"/>
      </w:pPr>
      <w:r>
        <w:rPr>
          <w:rStyle w:val="FootnoteReference"/>
        </w:rPr>
        <w:footnoteRef/>
      </w:r>
      <w:r>
        <w:t xml:space="preserve"> Datele la care se face referire în acest capitol se regăsesc în anexa</w:t>
      </w:r>
      <w:r w:rsidRPr="00F94754">
        <w:t xml:space="preserve"> </w:t>
      </w:r>
      <w:hyperlink r:id="rId25" w:history="1">
        <w:r w:rsidRPr="00E2017C">
          <w:rPr>
            <w:rStyle w:val="Hyperlink"/>
          </w:rPr>
          <w:t>„04 Evoluţia elevilor IPT(INS)”– pentru vizualizare clic aici</w:t>
        </w:r>
      </w:hyperlink>
      <w:r>
        <w:t xml:space="preserve"> şi în anexa </w:t>
      </w:r>
      <w:hyperlink r:id="rId26" w:history="1">
        <w:r w:rsidRPr="00E2017C">
          <w:rPr>
            <w:rStyle w:val="Hyperlink"/>
          </w:rPr>
          <w:t>„05  Evoluţia elevilor IPT liceu , sc prof (INS)”– pentru vizualizare clic aici</w:t>
        </w:r>
      </w:hyperlink>
    </w:p>
  </w:footnote>
  <w:footnote w:id="49">
    <w:p w:rsidR="0056611C" w:rsidRPr="00DF67CA" w:rsidRDefault="0056611C">
      <w:pPr>
        <w:pStyle w:val="FootnoteText"/>
        <w:rPr>
          <w:lang w:val="en-US"/>
        </w:rPr>
      </w:pPr>
      <w:r>
        <w:rPr>
          <w:rStyle w:val="FootnoteReference"/>
        </w:rPr>
        <w:footnoteRef/>
      </w:r>
      <w:r>
        <w:t xml:space="preserve"> Datele la care se face referire în acest capitol se regăsesc în anexa</w:t>
      </w:r>
      <w:r w:rsidRPr="00F94754">
        <w:t xml:space="preserve"> </w:t>
      </w:r>
      <w:hyperlink r:id="rId27" w:history="1">
        <w:r w:rsidRPr="00E2017C">
          <w:rPr>
            <w:rStyle w:val="Hyperlink"/>
          </w:rPr>
          <w:t>„06 Evoluţia elevilor Înv. postliceal(INS)”– pentru vizualizare clic aici</w:t>
        </w:r>
      </w:hyperlink>
    </w:p>
  </w:footnote>
  <w:footnote w:id="50">
    <w:p w:rsidR="0056611C" w:rsidRDefault="0056611C">
      <w:pPr>
        <w:pStyle w:val="FootnoteText"/>
      </w:pPr>
      <w:r>
        <w:rPr>
          <w:rStyle w:val="FootnoteReference"/>
        </w:rPr>
        <w:footnoteRef/>
      </w:r>
      <w:r>
        <w:t xml:space="preserve"> Datele la care se face referire în acest capitol se regăsesc în anexa </w:t>
      </w:r>
      <w:hyperlink r:id="rId28" w:history="1">
        <w:r w:rsidRPr="00E2017C">
          <w:rPr>
            <w:rStyle w:val="Hyperlink"/>
          </w:rPr>
          <w:t>„07Oferta IPT înv. liceal zi 2016-2017” – pentru vizualizare clic</w:t>
        </w:r>
      </w:hyperlink>
      <w:r w:rsidRPr="00B12925">
        <w:t xml:space="preserve"> aici</w:t>
      </w:r>
      <w:r>
        <w:t xml:space="preserve"> şi în anexa </w:t>
      </w:r>
      <w:hyperlink r:id="rId29" w:history="1">
        <w:r w:rsidRPr="00E2017C">
          <w:rPr>
            <w:rStyle w:val="Hyperlink"/>
          </w:rPr>
          <w:t>„08 Oferta IPT înv. prof 2016-2017”- pentru vizualizare clic aici</w:t>
        </w:r>
      </w:hyperlink>
    </w:p>
  </w:footnote>
  <w:footnote w:id="51">
    <w:p w:rsidR="0056611C" w:rsidRPr="00DF67CA" w:rsidRDefault="0056611C" w:rsidP="00A010A5">
      <w:pPr>
        <w:pStyle w:val="FootnoteText"/>
        <w:rPr>
          <w:lang w:val="en-US"/>
        </w:rPr>
      </w:pPr>
      <w:r>
        <w:rPr>
          <w:rStyle w:val="FootnoteReference"/>
        </w:rPr>
        <w:footnoteRef/>
      </w:r>
      <w:r>
        <w:t xml:space="preserve"> Datele la care se face referire în acest capitol se regăsesc în anexa </w:t>
      </w:r>
      <w:hyperlink r:id="rId30" w:history="1">
        <w:r w:rsidRPr="00E2017C">
          <w:rPr>
            <w:rStyle w:val="Hyperlink"/>
          </w:rPr>
          <w:t>„09 Oferta IPT înv. postliceal 2016-2017” – pentru vizualizare clic aici</w:t>
        </w:r>
      </w:hyperlink>
    </w:p>
  </w:footnote>
  <w:footnote w:id="52">
    <w:p w:rsidR="0056611C" w:rsidRDefault="0056611C" w:rsidP="00A010A5">
      <w:pPr>
        <w:pStyle w:val="FootnoteText"/>
      </w:pPr>
      <w:r>
        <w:rPr>
          <w:rStyle w:val="FootnoteReference"/>
        </w:rPr>
        <w:footnoteRef/>
      </w:r>
      <w:r>
        <w:t xml:space="preserve"> Datele la care se face referire în acest capitol se regăsesc în anexa </w:t>
      </w:r>
      <w:hyperlink r:id="rId31" w:history="1">
        <w:r w:rsidRPr="00E2017C">
          <w:rPr>
            <w:rStyle w:val="Hyperlink"/>
          </w:rPr>
          <w:t>„10 Gradul de satisfacere a solicitărilor operatorilor  economici” – pentru vizualizare clic aici</w:t>
        </w:r>
      </w:hyperlink>
    </w:p>
  </w:footnote>
  <w:footnote w:id="53">
    <w:p w:rsidR="0056611C" w:rsidRDefault="0056611C">
      <w:pPr>
        <w:pStyle w:val="FootnoteText"/>
      </w:pPr>
      <w:r>
        <w:rPr>
          <w:rStyle w:val="FootnoteReference"/>
        </w:rPr>
        <w:footnoteRef/>
      </w:r>
      <w:r>
        <w:t xml:space="preserve"> Datele la care se face referire în acest capitol se regăsesc în anexa </w:t>
      </w:r>
      <w:hyperlink r:id="rId32" w:history="1">
        <w:r w:rsidRPr="00E2017C">
          <w:rPr>
            <w:rStyle w:val="Hyperlink"/>
          </w:rPr>
          <w:t>„11 Parteneriatul cu operatori economici” – pentru vizualizare clic aici</w:t>
        </w:r>
      </w:hyperlink>
    </w:p>
  </w:footnote>
  <w:footnote w:id="54">
    <w:p w:rsidR="0056611C" w:rsidRDefault="0056611C">
      <w:pPr>
        <w:pStyle w:val="FootnoteText"/>
      </w:pPr>
      <w:r>
        <w:rPr>
          <w:rStyle w:val="FootnoteReference"/>
        </w:rPr>
        <w:footnoteRef/>
      </w:r>
      <w:r>
        <w:t xml:space="preserve"> Datele la care se face referire în acest capitol se regăsesc în anexa </w:t>
      </w:r>
      <w:hyperlink r:id="rId33" w:history="1">
        <w:r w:rsidRPr="00E2017C">
          <w:rPr>
            <w:rStyle w:val="Hyperlink"/>
          </w:rPr>
          <w:t>„12 Unităţi IPT 2016-2017” – pentru vizualizare clic aici</w:t>
        </w:r>
      </w:hyperlink>
      <w:r>
        <w:t xml:space="preserve"> </w:t>
      </w:r>
    </w:p>
  </w:footnote>
  <w:footnote w:id="55">
    <w:p w:rsidR="0056611C" w:rsidRDefault="0056611C">
      <w:pPr>
        <w:pStyle w:val="FootnoteText"/>
      </w:pPr>
      <w:r>
        <w:rPr>
          <w:rStyle w:val="FootnoteReference"/>
        </w:rPr>
        <w:footnoteRef/>
      </w:r>
      <w:r>
        <w:t xml:space="preserve"> Datele la care se face referire în acest capitol se regăsesc în anexa </w:t>
      </w:r>
      <w:hyperlink r:id="rId34" w:history="1">
        <w:r w:rsidRPr="00E2017C">
          <w:rPr>
            <w:rStyle w:val="Hyperlink"/>
          </w:rPr>
          <w:t>„13 Ierarhizare scoli” – pentru vizualizare clic aici</w:t>
        </w:r>
      </w:hyperlink>
    </w:p>
  </w:footnote>
  <w:footnote w:id="56">
    <w:p w:rsidR="0056611C" w:rsidRDefault="0056611C">
      <w:pPr>
        <w:pStyle w:val="FootnoteText"/>
      </w:pPr>
      <w:r>
        <w:rPr>
          <w:rStyle w:val="FootnoteReference"/>
        </w:rPr>
        <w:footnoteRef/>
      </w:r>
      <w:r>
        <w:t xml:space="preserve"> Datele la care se face referire în acest capitol se regăsesc în anexa </w:t>
      </w:r>
      <w:hyperlink r:id="rId35" w:history="1">
        <w:r w:rsidRPr="00E2017C">
          <w:rPr>
            <w:rStyle w:val="Hyperlink"/>
          </w:rPr>
          <w:t>„14 Resurse umane” – pentru vizualizare clic aici</w:t>
        </w:r>
      </w:hyperlink>
    </w:p>
  </w:footnote>
  <w:footnote w:id="57">
    <w:p w:rsidR="0056611C" w:rsidRPr="005B6798" w:rsidRDefault="0056611C">
      <w:pPr>
        <w:pStyle w:val="FootnoteText"/>
        <w:rPr>
          <w:lang w:val="en-US"/>
        </w:rPr>
      </w:pPr>
      <w:r>
        <w:rPr>
          <w:rStyle w:val="FootnoteReference"/>
        </w:rPr>
        <w:footnoteRef/>
      </w:r>
      <w:r>
        <w:t xml:space="preserve"> Datele la care se face referire în acest capitol se regăsesc în anexa </w:t>
      </w:r>
      <w:hyperlink r:id="rId36" w:history="1">
        <w:r w:rsidRPr="00E2017C">
          <w:rPr>
            <w:rStyle w:val="Hyperlink"/>
          </w:rPr>
          <w:t>„15 Baza materiala” – pentru vizualizare clic aici</w:t>
        </w:r>
      </w:hyperlink>
    </w:p>
  </w:footnote>
  <w:footnote w:id="58">
    <w:p w:rsidR="0056611C" w:rsidRPr="005B6798" w:rsidRDefault="0056611C" w:rsidP="00B91DE3">
      <w:pPr>
        <w:pStyle w:val="FootnoteText"/>
        <w:rPr>
          <w:lang w:val="en-US"/>
        </w:rPr>
      </w:pPr>
      <w:r>
        <w:rPr>
          <w:rStyle w:val="FootnoteReference"/>
        </w:rPr>
        <w:footnoteRef/>
      </w:r>
      <w:r>
        <w:t xml:space="preserve"> Datele la care se face referire în acest capitol se regăsesc în anexa</w:t>
      </w:r>
      <w:r w:rsidRPr="00B91DE3">
        <w:t xml:space="preserve"> </w:t>
      </w:r>
      <w:hyperlink r:id="rId37" w:history="1">
        <w:r w:rsidRPr="00E2017C">
          <w:rPr>
            <w:rStyle w:val="Hyperlink"/>
          </w:rPr>
          <w:t>„ 16 Cheltuieli pentru educaţie” - pentru vizualizare clic aici</w:t>
        </w:r>
      </w:hyperlink>
    </w:p>
    <w:p w:rsidR="0056611C" w:rsidRDefault="0056611C">
      <w:pPr>
        <w:pStyle w:val="FootnoteText"/>
      </w:pPr>
    </w:p>
  </w:footnote>
  <w:footnote w:id="59">
    <w:p w:rsidR="0056611C" w:rsidRDefault="0056611C">
      <w:pPr>
        <w:pStyle w:val="FootnoteText"/>
      </w:pPr>
      <w:r>
        <w:rPr>
          <w:rStyle w:val="FootnoteReference"/>
        </w:rPr>
        <w:footnoteRef/>
      </w:r>
      <w:r>
        <w:t xml:space="preserve"> Datele la care se face referire în acest capitol se regăsesc în anexa </w:t>
      </w:r>
      <w:hyperlink r:id="rId38" w:history="1">
        <w:r w:rsidRPr="00E2017C">
          <w:rPr>
            <w:rStyle w:val="Hyperlink"/>
          </w:rPr>
          <w:t>„17 Liceal sf de an 2014 2015” – pentru vizualizare clic aici</w:t>
        </w:r>
      </w:hyperlink>
      <w:r>
        <w:t xml:space="preserve"> ; </w:t>
      </w:r>
      <w:hyperlink r:id="rId39" w:history="1">
        <w:r w:rsidRPr="00E2017C">
          <w:rPr>
            <w:rStyle w:val="Hyperlink"/>
          </w:rPr>
          <w:t>„18 Profesional sf de an 2014 2015” – pentru vizualizare clic aici</w:t>
        </w:r>
      </w:hyperlink>
      <w:r>
        <w:t xml:space="preserve"> ;  </w:t>
      </w:r>
      <w:hyperlink r:id="rId40" w:history="1">
        <w:r w:rsidRPr="00E2017C">
          <w:rPr>
            <w:rStyle w:val="Hyperlink"/>
          </w:rPr>
          <w:t>„19 Postliceal sf de an 2014 2015” – pentru vizualizare clic aici</w:t>
        </w:r>
      </w:hyperlink>
    </w:p>
  </w:footnote>
  <w:footnote w:id="60">
    <w:p w:rsidR="0056611C" w:rsidRDefault="0056611C" w:rsidP="00CE3479">
      <w:pPr>
        <w:autoSpaceDE w:val="0"/>
        <w:autoSpaceDN w:val="0"/>
        <w:adjustRightInd w:val="0"/>
        <w:spacing w:after="0" w:line="240" w:lineRule="auto"/>
      </w:pPr>
      <w:r>
        <w:rPr>
          <w:rStyle w:val="FootnoteReference"/>
        </w:rPr>
        <w:footnoteRef/>
      </w:r>
      <w:r>
        <w:t xml:space="preserve"> </w:t>
      </w:r>
      <w:r w:rsidRPr="000C3837">
        <w:rPr>
          <w:rFonts w:ascii="Times New Roman" w:hAnsi="Times New Roman" w:cs="Times New Roman"/>
          <w:iCs/>
          <w:sz w:val="20"/>
          <w:szCs w:val="20"/>
        </w:rPr>
        <w:t>ISCED – International Standard Classification of Education – standardul de clasificare educaţional instituit de UNESCO</w:t>
      </w:r>
    </w:p>
    <w:p w:rsidR="0056611C" w:rsidRDefault="0056611C" w:rsidP="00CE3479">
      <w:pPr>
        <w:pStyle w:val="FootnoteText"/>
      </w:pPr>
    </w:p>
  </w:footnote>
  <w:footnote w:id="61">
    <w:p w:rsidR="0056611C" w:rsidRPr="000C3837" w:rsidRDefault="0056611C" w:rsidP="00CE3479">
      <w:pPr>
        <w:pStyle w:val="FootnoteText"/>
        <w:rPr>
          <w:rFonts w:ascii="Times New Roman" w:hAnsi="Times New Roman" w:cs="Times New Roman"/>
        </w:rPr>
      </w:pPr>
      <w:r w:rsidRPr="000C3837">
        <w:rPr>
          <w:rStyle w:val="FootnoteReference"/>
          <w:rFonts w:ascii="Times New Roman" w:hAnsi="Times New Roman" w:cs="Times New Roman"/>
        </w:rPr>
        <w:footnoteRef/>
      </w:r>
      <w:r w:rsidRPr="000C3837">
        <w:rPr>
          <w:rFonts w:ascii="Times New Roman" w:hAnsi="Times New Roman" w:cs="Times New Roman"/>
        </w:rPr>
        <w:t xml:space="preserve"> EPM se bazează pe informațiile furnizate de Cadrul Comun de Evaluare (JAF), care reprezintă un sistem de evaluare bazat pe indicatori, elaborat de către Comitetul de Ocupare (EMCO) în colaborare cu Comitetul de Protecție Socială (SPC) și Comisia Europeană și care acoperă arii generale și specifice de politică aflate sub umbrela Orientărilor Integrate în domeniul Ocupării forței de muncă.</w:t>
      </w:r>
    </w:p>
  </w:footnote>
  <w:footnote w:id="62">
    <w:p w:rsidR="0056611C" w:rsidRDefault="0056611C">
      <w:pPr>
        <w:pStyle w:val="FootnoteText"/>
      </w:pPr>
      <w:r>
        <w:rPr>
          <w:rStyle w:val="FootnoteReference"/>
        </w:rPr>
        <w:footnoteRef/>
      </w:r>
      <w:r>
        <w:t xml:space="preserve"> Datele la care se face referire în acest capitol se regăsesc în anexa </w:t>
      </w:r>
      <w:hyperlink r:id="rId41" w:history="1">
        <w:r w:rsidRPr="00E2017C">
          <w:rPr>
            <w:rStyle w:val="Hyperlink"/>
          </w:rPr>
          <w:t>„20 Absolvenţi IPT”  - pentru vizualizare clic aici</w:t>
        </w:r>
      </w:hyperlink>
    </w:p>
  </w:footnote>
  <w:footnote w:id="63">
    <w:p w:rsidR="0056611C" w:rsidRDefault="0056611C">
      <w:pPr>
        <w:pStyle w:val="FootnoteText"/>
      </w:pPr>
      <w:r>
        <w:rPr>
          <w:rStyle w:val="FootnoteReference"/>
        </w:rPr>
        <w:footnoteRef/>
      </w:r>
      <w:r>
        <w:t xml:space="preserve"> Datele la care se face referire în acest capitol se regăsesc în anexa </w:t>
      </w:r>
      <w:hyperlink r:id="rId42" w:history="1">
        <w:r w:rsidRPr="00E2017C">
          <w:rPr>
            <w:rStyle w:val="Hyperlink"/>
          </w:rPr>
          <w:t>„21Rata de absolvire (INS)” – pentru vizualizare clic aici</w:t>
        </w:r>
      </w:hyperlink>
    </w:p>
  </w:footnote>
  <w:footnote w:id="64">
    <w:p w:rsidR="0056611C" w:rsidRDefault="0056611C">
      <w:pPr>
        <w:pStyle w:val="FootnoteText"/>
      </w:pPr>
      <w:r>
        <w:rPr>
          <w:rStyle w:val="FootnoteReference"/>
        </w:rPr>
        <w:footnoteRef/>
      </w:r>
      <w:r>
        <w:t xml:space="preserve"> Datele la care se face referire în acest capitol se regăsesc în anexa </w:t>
      </w:r>
      <w:hyperlink r:id="rId43" w:history="1">
        <w:r w:rsidRPr="00E2017C">
          <w:rPr>
            <w:rStyle w:val="Hyperlink"/>
          </w:rPr>
          <w:t>„22 Rata tranziţie (INS)” – pentru vizualizare clic aici</w:t>
        </w:r>
      </w:hyperlink>
    </w:p>
  </w:footnote>
  <w:footnote w:id="65">
    <w:p w:rsidR="0056611C" w:rsidRDefault="0056611C">
      <w:pPr>
        <w:pStyle w:val="FootnoteText"/>
      </w:pPr>
      <w:r>
        <w:rPr>
          <w:rStyle w:val="FootnoteReference"/>
        </w:rPr>
        <w:footnoteRef/>
      </w:r>
      <w:r>
        <w:t xml:space="preserve"> Datele la care se face referire în acest capitol se regăsesc în anexa </w:t>
      </w:r>
      <w:hyperlink r:id="rId44" w:history="1">
        <w:r w:rsidRPr="00E2017C">
          <w:rPr>
            <w:rStyle w:val="Hyperlink"/>
          </w:rPr>
          <w:t>„23 Rata abandonului (INS)” – pentru vizualizare clic aici</w:t>
        </w:r>
      </w:hyperlink>
    </w:p>
  </w:footnote>
  <w:footnote w:id="66">
    <w:p w:rsidR="0056611C" w:rsidRDefault="0056611C">
      <w:pPr>
        <w:pStyle w:val="FootnoteText"/>
      </w:pPr>
      <w:r>
        <w:rPr>
          <w:rStyle w:val="FootnoteReference"/>
        </w:rPr>
        <w:footnoteRef/>
      </w:r>
      <w:r>
        <w:t xml:space="preserve"> Datele la care se face referire în acest capitol se regăsesc în anexa</w:t>
      </w:r>
      <w:hyperlink r:id="rId45" w:history="1">
        <w:r w:rsidRPr="00E2017C">
          <w:rPr>
            <w:rStyle w:val="Hyperlink"/>
          </w:rPr>
          <w:t xml:space="preserve"> „24 Rata de părăsire timpurie – EUROSTAT” – pentru vizualizare clic aici</w:t>
        </w:r>
      </w:hyperlink>
    </w:p>
  </w:footnote>
  <w:footnote w:id="67">
    <w:p w:rsidR="0056611C" w:rsidRDefault="0056611C">
      <w:pPr>
        <w:pStyle w:val="FootnoteText"/>
      </w:pPr>
      <w:r>
        <w:rPr>
          <w:rStyle w:val="FootnoteReference"/>
        </w:rPr>
        <w:footnoteRef/>
      </w:r>
      <w:r>
        <w:t xml:space="preserve"> Datele la care se face referire în acest capitol se regăsesc în anexa  </w:t>
      </w:r>
      <w:hyperlink r:id="rId46" w:history="1">
        <w:r w:rsidRPr="00E2017C">
          <w:rPr>
            <w:rStyle w:val="Hyperlink"/>
          </w:rPr>
          <w:t>„25 PISA” – pentru vizualizare clic aici</w:t>
        </w:r>
      </w:hyperlink>
    </w:p>
  </w:footnote>
  <w:footnote w:id="68">
    <w:p w:rsidR="0056611C" w:rsidRDefault="0056611C">
      <w:pPr>
        <w:pStyle w:val="FootnoteText"/>
      </w:pPr>
      <w:r>
        <w:rPr>
          <w:rStyle w:val="FootnoteReference"/>
        </w:rPr>
        <w:footnoteRef/>
      </w:r>
      <w:r>
        <w:t xml:space="preserve"> Datele la care se face referire în acest capitol se regăsesc în anexa  </w:t>
      </w:r>
      <w:hyperlink r:id="rId47" w:history="1">
        <w:r w:rsidRPr="00E2017C">
          <w:rPr>
            <w:rStyle w:val="Hyperlink"/>
          </w:rPr>
          <w:t>„ 26 Tineri NEET” – pentru vizualizare clic aici</w:t>
        </w:r>
      </w:hyperlink>
    </w:p>
  </w:footnote>
  <w:footnote w:id="69">
    <w:p w:rsidR="0056611C" w:rsidRDefault="0056611C">
      <w:pPr>
        <w:pStyle w:val="FootnoteText"/>
      </w:pPr>
      <w:r>
        <w:rPr>
          <w:rStyle w:val="FootnoteReference"/>
        </w:rPr>
        <w:footnoteRef/>
      </w:r>
      <w:r>
        <w:t xml:space="preserve"> Datele la care se face referire în acest capitol se regăsesc în anexa  </w:t>
      </w:r>
      <w:hyperlink r:id="rId48" w:history="1">
        <w:r w:rsidRPr="00E2017C">
          <w:rPr>
            <w:rStyle w:val="Hyperlink"/>
          </w:rPr>
          <w:t>„27 Formare continua” – pentru vizualizare clic aici</w:t>
        </w:r>
      </w:hyperlink>
      <w:r>
        <w:t xml:space="preserve"> </w:t>
      </w:r>
    </w:p>
  </w:footnote>
  <w:footnote w:id="70">
    <w:p w:rsidR="0056611C" w:rsidRDefault="0056611C" w:rsidP="00FE7DCF">
      <w:pPr>
        <w:pStyle w:val="FootnoteText"/>
      </w:pPr>
      <w:r>
        <w:rPr>
          <w:rStyle w:val="FootnoteReference"/>
        </w:rPr>
        <w:footnoteRef/>
      </w:r>
      <w:r w:rsidRPr="000E45D8">
        <w:t xml:space="preserve"> </w:t>
      </w:r>
      <w:hyperlink r:id="rId49" w:history="1">
        <w:r w:rsidRPr="00D04080">
          <w:rPr>
            <w:rStyle w:val="Hyperlink"/>
          </w:rPr>
          <w:t>http://ec.europa.eu/europe2020/index_en.htm</w:t>
        </w:r>
      </w:hyperlink>
      <w:r w:rsidRPr="000E45D8">
        <w:t>.</w:t>
      </w:r>
      <w:r>
        <w:t xml:space="preserve"> </w:t>
      </w:r>
    </w:p>
  </w:footnote>
  <w:footnote w:id="71">
    <w:p w:rsidR="0056611C" w:rsidRDefault="0056611C" w:rsidP="00FE7DCF">
      <w:pPr>
        <w:pStyle w:val="FootnoteText"/>
      </w:pPr>
      <w:r>
        <w:rPr>
          <w:rStyle w:val="FootnoteReference"/>
        </w:rPr>
        <w:footnoteRef/>
      </w:r>
      <w:r w:rsidRPr="000E45D8">
        <w:t xml:space="preserve"> </w:t>
      </w:r>
      <w:hyperlink r:id="rId50" w:history="1">
        <w:r w:rsidRPr="00D04080">
          <w:rPr>
            <w:rStyle w:val="Hyperlink"/>
          </w:rPr>
          <w:t>http://ec.europa.eu/research/innovation-union/index_en.cfm</w:t>
        </w:r>
      </w:hyperlink>
      <w:r w:rsidRPr="000E45D8">
        <w:t>.</w:t>
      </w:r>
      <w:r>
        <w:t xml:space="preserve">   </w:t>
      </w:r>
    </w:p>
  </w:footnote>
  <w:footnote w:id="72">
    <w:p w:rsidR="0056611C" w:rsidRDefault="0056611C" w:rsidP="00FE7DCF">
      <w:pPr>
        <w:pStyle w:val="FootnoteText"/>
      </w:pPr>
      <w:r>
        <w:rPr>
          <w:rStyle w:val="FootnoteReference"/>
        </w:rPr>
        <w:footnoteRef/>
      </w:r>
      <w:r>
        <w:t xml:space="preserve"> </w:t>
      </w:r>
      <w:hyperlink r:id="rId51" w:history="1">
        <w:r w:rsidRPr="00D04080">
          <w:rPr>
            <w:rStyle w:val="Hyperlink"/>
          </w:rPr>
          <w:t>http://ec.europa.eu/research/horizon2020/index_en.cfm?pg=home</w:t>
        </w:r>
      </w:hyperlink>
      <w:r w:rsidRPr="000E45D8">
        <w:t>.</w:t>
      </w:r>
      <w:r>
        <w:t xml:space="preserve"> </w:t>
      </w:r>
    </w:p>
  </w:footnote>
  <w:footnote w:id="73">
    <w:p w:rsidR="0056611C" w:rsidRDefault="0056611C" w:rsidP="00FE7DCF">
      <w:pPr>
        <w:pStyle w:val="FootnoteText"/>
      </w:pPr>
      <w:r>
        <w:rPr>
          <w:rStyle w:val="FootnoteReference"/>
        </w:rPr>
        <w:footnoteRef/>
      </w:r>
      <w:r>
        <w:t xml:space="preserve">Strategia de Dezvoltare a Judetului Arad pentru perioada 2014-2020 </w:t>
      </w:r>
      <w:hyperlink r:id="rId52" w:history="1">
        <w:r w:rsidRPr="00D04080">
          <w:rPr>
            <w:rStyle w:val="Hyperlink"/>
          </w:rPr>
          <w:t>http://www.cjarad.ro/uploads/files/transparenta_decizionala/STRATEGIA%20DE%20DEZVOLTARE%20A%20JUD%20ARAD_VERS%202%20CONSULTATIVA_29%20iulie%202015.pdf</w:t>
        </w:r>
      </w:hyperlink>
      <w:r>
        <w:t xml:space="preserve"> </w:t>
      </w:r>
    </w:p>
  </w:footnote>
  <w:footnote w:id="74">
    <w:p w:rsidR="0056611C" w:rsidRDefault="0056611C" w:rsidP="00FE7DCF">
      <w:pPr>
        <w:pStyle w:val="FootnoteText"/>
      </w:pPr>
      <w:r>
        <w:rPr>
          <w:rStyle w:val="FootnoteReference"/>
        </w:rPr>
        <w:footnoteRef/>
      </w:r>
      <w:r>
        <w:t xml:space="preserve"> </w:t>
      </w:r>
      <w:r w:rsidRPr="00636EF3">
        <w:t xml:space="preserve">Strategia de dezvoltare durabilă a judeţului Caraş-Severin 2015-2020 –  </w:t>
      </w:r>
      <w:hyperlink r:id="rId53" w:history="1">
        <w:r w:rsidRPr="00D04080">
          <w:rPr>
            <w:rStyle w:val="Hyperlink"/>
          </w:rPr>
          <w:t>http://www.cjcs.ro/data_files/strategii_de_dezvoltare/strategie_dezvoltare_2015.pdf</w:t>
        </w:r>
      </w:hyperlink>
      <w:r>
        <w:t xml:space="preserve"> </w:t>
      </w:r>
    </w:p>
  </w:footnote>
  <w:footnote w:id="75">
    <w:p w:rsidR="0056611C" w:rsidRDefault="0056611C" w:rsidP="00FE7DCF">
      <w:pPr>
        <w:pStyle w:val="FootnoteText"/>
      </w:pPr>
      <w:r>
        <w:rPr>
          <w:rStyle w:val="FootnoteReference"/>
        </w:rPr>
        <w:footnoteRef/>
      </w:r>
      <w:r>
        <w:t xml:space="preserve"> </w:t>
      </w:r>
      <w:r w:rsidRPr="00636EF3">
        <w:t xml:space="preserve"> JUDEȚUL HUNEDOARA Planul de Dezvoltare Regională 2014-2020 </w:t>
      </w:r>
      <w:hyperlink r:id="rId54" w:history="1">
        <w:r w:rsidRPr="00D04080">
          <w:rPr>
            <w:rStyle w:val="Hyperlink"/>
          </w:rPr>
          <w:t>http://www.cjhunedoara.ro/documente/finantare%20UE/CD%20Antonela%20plan%20de%20dezvoltare/SDJ_HD_rev_26.05_N.pdf</w:t>
        </w:r>
      </w:hyperlink>
      <w:r>
        <w:t xml:space="preserve"> </w:t>
      </w:r>
    </w:p>
  </w:footnote>
  <w:footnote w:id="76">
    <w:p w:rsidR="0056611C" w:rsidRDefault="0056611C" w:rsidP="00FE7DCF">
      <w:pPr>
        <w:pStyle w:val="FootnoteText"/>
      </w:pPr>
      <w:r>
        <w:rPr>
          <w:rStyle w:val="FootnoteReference"/>
        </w:rPr>
        <w:footnoteRef/>
      </w:r>
      <w:r>
        <w:t xml:space="preserve"> Strategia de dezvoltare economico-sociala a judetului Timis </w:t>
      </w:r>
    </w:p>
    <w:p w:rsidR="0056611C" w:rsidRDefault="00DC3D41" w:rsidP="00FE7DCF">
      <w:pPr>
        <w:pStyle w:val="FootnoteText"/>
      </w:pPr>
      <w:hyperlink r:id="rId55" w:history="1">
        <w:r w:rsidR="0056611C" w:rsidRPr="00D04080">
          <w:rPr>
            <w:rStyle w:val="Hyperlink"/>
          </w:rPr>
          <w:t>http://www.cjtimis.ro/servicii-online/hotarari-ale-consiliului-judetean.html?a=s&amp;p_3659=HOT%C4%82R%C3%82REA%20nr.%20216/16.12.2015</w:t>
        </w:r>
      </w:hyperlink>
      <w:r w:rsidR="0056611C">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611C" w:rsidRDefault="0056611C">
    <w:pPr>
      <w:pStyle w:val="Header"/>
    </w:pPr>
    <w:r w:rsidRPr="00080628">
      <w:rPr>
        <w:rFonts w:ascii="Arial" w:hAnsi="Arial" w:cs="Arial"/>
        <w:sz w:val="20"/>
        <w:szCs w:val="20"/>
      </w:rPr>
      <w:t>PRAI al Regiunii de Dezvoltare ……………….2016-2025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611C" w:rsidRPr="00080628" w:rsidRDefault="0056611C">
    <w:pPr>
      <w:pStyle w:val="Header"/>
      <w:rPr>
        <w:rFonts w:ascii="Arial" w:hAnsi="Arial" w:cs="Arial"/>
        <w:sz w:val="20"/>
        <w:szCs w:val="20"/>
      </w:rPr>
    </w:pPr>
    <w:r w:rsidRPr="00080628">
      <w:rPr>
        <w:rFonts w:ascii="Arial" w:hAnsi="Arial" w:cs="Arial"/>
        <w:sz w:val="20"/>
        <w:szCs w:val="20"/>
      </w:rPr>
      <w:t xml:space="preserve">PRAI al Regiunii de Dezvoltare </w:t>
    </w:r>
    <w:r>
      <w:rPr>
        <w:rFonts w:ascii="Arial" w:hAnsi="Arial" w:cs="Arial"/>
        <w:sz w:val="20"/>
        <w:szCs w:val="20"/>
      </w:rPr>
      <w:t xml:space="preserve">Vest, </w:t>
    </w:r>
    <w:r w:rsidRPr="00080628">
      <w:rPr>
        <w:rFonts w:ascii="Arial" w:hAnsi="Arial" w:cs="Arial"/>
        <w:sz w:val="20"/>
        <w:szCs w:val="20"/>
      </w:rPr>
      <w:t>2016-2025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85C0B"/>
    <w:multiLevelType w:val="hybridMultilevel"/>
    <w:tmpl w:val="1ADA829C"/>
    <w:lvl w:ilvl="0" w:tplc="8FE24C92">
      <w:start w:val="1"/>
      <w:numFmt w:val="lowerRoman"/>
      <w:lvlText w:val="%1."/>
      <w:lvlJc w:val="left"/>
      <w:pPr>
        <w:ind w:left="873" w:hanging="495"/>
        <w:jc w:val="right"/>
      </w:pPr>
      <w:rPr>
        <w:rFonts w:ascii="Segoe UI" w:eastAsia="Segoe UI" w:hAnsi="Segoe UI" w:cs="Segoe UI" w:hint="default"/>
        <w:b/>
        <w:bCs/>
        <w:spacing w:val="-2"/>
        <w:w w:val="100"/>
        <w:sz w:val="24"/>
        <w:szCs w:val="24"/>
      </w:rPr>
    </w:lvl>
    <w:lvl w:ilvl="1" w:tplc="F80ECCD8">
      <w:numFmt w:val="bullet"/>
      <w:lvlText w:val=""/>
      <w:lvlJc w:val="left"/>
      <w:pPr>
        <w:ind w:left="873" w:hanging="360"/>
      </w:pPr>
      <w:rPr>
        <w:rFonts w:ascii="Wingdings" w:eastAsia="Wingdings" w:hAnsi="Wingdings" w:cs="Wingdings" w:hint="default"/>
        <w:w w:val="100"/>
        <w:sz w:val="24"/>
        <w:szCs w:val="24"/>
      </w:rPr>
    </w:lvl>
    <w:lvl w:ilvl="2" w:tplc="EF926A42">
      <w:numFmt w:val="bullet"/>
      <w:lvlText w:val="•"/>
      <w:lvlJc w:val="left"/>
      <w:pPr>
        <w:ind w:left="2691" w:hanging="360"/>
      </w:pPr>
      <w:rPr>
        <w:rFonts w:hint="default"/>
      </w:rPr>
    </w:lvl>
    <w:lvl w:ilvl="3" w:tplc="0028528C">
      <w:numFmt w:val="bullet"/>
      <w:lvlText w:val="•"/>
      <w:lvlJc w:val="left"/>
      <w:pPr>
        <w:ind w:left="3597" w:hanging="360"/>
      </w:pPr>
      <w:rPr>
        <w:rFonts w:hint="default"/>
      </w:rPr>
    </w:lvl>
    <w:lvl w:ilvl="4" w:tplc="1CB6B326">
      <w:numFmt w:val="bullet"/>
      <w:lvlText w:val="•"/>
      <w:lvlJc w:val="left"/>
      <w:pPr>
        <w:ind w:left="4503" w:hanging="360"/>
      </w:pPr>
      <w:rPr>
        <w:rFonts w:hint="default"/>
      </w:rPr>
    </w:lvl>
    <w:lvl w:ilvl="5" w:tplc="580AE3D8">
      <w:numFmt w:val="bullet"/>
      <w:lvlText w:val="•"/>
      <w:lvlJc w:val="left"/>
      <w:pPr>
        <w:ind w:left="5409" w:hanging="360"/>
      </w:pPr>
      <w:rPr>
        <w:rFonts w:hint="default"/>
      </w:rPr>
    </w:lvl>
    <w:lvl w:ilvl="6" w:tplc="52A85EA0">
      <w:numFmt w:val="bullet"/>
      <w:lvlText w:val="•"/>
      <w:lvlJc w:val="left"/>
      <w:pPr>
        <w:ind w:left="6315" w:hanging="360"/>
      </w:pPr>
      <w:rPr>
        <w:rFonts w:hint="default"/>
      </w:rPr>
    </w:lvl>
    <w:lvl w:ilvl="7" w:tplc="8980655E">
      <w:numFmt w:val="bullet"/>
      <w:lvlText w:val="•"/>
      <w:lvlJc w:val="left"/>
      <w:pPr>
        <w:ind w:left="7221" w:hanging="360"/>
      </w:pPr>
      <w:rPr>
        <w:rFonts w:hint="default"/>
      </w:rPr>
    </w:lvl>
    <w:lvl w:ilvl="8" w:tplc="31E21FB2">
      <w:numFmt w:val="bullet"/>
      <w:lvlText w:val="•"/>
      <w:lvlJc w:val="left"/>
      <w:pPr>
        <w:ind w:left="8127" w:hanging="360"/>
      </w:pPr>
      <w:rPr>
        <w:rFonts w:hint="default"/>
      </w:rPr>
    </w:lvl>
  </w:abstractNum>
  <w:abstractNum w:abstractNumId="1" w15:restartNumberingAfterBreak="0">
    <w:nsid w:val="06354F9B"/>
    <w:multiLevelType w:val="hybridMultilevel"/>
    <w:tmpl w:val="A2BEDF6C"/>
    <w:lvl w:ilvl="0" w:tplc="0409000D">
      <w:start w:val="1"/>
      <w:numFmt w:val="bullet"/>
      <w:lvlText w:val=""/>
      <w:lvlJc w:val="left"/>
      <w:pPr>
        <w:ind w:left="420" w:hanging="360"/>
      </w:pPr>
      <w:rPr>
        <w:rFonts w:ascii="Wingdings" w:hAnsi="Wingdings" w:hint="default"/>
      </w:rPr>
    </w:lvl>
    <w:lvl w:ilvl="1" w:tplc="0409000D">
      <w:start w:val="1"/>
      <w:numFmt w:val="bullet"/>
      <w:lvlText w:val=""/>
      <w:lvlJc w:val="left"/>
      <w:pPr>
        <w:ind w:left="1140" w:hanging="360"/>
      </w:pPr>
      <w:rPr>
        <w:rFonts w:ascii="Wingdings" w:hAnsi="Wingdings"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15:restartNumberingAfterBreak="0">
    <w:nsid w:val="0B4D4BA4"/>
    <w:multiLevelType w:val="hybridMultilevel"/>
    <w:tmpl w:val="38CEB6E2"/>
    <w:lvl w:ilvl="0" w:tplc="7F6A6820">
      <w:numFmt w:val="bullet"/>
      <w:lvlText w:val="o"/>
      <w:lvlJc w:val="left"/>
      <w:pPr>
        <w:ind w:left="873" w:hanging="360"/>
      </w:pPr>
      <w:rPr>
        <w:rFonts w:ascii="Courier New" w:eastAsia="Courier New" w:hAnsi="Courier New" w:cs="Courier New" w:hint="default"/>
        <w:w w:val="100"/>
        <w:sz w:val="24"/>
        <w:szCs w:val="24"/>
      </w:rPr>
    </w:lvl>
    <w:lvl w:ilvl="1" w:tplc="EE246372">
      <w:numFmt w:val="bullet"/>
      <w:lvlText w:val="•"/>
      <w:lvlJc w:val="left"/>
      <w:pPr>
        <w:ind w:left="1785" w:hanging="360"/>
      </w:pPr>
      <w:rPr>
        <w:rFonts w:hint="default"/>
      </w:rPr>
    </w:lvl>
    <w:lvl w:ilvl="2" w:tplc="6AA483AA">
      <w:numFmt w:val="bullet"/>
      <w:lvlText w:val="•"/>
      <w:lvlJc w:val="left"/>
      <w:pPr>
        <w:ind w:left="2691" w:hanging="360"/>
      </w:pPr>
      <w:rPr>
        <w:rFonts w:hint="default"/>
      </w:rPr>
    </w:lvl>
    <w:lvl w:ilvl="3" w:tplc="8B3E702C">
      <w:numFmt w:val="bullet"/>
      <w:lvlText w:val="•"/>
      <w:lvlJc w:val="left"/>
      <w:pPr>
        <w:ind w:left="3597" w:hanging="360"/>
      </w:pPr>
      <w:rPr>
        <w:rFonts w:hint="default"/>
      </w:rPr>
    </w:lvl>
    <w:lvl w:ilvl="4" w:tplc="A02643FA">
      <w:numFmt w:val="bullet"/>
      <w:lvlText w:val="•"/>
      <w:lvlJc w:val="left"/>
      <w:pPr>
        <w:ind w:left="4503" w:hanging="360"/>
      </w:pPr>
      <w:rPr>
        <w:rFonts w:hint="default"/>
      </w:rPr>
    </w:lvl>
    <w:lvl w:ilvl="5" w:tplc="37785E94">
      <w:numFmt w:val="bullet"/>
      <w:lvlText w:val="•"/>
      <w:lvlJc w:val="left"/>
      <w:pPr>
        <w:ind w:left="5409" w:hanging="360"/>
      </w:pPr>
      <w:rPr>
        <w:rFonts w:hint="default"/>
      </w:rPr>
    </w:lvl>
    <w:lvl w:ilvl="6" w:tplc="CCE069C0">
      <w:numFmt w:val="bullet"/>
      <w:lvlText w:val="•"/>
      <w:lvlJc w:val="left"/>
      <w:pPr>
        <w:ind w:left="6315" w:hanging="360"/>
      </w:pPr>
      <w:rPr>
        <w:rFonts w:hint="default"/>
      </w:rPr>
    </w:lvl>
    <w:lvl w:ilvl="7" w:tplc="6C102D68">
      <w:numFmt w:val="bullet"/>
      <w:lvlText w:val="•"/>
      <w:lvlJc w:val="left"/>
      <w:pPr>
        <w:ind w:left="7221" w:hanging="360"/>
      </w:pPr>
      <w:rPr>
        <w:rFonts w:hint="default"/>
      </w:rPr>
    </w:lvl>
    <w:lvl w:ilvl="8" w:tplc="4DC02E86">
      <w:numFmt w:val="bullet"/>
      <w:lvlText w:val="•"/>
      <w:lvlJc w:val="left"/>
      <w:pPr>
        <w:ind w:left="8127" w:hanging="360"/>
      </w:pPr>
      <w:rPr>
        <w:rFonts w:hint="default"/>
      </w:rPr>
    </w:lvl>
  </w:abstractNum>
  <w:abstractNum w:abstractNumId="3" w15:restartNumberingAfterBreak="0">
    <w:nsid w:val="0EB03106"/>
    <w:multiLevelType w:val="hybridMultilevel"/>
    <w:tmpl w:val="B15240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051268C"/>
    <w:multiLevelType w:val="hybridMultilevel"/>
    <w:tmpl w:val="060E87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C1271E"/>
    <w:multiLevelType w:val="hybridMultilevel"/>
    <w:tmpl w:val="708C3FA4"/>
    <w:lvl w:ilvl="0" w:tplc="CA34B84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6" w15:restartNumberingAfterBreak="0">
    <w:nsid w:val="13A02123"/>
    <w:multiLevelType w:val="hybridMultilevel"/>
    <w:tmpl w:val="C486C9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A31A0F"/>
    <w:multiLevelType w:val="hybridMultilevel"/>
    <w:tmpl w:val="EF5416B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9A74EF7"/>
    <w:multiLevelType w:val="hybridMultilevel"/>
    <w:tmpl w:val="D4C8A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A92079"/>
    <w:multiLevelType w:val="hybridMultilevel"/>
    <w:tmpl w:val="1A22E2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465F82"/>
    <w:multiLevelType w:val="hybridMultilevel"/>
    <w:tmpl w:val="9D96F4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A46144"/>
    <w:multiLevelType w:val="hybridMultilevel"/>
    <w:tmpl w:val="7CAC66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A921BE"/>
    <w:multiLevelType w:val="hybridMultilevel"/>
    <w:tmpl w:val="3FB8D4A8"/>
    <w:lvl w:ilvl="0" w:tplc="F80ECCD8">
      <w:numFmt w:val="bullet"/>
      <w:lvlText w:val=""/>
      <w:lvlJc w:val="left"/>
      <w:pPr>
        <w:ind w:left="720" w:hanging="360"/>
      </w:pPr>
      <w:rPr>
        <w:rFonts w:ascii="Wingdings" w:eastAsia="Wingdings" w:hAnsi="Wingdings" w:cs="Wingdings" w:hint="default"/>
        <w:w w:val="10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41431F"/>
    <w:multiLevelType w:val="hybridMultilevel"/>
    <w:tmpl w:val="874A87EE"/>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27406EAC"/>
    <w:multiLevelType w:val="hybridMultilevel"/>
    <w:tmpl w:val="F2D67B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FD53BC"/>
    <w:multiLevelType w:val="hybridMultilevel"/>
    <w:tmpl w:val="09B6CEA6"/>
    <w:lvl w:ilvl="0" w:tplc="45401C46">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ED4149"/>
    <w:multiLevelType w:val="hybridMultilevel"/>
    <w:tmpl w:val="DAEEA018"/>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58D15DF"/>
    <w:multiLevelType w:val="hybridMultilevel"/>
    <w:tmpl w:val="C9EE2F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FE4609"/>
    <w:multiLevelType w:val="hybridMultilevel"/>
    <w:tmpl w:val="316662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EA0711"/>
    <w:multiLevelType w:val="hybridMultilevel"/>
    <w:tmpl w:val="08980B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280CEF"/>
    <w:multiLevelType w:val="hybridMultilevel"/>
    <w:tmpl w:val="CBBA20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B333AE"/>
    <w:multiLevelType w:val="hybridMultilevel"/>
    <w:tmpl w:val="9F7E53FC"/>
    <w:lvl w:ilvl="0" w:tplc="0409000F">
      <w:start w:val="1"/>
      <w:numFmt w:val="decimal"/>
      <w:lvlText w:val="%1."/>
      <w:lvlJc w:val="left"/>
      <w:pPr>
        <w:tabs>
          <w:tab w:val="num" w:pos="720"/>
        </w:tabs>
        <w:ind w:left="720" w:hanging="360"/>
      </w:pPr>
      <w:rPr>
        <w:rFonts w:hint="default"/>
      </w:rPr>
    </w:lvl>
    <w:lvl w:ilvl="1" w:tplc="04090003">
      <w:start w:val="1"/>
      <w:numFmt w:val="decimal"/>
      <w:lvlText w:val="%2."/>
      <w:lvlJc w:val="left"/>
      <w:pPr>
        <w:tabs>
          <w:tab w:val="num" w:pos="1260"/>
        </w:tabs>
        <w:ind w:left="1260" w:hanging="360"/>
      </w:pPr>
    </w:lvl>
    <w:lvl w:ilvl="2" w:tplc="04090005">
      <w:start w:val="1"/>
      <w:numFmt w:val="decimal"/>
      <w:lvlText w:val="%3."/>
      <w:lvlJc w:val="left"/>
      <w:pPr>
        <w:tabs>
          <w:tab w:val="num" w:pos="1980"/>
        </w:tabs>
        <w:ind w:left="1980" w:hanging="360"/>
      </w:pPr>
    </w:lvl>
    <w:lvl w:ilvl="3" w:tplc="04090001">
      <w:start w:val="1"/>
      <w:numFmt w:val="decimal"/>
      <w:lvlText w:val="%4."/>
      <w:lvlJc w:val="left"/>
      <w:pPr>
        <w:tabs>
          <w:tab w:val="num" w:pos="2700"/>
        </w:tabs>
        <w:ind w:left="2700" w:hanging="360"/>
      </w:pPr>
    </w:lvl>
    <w:lvl w:ilvl="4" w:tplc="04090003">
      <w:start w:val="1"/>
      <w:numFmt w:val="decimal"/>
      <w:lvlText w:val="%5."/>
      <w:lvlJc w:val="left"/>
      <w:pPr>
        <w:tabs>
          <w:tab w:val="num" w:pos="3420"/>
        </w:tabs>
        <w:ind w:left="3420" w:hanging="360"/>
      </w:pPr>
    </w:lvl>
    <w:lvl w:ilvl="5" w:tplc="04090005">
      <w:start w:val="1"/>
      <w:numFmt w:val="decimal"/>
      <w:lvlText w:val="%6."/>
      <w:lvlJc w:val="left"/>
      <w:pPr>
        <w:tabs>
          <w:tab w:val="num" w:pos="4140"/>
        </w:tabs>
        <w:ind w:left="4140" w:hanging="360"/>
      </w:pPr>
    </w:lvl>
    <w:lvl w:ilvl="6" w:tplc="04090001">
      <w:start w:val="1"/>
      <w:numFmt w:val="decimal"/>
      <w:lvlText w:val="%7."/>
      <w:lvlJc w:val="left"/>
      <w:pPr>
        <w:tabs>
          <w:tab w:val="num" w:pos="4860"/>
        </w:tabs>
        <w:ind w:left="4860" w:hanging="360"/>
      </w:pPr>
    </w:lvl>
    <w:lvl w:ilvl="7" w:tplc="04090003">
      <w:start w:val="1"/>
      <w:numFmt w:val="decimal"/>
      <w:lvlText w:val="%8."/>
      <w:lvlJc w:val="left"/>
      <w:pPr>
        <w:tabs>
          <w:tab w:val="num" w:pos="5580"/>
        </w:tabs>
        <w:ind w:left="5580" w:hanging="360"/>
      </w:pPr>
    </w:lvl>
    <w:lvl w:ilvl="8" w:tplc="04090005">
      <w:start w:val="1"/>
      <w:numFmt w:val="decimal"/>
      <w:lvlText w:val="%9."/>
      <w:lvlJc w:val="left"/>
      <w:pPr>
        <w:tabs>
          <w:tab w:val="num" w:pos="6300"/>
        </w:tabs>
        <w:ind w:left="6300" w:hanging="360"/>
      </w:pPr>
    </w:lvl>
  </w:abstractNum>
  <w:abstractNum w:abstractNumId="22" w15:restartNumberingAfterBreak="0">
    <w:nsid w:val="49630EF6"/>
    <w:multiLevelType w:val="hybridMultilevel"/>
    <w:tmpl w:val="6E52C8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212869"/>
    <w:multiLevelType w:val="hybridMultilevel"/>
    <w:tmpl w:val="E8A20F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E257BA"/>
    <w:multiLevelType w:val="hybridMultilevel"/>
    <w:tmpl w:val="75688D74"/>
    <w:lvl w:ilvl="0" w:tplc="0D980540">
      <w:start w:val="1"/>
      <w:numFmt w:val="bullet"/>
      <w:lvlText w:val=""/>
      <w:lvlJc w:val="left"/>
      <w:pPr>
        <w:tabs>
          <w:tab w:val="num" w:pos="720"/>
        </w:tabs>
        <w:ind w:left="720" w:hanging="360"/>
      </w:pPr>
      <w:rPr>
        <w:rFonts w:ascii="Wingdings" w:hAnsi="Wingdings" w:hint="default"/>
      </w:rPr>
    </w:lvl>
    <w:lvl w:ilvl="1" w:tplc="D9AE8B70">
      <w:start w:val="164"/>
      <w:numFmt w:val="bullet"/>
      <w:lvlText w:val="-"/>
      <w:lvlJc w:val="left"/>
      <w:pPr>
        <w:tabs>
          <w:tab w:val="num" w:pos="1440"/>
        </w:tabs>
        <w:ind w:left="1440" w:hanging="360"/>
      </w:pPr>
      <w:rPr>
        <w:rFonts w:ascii="Tahoma" w:hAnsi="Tahoma" w:cs="Times New Roman" w:hint="default"/>
      </w:rPr>
    </w:lvl>
    <w:lvl w:ilvl="2" w:tplc="C6A2B6A6">
      <w:start w:val="1"/>
      <w:numFmt w:val="bullet"/>
      <w:lvlText w:val=""/>
      <w:lvlJc w:val="left"/>
      <w:pPr>
        <w:tabs>
          <w:tab w:val="num" w:pos="2160"/>
        </w:tabs>
        <w:ind w:left="2160" w:hanging="360"/>
      </w:pPr>
      <w:rPr>
        <w:rFonts w:ascii="Wingdings" w:hAnsi="Wingdings" w:hint="default"/>
      </w:rPr>
    </w:lvl>
    <w:lvl w:ilvl="3" w:tplc="7F901DA2">
      <w:start w:val="1"/>
      <w:numFmt w:val="bullet"/>
      <w:lvlText w:val=""/>
      <w:lvlJc w:val="left"/>
      <w:pPr>
        <w:tabs>
          <w:tab w:val="num" w:pos="2880"/>
        </w:tabs>
        <w:ind w:left="2880" w:hanging="360"/>
      </w:pPr>
      <w:rPr>
        <w:rFonts w:ascii="Wingdings" w:hAnsi="Wingdings" w:hint="default"/>
      </w:rPr>
    </w:lvl>
    <w:lvl w:ilvl="4" w:tplc="28B87FF2">
      <w:start w:val="1"/>
      <w:numFmt w:val="bullet"/>
      <w:lvlText w:val=""/>
      <w:lvlJc w:val="left"/>
      <w:pPr>
        <w:tabs>
          <w:tab w:val="num" w:pos="3600"/>
        </w:tabs>
        <w:ind w:left="3600" w:hanging="360"/>
      </w:pPr>
      <w:rPr>
        <w:rFonts w:ascii="Wingdings" w:hAnsi="Wingdings" w:hint="default"/>
      </w:rPr>
    </w:lvl>
    <w:lvl w:ilvl="5" w:tplc="CD107A1C">
      <w:start w:val="1"/>
      <w:numFmt w:val="bullet"/>
      <w:lvlText w:val=""/>
      <w:lvlJc w:val="left"/>
      <w:pPr>
        <w:tabs>
          <w:tab w:val="num" w:pos="4320"/>
        </w:tabs>
        <w:ind w:left="4320" w:hanging="360"/>
      </w:pPr>
      <w:rPr>
        <w:rFonts w:ascii="Wingdings" w:hAnsi="Wingdings" w:hint="default"/>
      </w:rPr>
    </w:lvl>
    <w:lvl w:ilvl="6" w:tplc="04520770">
      <w:start w:val="1"/>
      <w:numFmt w:val="bullet"/>
      <w:lvlText w:val=""/>
      <w:lvlJc w:val="left"/>
      <w:pPr>
        <w:tabs>
          <w:tab w:val="num" w:pos="5040"/>
        </w:tabs>
        <w:ind w:left="5040" w:hanging="360"/>
      </w:pPr>
      <w:rPr>
        <w:rFonts w:ascii="Wingdings" w:hAnsi="Wingdings" w:hint="default"/>
      </w:rPr>
    </w:lvl>
    <w:lvl w:ilvl="7" w:tplc="AB80E67E">
      <w:start w:val="1"/>
      <w:numFmt w:val="bullet"/>
      <w:lvlText w:val=""/>
      <w:lvlJc w:val="left"/>
      <w:pPr>
        <w:tabs>
          <w:tab w:val="num" w:pos="5760"/>
        </w:tabs>
        <w:ind w:left="5760" w:hanging="360"/>
      </w:pPr>
      <w:rPr>
        <w:rFonts w:ascii="Wingdings" w:hAnsi="Wingdings" w:hint="default"/>
      </w:rPr>
    </w:lvl>
    <w:lvl w:ilvl="8" w:tplc="3098A5A2">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161421E"/>
    <w:multiLevelType w:val="hybridMultilevel"/>
    <w:tmpl w:val="BA0E56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65123D"/>
    <w:multiLevelType w:val="hybridMultilevel"/>
    <w:tmpl w:val="DB6E9B6E"/>
    <w:lvl w:ilvl="0" w:tplc="178A7074">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3A94C96"/>
    <w:multiLevelType w:val="hybridMultilevel"/>
    <w:tmpl w:val="C936D27C"/>
    <w:lvl w:ilvl="0" w:tplc="0409000D">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F820B1"/>
    <w:multiLevelType w:val="hybridMultilevel"/>
    <w:tmpl w:val="D92619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3162DC"/>
    <w:multiLevelType w:val="hybridMultilevel"/>
    <w:tmpl w:val="DAEE6A56"/>
    <w:lvl w:ilvl="0" w:tplc="04090005">
      <w:start w:val="1"/>
      <w:numFmt w:val="bullet"/>
      <w:lvlText w:val=""/>
      <w:lvlJc w:val="left"/>
      <w:pPr>
        <w:ind w:left="624" w:hanging="360"/>
      </w:pPr>
      <w:rPr>
        <w:rFonts w:ascii="Wingdings" w:hAnsi="Wingdings" w:hint="default"/>
      </w:rPr>
    </w:lvl>
    <w:lvl w:ilvl="1" w:tplc="04090003" w:tentative="1">
      <w:start w:val="1"/>
      <w:numFmt w:val="bullet"/>
      <w:lvlText w:val="o"/>
      <w:lvlJc w:val="left"/>
      <w:pPr>
        <w:ind w:left="1344" w:hanging="360"/>
      </w:pPr>
      <w:rPr>
        <w:rFonts w:ascii="Courier New" w:hAnsi="Courier New" w:cs="Courier New" w:hint="default"/>
      </w:rPr>
    </w:lvl>
    <w:lvl w:ilvl="2" w:tplc="04090005" w:tentative="1">
      <w:start w:val="1"/>
      <w:numFmt w:val="bullet"/>
      <w:lvlText w:val=""/>
      <w:lvlJc w:val="left"/>
      <w:pPr>
        <w:ind w:left="2064" w:hanging="360"/>
      </w:pPr>
      <w:rPr>
        <w:rFonts w:ascii="Wingdings" w:hAnsi="Wingdings" w:hint="default"/>
      </w:rPr>
    </w:lvl>
    <w:lvl w:ilvl="3" w:tplc="04090001" w:tentative="1">
      <w:start w:val="1"/>
      <w:numFmt w:val="bullet"/>
      <w:lvlText w:val=""/>
      <w:lvlJc w:val="left"/>
      <w:pPr>
        <w:ind w:left="2784" w:hanging="360"/>
      </w:pPr>
      <w:rPr>
        <w:rFonts w:ascii="Symbol" w:hAnsi="Symbol" w:hint="default"/>
      </w:rPr>
    </w:lvl>
    <w:lvl w:ilvl="4" w:tplc="04090003" w:tentative="1">
      <w:start w:val="1"/>
      <w:numFmt w:val="bullet"/>
      <w:lvlText w:val="o"/>
      <w:lvlJc w:val="left"/>
      <w:pPr>
        <w:ind w:left="3504" w:hanging="360"/>
      </w:pPr>
      <w:rPr>
        <w:rFonts w:ascii="Courier New" w:hAnsi="Courier New" w:cs="Courier New" w:hint="default"/>
      </w:rPr>
    </w:lvl>
    <w:lvl w:ilvl="5" w:tplc="04090005" w:tentative="1">
      <w:start w:val="1"/>
      <w:numFmt w:val="bullet"/>
      <w:lvlText w:val=""/>
      <w:lvlJc w:val="left"/>
      <w:pPr>
        <w:ind w:left="4224" w:hanging="360"/>
      </w:pPr>
      <w:rPr>
        <w:rFonts w:ascii="Wingdings" w:hAnsi="Wingdings" w:hint="default"/>
      </w:rPr>
    </w:lvl>
    <w:lvl w:ilvl="6" w:tplc="04090001" w:tentative="1">
      <w:start w:val="1"/>
      <w:numFmt w:val="bullet"/>
      <w:lvlText w:val=""/>
      <w:lvlJc w:val="left"/>
      <w:pPr>
        <w:ind w:left="4944" w:hanging="360"/>
      </w:pPr>
      <w:rPr>
        <w:rFonts w:ascii="Symbol" w:hAnsi="Symbol" w:hint="default"/>
      </w:rPr>
    </w:lvl>
    <w:lvl w:ilvl="7" w:tplc="04090003" w:tentative="1">
      <w:start w:val="1"/>
      <w:numFmt w:val="bullet"/>
      <w:lvlText w:val="o"/>
      <w:lvlJc w:val="left"/>
      <w:pPr>
        <w:ind w:left="5664" w:hanging="360"/>
      </w:pPr>
      <w:rPr>
        <w:rFonts w:ascii="Courier New" w:hAnsi="Courier New" w:cs="Courier New" w:hint="default"/>
      </w:rPr>
    </w:lvl>
    <w:lvl w:ilvl="8" w:tplc="04090005" w:tentative="1">
      <w:start w:val="1"/>
      <w:numFmt w:val="bullet"/>
      <w:lvlText w:val=""/>
      <w:lvlJc w:val="left"/>
      <w:pPr>
        <w:ind w:left="6384" w:hanging="360"/>
      </w:pPr>
      <w:rPr>
        <w:rFonts w:ascii="Wingdings" w:hAnsi="Wingdings" w:hint="default"/>
      </w:rPr>
    </w:lvl>
  </w:abstractNum>
  <w:abstractNum w:abstractNumId="30" w15:restartNumberingAfterBreak="0">
    <w:nsid w:val="571E4F9B"/>
    <w:multiLevelType w:val="hybridMultilevel"/>
    <w:tmpl w:val="A3E4E6CC"/>
    <w:lvl w:ilvl="0" w:tplc="CD78004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598C0E15"/>
    <w:multiLevelType w:val="hybridMultilevel"/>
    <w:tmpl w:val="C1EC1D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820014"/>
    <w:multiLevelType w:val="hybridMultilevel"/>
    <w:tmpl w:val="4F5E3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1421F2"/>
    <w:multiLevelType w:val="hybridMultilevel"/>
    <w:tmpl w:val="0CAA46FE"/>
    <w:lvl w:ilvl="0" w:tplc="0418001B">
      <w:start w:val="1"/>
      <w:numFmt w:val="lowerRoman"/>
      <w:lvlText w:val="%1."/>
      <w:lvlJc w:val="righ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7476261"/>
    <w:multiLevelType w:val="hybridMultilevel"/>
    <w:tmpl w:val="E69A699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780770A"/>
    <w:multiLevelType w:val="hybridMultilevel"/>
    <w:tmpl w:val="04FEE4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A45411"/>
    <w:multiLevelType w:val="hybridMultilevel"/>
    <w:tmpl w:val="A90EECEE"/>
    <w:lvl w:ilvl="0" w:tplc="29F6175A">
      <w:start w:val="1"/>
      <w:numFmt w:val="decimal"/>
      <w:lvlText w:val="%1."/>
      <w:lvlJc w:val="center"/>
      <w:pPr>
        <w:ind w:left="720" w:hanging="360"/>
      </w:pPr>
      <w:rPr>
        <w:rFonts w:ascii="Times New Roman" w:hAnsi="Times New Roman" w:hint="default"/>
        <w:b w:val="0"/>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A395C92"/>
    <w:multiLevelType w:val="hybridMultilevel"/>
    <w:tmpl w:val="0BA4F4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D471876"/>
    <w:multiLevelType w:val="hybridMultilevel"/>
    <w:tmpl w:val="275A0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0B7CED"/>
    <w:multiLevelType w:val="hybridMultilevel"/>
    <w:tmpl w:val="A8CAF74C"/>
    <w:lvl w:ilvl="0" w:tplc="0409000B">
      <w:start w:val="1"/>
      <w:numFmt w:val="bullet"/>
      <w:lvlText w:val=""/>
      <w:lvlJc w:val="left"/>
      <w:pPr>
        <w:tabs>
          <w:tab w:val="num" w:pos="360"/>
        </w:tabs>
        <w:ind w:left="3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15:restartNumberingAfterBreak="0">
    <w:nsid w:val="7AA86232"/>
    <w:multiLevelType w:val="hybridMultilevel"/>
    <w:tmpl w:val="C9A687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3C4E2A"/>
    <w:multiLevelType w:val="hybridMultilevel"/>
    <w:tmpl w:val="D400B348"/>
    <w:lvl w:ilvl="0" w:tplc="04090005">
      <w:start w:val="1"/>
      <w:numFmt w:val="bullet"/>
      <w:lvlText w:val=""/>
      <w:lvlJc w:val="left"/>
      <w:pPr>
        <w:ind w:left="792" w:hanging="360"/>
      </w:pPr>
      <w:rPr>
        <w:rFonts w:ascii="Wingdings" w:hAnsi="Wingding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42" w15:restartNumberingAfterBreak="0">
    <w:nsid w:val="7D8A5F2B"/>
    <w:multiLevelType w:val="hybridMultilevel"/>
    <w:tmpl w:val="575E1FE6"/>
    <w:lvl w:ilvl="0" w:tplc="40BE3B64">
      <w:start w:val="1"/>
      <w:numFmt w:val="lowerLetter"/>
      <w:lvlText w:val="%1)"/>
      <w:lvlJc w:val="left"/>
      <w:pPr>
        <w:ind w:left="644" w:hanging="360"/>
      </w:pPr>
      <w:rPr>
        <w:rFonts w:ascii="Arial" w:eastAsia="Calibri" w:hAnsi="Arial" w:cs="Arial"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43" w15:restartNumberingAfterBreak="0">
    <w:nsid w:val="7FD42EBA"/>
    <w:multiLevelType w:val="hybridMultilevel"/>
    <w:tmpl w:val="95706BAE"/>
    <w:lvl w:ilvl="0" w:tplc="F80ECCD8">
      <w:numFmt w:val="bullet"/>
      <w:lvlText w:val=""/>
      <w:lvlJc w:val="left"/>
      <w:pPr>
        <w:ind w:left="630" w:hanging="360"/>
      </w:pPr>
      <w:rPr>
        <w:rFonts w:ascii="Wingdings" w:eastAsia="Wingdings" w:hAnsi="Wingdings" w:cs="Wingdings" w:hint="default"/>
        <w:w w:val="100"/>
        <w:sz w:val="24"/>
        <w:szCs w:val="24"/>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abstractNumId w:val="40"/>
  </w:num>
  <w:num w:numId="2">
    <w:abstractNumId w:val="31"/>
  </w:num>
  <w:num w:numId="3">
    <w:abstractNumId w:val="23"/>
  </w:num>
  <w:num w:numId="4">
    <w:abstractNumId w:val="21"/>
  </w:num>
  <w:num w:numId="5">
    <w:abstractNumId w:val="7"/>
  </w:num>
  <w:num w:numId="6">
    <w:abstractNumId w:val="10"/>
  </w:num>
  <w:num w:numId="7">
    <w:abstractNumId w:val="17"/>
  </w:num>
  <w:num w:numId="8">
    <w:abstractNumId w:val="11"/>
  </w:num>
  <w:num w:numId="9">
    <w:abstractNumId w:val="19"/>
  </w:num>
  <w:num w:numId="10">
    <w:abstractNumId w:val="3"/>
  </w:num>
  <w:num w:numId="11">
    <w:abstractNumId w:val="38"/>
  </w:num>
  <w:num w:numId="12">
    <w:abstractNumId w:val="1"/>
  </w:num>
  <w:num w:numId="13">
    <w:abstractNumId w:val="8"/>
  </w:num>
  <w:num w:numId="14">
    <w:abstractNumId w:val="26"/>
  </w:num>
  <w:num w:numId="15">
    <w:abstractNumId w:val="15"/>
  </w:num>
  <w:num w:numId="16">
    <w:abstractNumId w:val="5"/>
  </w:num>
  <w:num w:numId="17">
    <w:abstractNumId w:val="42"/>
  </w:num>
  <w:num w:numId="18">
    <w:abstractNumId w:val="32"/>
  </w:num>
  <w:num w:numId="19">
    <w:abstractNumId w:val="41"/>
  </w:num>
  <w:num w:numId="20">
    <w:abstractNumId w:val="34"/>
  </w:num>
  <w:num w:numId="21">
    <w:abstractNumId w:val="20"/>
  </w:num>
  <w:num w:numId="22">
    <w:abstractNumId w:val="25"/>
  </w:num>
  <w:num w:numId="23">
    <w:abstractNumId w:val="14"/>
  </w:num>
  <w:num w:numId="24">
    <w:abstractNumId w:val="4"/>
  </w:num>
  <w:num w:numId="25">
    <w:abstractNumId w:val="6"/>
  </w:num>
  <w:num w:numId="26">
    <w:abstractNumId w:val="35"/>
  </w:num>
  <w:num w:numId="27">
    <w:abstractNumId w:val="9"/>
  </w:num>
  <w:num w:numId="28">
    <w:abstractNumId w:val="18"/>
  </w:num>
  <w:num w:numId="29">
    <w:abstractNumId w:val="37"/>
  </w:num>
  <w:num w:numId="30">
    <w:abstractNumId w:val="22"/>
  </w:num>
  <w:num w:numId="31">
    <w:abstractNumId w:val="36"/>
  </w:num>
  <w:num w:numId="32">
    <w:abstractNumId w:val="33"/>
  </w:num>
  <w:num w:numId="33">
    <w:abstractNumId w:val="30"/>
  </w:num>
  <w:num w:numId="34">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num>
  <w:num w:numId="36">
    <w:abstractNumId w:val="29"/>
  </w:num>
  <w:num w:numId="37">
    <w:abstractNumId w:val="43"/>
  </w:num>
  <w:num w:numId="38">
    <w:abstractNumId w:val="12"/>
  </w:num>
  <w:num w:numId="39">
    <w:abstractNumId w:val="2"/>
  </w:num>
  <w:num w:numId="40">
    <w:abstractNumId w:val="16"/>
  </w:num>
  <w:num w:numId="41">
    <w:abstractNumId w:val="13"/>
  </w:num>
  <w:num w:numId="42">
    <w:abstractNumId w:val="28"/>
  </w:num>
  <w:num w:numId="43">
    <w:abstractNumId w:val="24"/>
    <w:lvlOverride w:ilvl="0"/>
    <w:lvlOverride w:ilvl="1"/>
    <w:lvlOverride w:ilvl="2"/>
    <w:lvlOverride w:ilvl="3"/>
    <w:lvlOverride w:ilvl="4"/>
    <w:lvlOverride w:ilvl="5"/>
    <w:lvlOverride w:ilvl="6"/>
    <w:lvlOverride w:ilvl="7"/>
    <w:lvlOverride w:ilvl="8"/>
  </w:num>
  <w:num w:numId="44">
    <w:abstractNumId w:val="27"/>
    <w:lvlOverride w:ilvl="0"/>
    <w:lvlOverride w:ilvl="1"/>
    <w:lvlOverride w:ilvl="2"/>
    <w:lvlOverride w:ilvl="3"/>
    <w:lvlOverride w:ilvl="4"/>
    <w:lvlOverride w:ilvl="5"/>
    <w:lvlOverride w:ilvl="6"/>
    <w:lvlOverride w:ilvl="7"/>
    <w:lvlOverride w:ilvl="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hideSpellingErrors/>
  <w:hideGrammatical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96E3F"/>
    <w:rsid w:val="000006EE"/>
    <w:rsid w:val="000035FC"/>
    <w:rsid w:val="000062DA"/>
    <w:rsid w:val="00010BC9"/>
    <w:rsid w:val="00010DF6"/>
    <w:rsid w:val="0001265A"/>
    <w:rsid w:val="0001282A"/>
    <w:rsid w:val="00013254"/>
    <w:rsid w:val="00016460"/>
    <w:rsid w:val="00020239"/>
    <w:rsid w:val="00020E62"/>
    <w:rsid w:val="0002315F"/>
    <w:rsid w:val="000252CE"/>
    <w:rsid w:val="00026548"/>
    <w:rsid w:val="00026FCA"/>
    <w:rsid w:val="000302B3"/>
    <w:rsid w:val="00034DB3"/>
    <w:rsid w:val="000370DD"/>
    <w:rsid w:val="00040AD8"/>
    <w:rsid w:val="00045530"/>
    <w:rsid w:val="0005057C"/>
    <w:rsid w:val="00056E7C"/>
    <w:rsid w:val="00063F8B"/>
    <w:rsid w:val="000640C9"/>
    <w:rsid w:val="00067FDA"/>
    <w:rsid w:val="00073C85"/>
    <w:rsid w:val="00074C8B"/>
    <w:rsid w:val="00076345"/>
    <w:rsid w:val="00077B4B"/>
    <w:rsid w:val="00080628"/>
    <w:rsid w:val="00080664"/>
    <w:rsid w:val="00081326"/>
    <w:rsid w:val="00081D5F"/>
    <w:rsid w:val="00085A87"/>
    <w:rsid w:val="00085CC6"/>
    <w:rsid w:val="000860D9"/>
    <w:rsid w:val="000863FF"/>
    <w:rsid w:val="000866EF"/>
    <w:rsid w:val="00095378"/>
    <w:rsid w:val="000A00BD"/>
    <w:rsid w:val="000A41FA"/>
    <w:rsid w:val="000A66BE"/>
    <w:rsid w:val="000B0011"/>
    <w:rsid w:val="000C1A44"/>
    <w:rsid w:val="000C25BD"/>
    <w:rsid w:val="000C5E1A"/>
    <w:rsid w:val="000C6A67"/>
    <w:rsid w:val="000D0BF9"/>
    <w:rsid w:val="000D3F81"/>
    <w:rsid w:val="000D7C65"/>
    <w:rsid w:val="000E0DBA"/>
    <w:rsid w:val="000E2C60"/>
    <w:rsid w:val="000E4D86"/>
    <w:rsid w:val="000E5D4D"/>
    <w:rsid w:val="000E6CCE"/>
    <w:rsid w:val="000E7106"/>
    <w:rsid w:val="000F2102"/>
    <w:rsid w:val="000F2D34"/>
    <w:rsid w:val="000F2DD5"/>
    <w:rsid w:val="000F5A53"/>
    <w:rsid w:val="00103B83"/>
    <w:rsid w:val="00116544"/>
    <w:rsid w:val="001177B1"/>
    <w:rsid w:val="00124020"/>
    <w:rsid w:val="001267A3"/>
    <w:rsid w:val="00127207"/>
    <w:rsid w:val="00133061"/>
    <w:rsid w:val="00133749"/>
    <w:rsid w:val="00135F55"/>
    <w:rsid w:val="001364AB"/>
    <w:rsid w:val="00140DE9"/>
    <w:rsid w:val="00141AD3"/>
    <w:rsid w:val="001467D5"/>
    <w:rsid w:val="00146E05"/>
    <w:rsid w:val="001506BA"/>
    <w:rsid w:val="001523E0"/>
    <w:rsid w:val="00155087"/>
    <w:rsid w:val="0015668D"/>
    <w:rsid w:val="00157025"/>
    <w:rsid w:val="00157F24"/>
    <w:rsid w:val="00161B51"/>
    <w:rsid w:val="00162202"/>
    <w:rsid w:val="001645A3"/>
    <w:rsid w:val="001714CD"/>
    <w:rsid w:val="00175135"/>
    <w:rsid w:val="00185C4B"/>
    <w:rsid w:val="00186EA4"/>
    <w:rsid w:val="001906A2"/>
    <w:rsid w:val="00193573"/>
    <w:rsid w:val="001937AF"/>
    <w:rsid w:val="001938E7"/>
    <w:rsid w:val="001969D6"/>
    <w:rsid w:val="00196B6A"/>
    <w:rsid w:val="001A2401"/>
    <w:rsid w:val="001A346C"/>
    <w:rsid w:val="001A3C6B"/>
    <w:rsid w:val="001A753B"/>
    <w:rsid w:val="001A7DD5"/>
    <w:rsid w:val="001B55C3"/>
    <w:rsid w:val="001B6344"/>
    <w:rsid w:val="001B79A0"/>
    <w:rsid w:val="001C0FC3"/>
    <w:rsid w:val="001C1C34"/>
    <w:rsid w:val="001C325A"/>
    <w:rsid w:val="001D17BD"/>
    <w:rsid w:val="001D27E8"/>
    <w:rsid w:val="001D2B13"/>
    <w:rsid w:val="001D348E"/>
    <w:rsid w:val="001D579D"/>
    <w:rsid w:val="001D6FAF"/>
    <w:rsid w:val="001E39F2"/>
    <w:rsid w:val="001E63F8"/>
    <w:rsid w:val="001F5B84"/>
    <w:rsid w:val="001F7712"/>
    <w:rsid w:val="00203961"/>
    <w:rsid w:val="00211873"/>
    <w:rsid w:val="00214458"/>
    <w:rsid w:val="00216175"/>
    <w:rsid w:val="002163FD"/>
    <w:rsid w:val="002164CB"/>
    <w:rsid w:val="00224325"/>
    <w:rsid w:val="0022684D"/>
    <w:rsid w:val="002302AB"/>
    <w:rsid w:val="00231CAF"/>
    <w:rsid w:val="002365E6"/>
    <w:rsid w:val="00240329"/>
    <w:rsid w:val="00242657"/>
    <w:rsid w:val="00250379"/>
    <w:rsid w:val="00250C3A"/>
    <w:rsid w:val="00251A9F"/>
    <w:rsid w:val="00257A75"/>
    <w:rsid w:val="0026160D"/>
    <w:rsid w:val="002618B8"/>
    <w:rsid w:val="00263CFB"/>
    <w:rsid w:val="00272CA6"/>
    <w:rsid w:val="002812C8"/>
    <w:rsid w:val="00282A1A"/>
    <w:rsid w:val="00283E33"/>
    <w:rsid w:val="00284057"/>
    <w:rsid w:val="00286DDF"/>
    <w:rsid w:val="00290D29"/>
    <w:rsid w:val="00293590"/>
    <w:rsid w:val="00293AAD"/>
    <w:rsid w:val="00294FF4"/>
    <w:rsid w:val="00295B05"/>
    <w:rsid w:val="00296561"/>
    <w:rsid w:val="0029705A"/>
    <w:rsid w:val="0029759D"/>
    <w:rsid w:val="00297EE6"/>
    <w:rsid w:val="002A4475"/>
    <w:rsid w:val="002A4478"/>
    <w:rsid w:val="002A61B3"/>
    <w:rsid w:val="002A6A26"/>
    <w:rsid w:val="002A777F"/>
    <w:rsid w:val="002B0255"/>
    <w:rsid w:val="002B0DC2"/>
    <w:rsid w:val="002B452F"/>
    <w:rsid w:val="002B4537"/>
    <w:rsid w:val="002B5DB0"/>
    <w:rsid w:val="002C6220"/>
    <w:rsid w:val="002C6A66"/>
    <w:rsid w:val="002D0121"/>
    <w:rsid w:val="002D0C4D"/>
    <w:rsid w:val="002D1648"/>
    <w:rsid w:val="002D2B05"/>
    <w:rsid w:val="002D3BDB"/>
    <w:rsid w:val="002D7005"/>
    <w:rsid w:val="002E02F0"/>
    <w:rsid w:val="002E2085"/>
    <w:rsid w:val="002E401B"/>
    <w:rsid w:val="002E42E6"/>
    <w:rsid w:val="002F08B4"/>
    <w:rsid w:val="002F2DEE"/>
    <w:rsid w:val="002F46B1"/>
    <w:rsid w:val="002F65F7"/>
    <w:rsid w:val="0030033D"/>
    <w:rsid w:val="00300C8A"/>
    <w:rsid w:val="00304184"/>
    <w:rsid w:val="00304AAA"/>
    <w:rsid w:val="00305590"/>
    <w:rsid w:val="00311207"/>
    <w:rsid w:val="00311D5E"/>
    <w:rsid w:val="0031393C"/>
    <w:rsid w:val="0031670B"/>
    <w:rsid w:val="00323035"/>
    <w:rsid w:val="00327F93"/>
    <w:rsid w:val="003335CC"/>
    <w:rsid w:val="00335FFC"/>
    <w:rsid w:val="0034257E"/>
    <w:rsid w:val="0034372B"/>
    <w:rsid w:val="003529D4"/>
    <w:rsid w:val="00353A07"/>
    <w:rsid w:val="0035663B"/>
    <w:rsid w:val="00360143"/>
    <w:rsid w:val="00360521"/>
    <w:rsid w:val="003621BB"/>
    <w:rsid w:val="003634EA"/>
    <w:rsid w:val="00364698"/>
    <w:rsid w:val="003701C4"/>
    <w:rsid w:val="003704F7"/>
    <w:rsid w:val="00373E67"/>
    <w:rsid w:val="003763E3"/>
    <w:rsid w:val="00376BF9"/>
    <w:rsid w:val="00377E37"/>
    <w:rsid w:val="00380D0F"/>
    <w:rsid w:val="00381CFF"/>
    <w:rsid w:val="00381F74"/>
    <w:rsid w:val="003842F0"/>
    <w:rsid w:val="00386CB6"/>
    <w:rsid w:val="003914C9"/>
    <w:rsid w:val="003A114E"/>
    <w:rsid w:val="003A2C81"/>
    <w:rsid w:val="003A66CC"/>
    <w:rsid w:val="003A777C"/>
    <w:rsid w:val="003A7E61"/>
    <w:rsid w:val="003B1A6B"/>
    <w:rsid w:val="003B2E54"/>
    <w:rsid w:val="003B4ADC"/>
    <w:rsid w:val="003B5E49"/>
    <w:rsid w:val="003B610F"/>
    <w:rsid w:val="003B6562"/>
    <w:rsid w:val="003C0F88"/>
    <w:rsid w:val="003D2772"/>
    <w:rsid w:val="003D62A0"/>
    <w:rsid w:val="003E0C26"/>
    <w:rsid w:val="003E0DF7"/>
    <w:rsid w:val="003E125A"/>
    <w:rsid w:val="003E6557"/>
    <w:rsid w:val="003E6A85"/>
    <w:rsid w:val="003F02D7"/>
    <w:rsid w:val="003F0F4E"/>
    <w:rsid w:val="003F18E0"/>
    <w:rsid w:val="003F5B73"/>
    <w:rsid w:val="00400F46"/>
    <w:rsid w:val="00401689"/>
    <w:rsid w:val="00406DCE"/>
    <w:rsid w:val="0040782D"/>
    <w:rsid w:val="00411490"/>
    <w:rsid w:val="004210AD"/>
    <w:rsid w:val="0042281D"/>
    <w:rsid w:val="00422AE1"/>
    <w:rsid w:val="00424677"/>
    <w:rsid w:val="00431DB1"/>
    <w:rsid w:val="004325BE"/>
    <w:rsid w:val="00435DBC"/>
    <w:rsid w:val="00443416"/>
    <w:rsid w:val="00444E7D"/>
    <w:rsid w:val="00445724"/>
    <w:rsid w:val="0044610A"/>
    <w:rsid w:val="00456994"/>
    <w:rsid w:val="00461784"/>
    <w:rsid w:val="004649D1"/>
    <w:rsid w:val="004670DC"/>
    <w:rsid w:val="0047190D"/>
    <w:rsid w:val="004737F6"/>
    <w:rsid w:val="004815AD"/>
    <w:rsid w:val="0048184B"/>
    <w:rsid w:val="00482393"/>
    <w:rsid w:val="004853EC"/>
    <w:rsid w:val="00496FC0"/>
    <w:rsid w:val="00497B00"/>
    <w:rsid w:val="004A5236"/>
    <w:rsid w:val="004B0E13"/>
    <w:rsid w:val="004B1480"/>
    <w:rsid w:val="004B4BEC"/>
    <w:rsid w:val="004B4C77"/>
    <w:rsid w:val="004B4D08"/>
    <w:rsid w:val="004B5882"/>
    <w:rsid w:val="004C1A83"/>
    <w:rsid w:val="004C529C"/>
    <w:rsid w:val="004C5B55"/>
    <w:rsid w:val="004D0173"/>
    <w:rsid w:val="004D0EE3"/>
    <w:rsid w:val="004D2EDB"/>
    <w:rsid w:val="004D3518"/>
    <w:rsid w:val="004D42C7"/>
    <w:rsid w:val="004D4821"/>
    <w:rsid w:val="004E0A9A"/>
    <w:rsid w:val="004E134F"/>
    <w:rsid w:val="004E1744"/>
    <w:rsid w:val="004E192F"/>
    <w:rsid w:val="004E35A1"/>
    <w:rsid w:val="004F1E14"/>
    <w:rsid w:val="004F27C8"/>
    <w:rsid w:val="004F3EAD"/>
    <w:rsid w:val="004F587C"/>
    <w:rsid w:val="00502C76"/>
    <w:rsid w:val="00502DE2"/>
    <w:rsid w:val="00503C1A"/>
    <w:rsid w:val="0050550C"/>
    <w:rsid w:val="0051442C"/>
    <w:rsid w:val="00526832"/>
    <w:rsid w:val="005304D1"/>
    <w:rsid w:val="00530521"/>
    <w:rsid w:val="005355E5"/>
    <w:rsid w:val="00537088"/>
    <w:rsid w:val="00544316"/>
    <w:rsid w:val="00556395"/>
    <w:rsid w:val="00556768"/>
    <w:rsid w:val="00561544"/>
    <w:rsid w:val="00564592"/>
    <w:rsid w:val="00565179"/>
    <w:rsid w:val="0056611C"/>
    <w:rsid w:val="005674EB"/>
    <w:rsid w:val="00570E43"/>
    <w:rsid w:val="005747A6"/>
    <w:rsid w:val="005763E2"/>
    <w:rsid w:val="005774DB"/>
    <w:rsid w:val="00577B84"/>
    <w:rsid w:val="00577C63"/>
    <w:rsid w:val="00580D45"/>
    <w:rsid w:val="00581D4F"/>
    <w:rsid w:val="005838AC"/>
    <w:rsid w:val="00583A5B"/>
    <w:rsid w:val="00584026"/>
    <w:rsid w:val="0058702A"/>
    <w:rsid w:val="00590D98"/>
    <w:rsid w:val="00591A7D"/>
    <w:rsid w:val="00593182"/>
    <w:rsid w:val="0059371B"/>
    <w:rsid w:val="005954B9"/>
    <w:rsid w:val="00597FB2"/>
    <w:rsid w:val="005A08AD"/>
    <w:rsid w:val="005A28CB"/>
    <w:rsid w:val="005A44AF"/>
    <w:rsid w:val="005A5EF8"/>
    <w:rsid w:val="005B0651"/>
    <w:rsid w:val="005B3B58"/>
    <w:rsid w:val="005B5E0D"/>
    <w:rsid w:val="005B6798"/>
    <w:rsid w:val="005D375D"/>
    <w:rsid w:val="005D381D"/>
    <w:rsid w:val="005D4494"/>
    <w:rsid w:val="005D4920"/>
    <w:rsid w:val="005D67A0"/>
    <w:rsid w:val="005E2AB8"/>
    <w:rsid w:val="005E2E6D"/>
    <w:rsid w:val="005E6758"/>
    <w:rsid w:val="005E6C01"/>
    <w:rsid w:val="005F4635"/>
    <w:rsid w:val="005F6B39"/>
    <w:rsid w:val="006013D1"/>
    <w:rsid w:val="00602028"/>
    <w:rsid w:val="00603963"/>
    <w:rsid w:val="00611B20"/>
    <w:rsid w:val="00612317"/>
    <w:rsid w:val="006257B0"/>
    <w:rsid w:val="00627F72"/>
    <w:rsid w:val="00633121"/>
    <w:rsid w:val="00635007"/>
    <w:rsid w:val="00642624"/>
    <w:rsid w:val="00643B55"/>
    <w:rsid w:val="006468B6"/>
    <w:rsid w:val="006535E4"/>
    <w:rsid w:val="0065493B"/>
    <w:rsid w:val="00664A42"/>
    <w:rsid w:val="00673F52"/>
    <w:rsid w:val="006747D0"/>
    <w:rsid w:val="00675CBE"/>
    <w:rsid w:val="006774BC"/>
    <w:rsid w:val="0068341A"/>
    <w:rsid w:val="006856B3"/>
    <w:rsid w:val="006867E4"/>
    <w:rsid w:val="006875A3"/>
    <w:rsid w:val="006902A5"/>
    <w:rsid w:val="00690D54"/>
    <w:rsid w:val="006911B2"/>
    <w:rsid w:val="00691F92"/>
    <w:rsid w:val="006949D9"/>
    <w:rsid w:val="00696E3F"/>
    <w:rsid w:val="006A071B"/>
    <w:rsid w:val="006A3266"/>
    <w:rsid w:val="006A43DC"/>
    <w:rsid w:val="006B23D0"/>
    <w:rsid w:val="006B6068"/>
    <w:rsid w:val="006B6AA5"/>
    <w:rsid w:val="006C192F"/>
    <w:rsid w:val="006C1994"/>
    <w:rsid w:val="006C7413"/>
    <w:rsid w:val="006D6716"/>
    <w:rsid w:val="006E7418"/>
    <w:rsid w:val="006E7C79"/>
    <w:rsid w:val="006E7F55"/>
    <w:rsid w:val="006F004E"/>
    <w:rsid w:val="00703734"/>
    <w:rsid w:val="00710E48"/>
    <w:rsid w:val="00713392"/>
    <w:rsid w:val="00720075"/>
    <w:rsid w:val="00722A82"/>
    <w:rsid w:val="00724EFF"/>
    <w:rsid w:val="00727B0A"/>
    <w:rsid w:val="007344FB"/>
    <w:rsid w:val="00735116"/>
    <w:rsid w:val="007479BC"/>
    <w:rsid w:val="00753948"/>
    <w:rsid w:val="007636E1"/>
    <w:rsid w:val="007659BC"/>
    <w:rsid w:val="00765FB7"/>
    <w:rsid w:val="0077485E"/>
    <w:rsid w:val="00776AC9"/>
    <w:rsid w:val="0077749D"/>
    <w:rsid w:val="007802E5"/>
    <w:rsid w:val="0078091A"/>
    <w:rsid w:val="007836FB"/>
    <w:rsid w:val="00796544"/>
    <w:rsid w:val="007A0218"/>
    <w:rsid w:val="007A1DC7"/>
    <w:rsid w:val="007A2956"/>
    <w:rsid w:val="007A2E92"/>
    <w:rsid w:val="007A3BE6"/>
    <w:rsid w:val="007B3977"/>
    <w:rsid w:val="007C0909"/>
    <w:rsid w:val="007C2AD4"/>
    <w:rsid w:val="007C40D8"/>
    <w:rsid w:val="007D4BA4"/>
    <w:rsid w:val="007D4CCA"/>
    <w:rsid w:val="007D5CB1"/>
    <w:rsid w:val="007E015A"/>
    <w:rsid w:val="007E701D"/>
    <w:rsid w:val="007F32B8"/>
    <w:rsid w:val="007F577B"/>
    <w:rsid w:val="008106B7"/>
    <w:rsid w:val="008109F7"/>
    <w:rsid w:val="0081121B"/>
    <w:rsid w:val="0081136A"/>
    <w:rsid w:val="00822DEB"/>
    <w:rsid w:val="00824DD6"/>
    <w:rsid w:val="00825106"/>
    <w:rsid w:val="00835718"/>
    <w:rsid w:val="00840A9D"/>
    <w:rsid w:val="008414A7"/>
    <w:rsid w:val="00844693"/>
    <w:rsid w:val="0085481F"/>
    <w:rsid w:val="00854848"/>
    <w:rsid w:val="00857D6E"/>
    <w:rsid w:val="00864DFE"/>
    <w:rsid w:val="00866A1A"/>
    <w:rsid w:val="008708CC"/>
    <w:rsid w:val="00872CA8"/>
    <w:rsid w:val="0088114A"/>
    <w:rsid w:val="008813F9"/>
    <w:rsid w:val="00881B6A"/>
    <w:rsid w:val="00881BB9"/>
    <w:rsid w:val="00884A0F"/>
    <w:rsid w:val="0088684F"/>
    <w:rsid w:val="008910A2"/>
    <w:rsid w:val="00893E48"/>
    <w:rsid w:val="00896493"/>
    <w:rsid w:val="008A09E4"/>
    <w:rsid w:val="008B0FEB"/>
    <w:rsid w:val="008B25B0"/>
    <w:rsid w:val="008B2808"/>
    <w:rsid w:val="008B6646"/>
    <w:rsid w:val="008B7DE1"/>
    <w:rsid w:val="008C3623"/>
    <w:rsid w:val="008C549F"/>
    <w:rsid w:val="008C756B"/>
    <w:rsid w:val="008E0724"/>
    <w:rsid w:val="008E5539"/>
    <w:rsid w:val="008E6A44"/>
    <w:rsid w:val="008E7B72"/>
    <w:rsid w:val="008F04D5"/>
    <w:rsid w:val="008F15C8"/>
    <w:rsid w:val="009026D3"/>
    <w:rsid w:val="00907FFB"/>
    <w:rsid w:val="00911C1C"/>
    <w:rsid w:val="00911CFD"/>
    <w:rsid w:val="009142A1"/>
    <w:rsid w:val="009147D5"/>
    <w:rsid w:val="009153D2"/>
    <w:rsid w:val="00921232"/>
    <w:rsid w:val="009228A4"/>
    <w:rsid w:val="0092470A"/>
    <w:rsid w:val="00925A09"/>
    <w:rsid w:val="00925AED"/>
    <w:rsid w:val="009264F0"/>
    <w:rsid w:val="00926F15"/>
    <w:rsid w:val="009323A6"/>
    <w:rsid w:val="0093612C"/>
    <w:rsid w:val="00940D9D"/>
    <w:rsid w:val="00943D97"/>
    <w:rsid w:val="00945A7F"/>
    <w:rsid w:val="00945F56"/>
    <w:rsid w:val="009460D6"/>
    <w:rsid w:val="00946934"/>
    <w:rsid w:val="0095004F"/>
    <w:rsid w:val="009550B8"/>
    <w:rsid w:val="00955AD3"/>
    <w:rsid w:val="009624C0"/>
    <w:rsid w:val="00963A96"/>
    <w:rsid w:val="00965358"/>
    <w:rsid w:val="0096602D"/>
    <w:rsid w:val="00967198"/>
    <w:rsid w:val="0097070C"/>
    <w:rsid w:val="00970783"/>
    <w:rsid w:val="00972E5C"/>
    <w:rsid w:val="00974B9A"/>
    <w:rsid w:val="00975B17"/>
    <w:rsid w:val="009760DD"/>
    <w:rsid w:val="00976C60"/>
    <w:rsid w:val="00980E41"/>
    <w:rsid w:val="00982405"/>
    <w:rsid w:val="00982F2C"/>
    <w:rsid w:val="009834AD"/>
    <w:rsid w:val="00985439"/>
    <w:rsid w:val="00990915"/>
    <w:rsid w:val="00995B91"/>
    <w:rsid w:val="009A3792"/>
    <w:rsid w:val="009B1EDA"/>
    <w:rsid w:val="009B34CF"/>
    <w:rsid w:val="009B411D"/>
    <w:rsid w:val="009B6A9D"/>
    <w:rsid w:val="009B6CC9"/>
    <w:rsid w:val="009C57DD"/>
    <w:rsid w:val="009D0DF8"/>
    <w:rsid w:val="009D48C4"/>
    <w:rsid w:val="009D55AD"/>
    <w:rsid w:val="009D6F02"/>
    <w:rsid w:val="009D71D0"/>
    <w:rsid w:val="009D7B1D"/>
    <w:rsid w:val="009E176F"/>
    <w:rsid w:val="009E272E"/>
    <w:rsid w:val="009E284A"/>
    <w:rsid w:val="009E5EBB"/>
    <w:rsid w:val="009F248A"/>
    <w:rsid w:val="009F5A86"/>
    <w:rsid w:val="009F68E9"/>
    <w:rsid w:val="009F6C33"/>
    <w:rsid w:val="00A010A5"/>
    <w:rsid w:val="00A01648"/>
    <w:rsid w:val="00A05609"/>
    <w:rsid w:val="00A10005"/>
    <w:rsid w:val="00A122FC"/>
    <w:rsid w:val="00A15254"/>
    <w:rsid w:val="00A20CA9"/>
    <w:rsid w:val="00A24E60"/>
    <w:rsid w:val="00A35F72"/>
    <w:rsid w:val="00A4188F"/>
    <w:rsid w:val="00A460EA"/>
    <w:rsid w:val="00A4735D"/>
    <w:rsid w:val="00A52030"/>
    <w:rsid w:val="00A604C1"/>
    <w:rsid w:val="00A6134A"/>
    <w:rsid w:val="00A766FD"/>
    <w:rsid w:val="00A80192"/>
    <w:rsid w:val="00A80EDC"/>
    <w:rsid w:val="00A827CF"/>
    <w:rsid w:val="00A8324E"/>
    <w:rsid w:val="00A95AD9"/>
    <w:rsid w:val="00AA0B78"/>
    <w:rsid w:val="00AA0D01"/>
    <w:rsid w:val="00AB14C2"/>
    <w:rsid w:val="00AB243D"/>
    <w:rsid w:val="00AC145A"/>
    <w:rsid w:val="00AD0E6B"/>
    <w:rsid w:val="00AD2110"/>
    <w:rsid w:val="00AD4F1F"/>
    <w:rsid w:val="00AE11FF"/>
    <w:rsid w:val="00AE165A"/>
    <w:rsid w:val="00AE1686"/>
    <w:rsid w:val="00AE26F8"/>
    <w:rsid w:val="00AE360A"/>
    <w:rsid w:val="00AE51F3"/>
    <w:rsid w:val="00AE6171"/>
    <w:rsid w:val="00AE6D68"/>
    <w:rsid w:val="00AF1AFD"/>
    <w:rsid w:val="00AF1E43"/>
    <w:rsid w:val="00AF2F7A"/>
    <w:rsid w:val="00B022CF"/>
    <w:rsid w:val="00B06E0D"/>
    <w:rsid w:val="00B10F74"/>
    <w:rsid w:val="00B12925"/>
    <w:rsid w:val="00B13F17"/>
    <w:rsid w:val="00B17747"/>
    <w:rsid w:val="00B24B3D"/>
    <w:rsid w:val="00B25A7E"/>
    <w:rsid w:val="00B268A2"/>
    <w:rsid w:val="00B330F5"/>
    <w:rsid w:val="00B348CD"/>
    <w:rsid w:val="00B358CD"/>
    <w:rsid w:val="00B43E31"/>
    <w:rsid w:val="00B43F1A"/>
    <w:rsid w:val="00B4655E"/>
    <w:rsid w:val="00B46CD7"/>
    <w:rsid w:val="00B47399"/>
    <w:rsid w:val="00B47B30"/>
    <w:rsid w:val="00B50908"/>
    <w:rsid w:val="00B5243E"/>
    <w:rsid w:val="00B543DB"/>
    <w:rsid w:val="00B70ADE"/>
    <w:rsid w:val="00B72D0A"/>
    <w:rsid w:val="00B7307A"/>
    <w:rsid w:val="00B80304"/>
    <w:rsid w:val="00B820DD"/>
    <w:rsid w:val="00B90D04"/>
    <w:rsid w:val="00B91DE3"/>
    <w:rsid w:val="00BA0BDC"/>
    <w:rsid w:val="00BA700A"/>
    <w:rsid w:val="00BB2C3D"/>
    <w:rsid w:val="00BB3DE9"/>
    <w:rsid w:val="00BB6301"/>
    <w:rsid w:val="00BC04FB"/>
    <w:rsid w:val="00BD0510"/>
    <w:rsid w:val="00BD0C6B"/>
    <w:rsid w:val="00BE574E"/>
    <w:rsid w:val="00BF2C4C"/>
    <w:rsid w:val="00BF41E1"/>
    <w:rsid w:val="00BF46D2"/>
    <w:rsid w:val="00BF6472"/>
    <w:rsid w:val="00C041AB"/>
    <w:rsid w:val="00C06240"/>
    <w:rsid w:val="00C12C87"/>
    <w:rsid w:val="00C23BD6"/>
    <w:rsid w:val="00C253F7"/>
    <w:rsid w:val="00C27594"/>
    <w:rsid w:val="00C3183D"/>
    <w:rsid w:val="00C348CF"/>
    <w:rsid w:val="00C37D14"/>
    <w:rsid w:val="00C43313"/>
    <w:rsid w:val="00C440BD"/>
    <w:rsid w:val="00C451C0"/>
    <w:rsid w:val="00C47897"/>
    <w:rsid w:val="00C52D21"/>
    <w:rsid w:val="00C61857"/>
    <w:rsid w:val="00C70BD2"/>
    <w:rsid w:val="00C717DE"/>
    <w:rsid w:val="00C7414A"/>
    <w:rsid w:val="00C778EC"/>
    <w:rsid w:val="00C86CD6"/>
    <w:rsid w:val="00C86F98"/>
    <w:rsid w:val="00CA0239"/>
    <w:rsid w:val="00CB00E1"/>
    <w:rsid w:val="00CB2927"/>
    <w:rsid w:val="00CC0DB8"/>
    <w:rsid w:val="00CC34E5"/>
    <w:rsid w:val="00CC46C4"/>
    <w:rsid w:val="00CC697C"/>
    <w:rsid w:val="00CD5572"/>
    <w:rsid w:val="00CE2EA6"/>
    <w:rsid w:val="00CE3479"/>
    <w:rsid w:val="00CE394E"/>
    <w:rsid w:val="00CE57F1"/>
    <w:rsid w:val="00CF020A"/>
    <w:rsid w:val="00CF2DE1"/>
    <w:rsid w:val="00D003F7"/>
    <w:rsid w:val="00D00406"/>
    <w:rsid w:val="00D0077F"/>
    <w:rsid w:val="00D017D0"/>
    <w:rsid w:val="00D04317"/>
    <w:rsid w:val="00D07B97"/>
    <w:rsid w:val="00D14344"/>
    <w:rsid w:val="00D14E43"/>
    <w:rsid w:val="00D23C57"/>
    <w:rsid w:val="00D2776A"/>
    <w:rsid w:val="00D36D3E"/>
    <w:rsid w:val="00D40632"/>
    <w:rsid w:val="00D40EAC"/>
    <w:rsid w:val="00D41E32"/>
    <w:rsid w:val="00D45E55"/>
    <w:rsid w:val="00D500B2"/>
    <w:rsid w:val="00D53B44"/>
    <w:rsid w:val="00D53DC7"/>
    <w:rsid w:val="00D5732E"/>
    <w:rsid w:val="00D60DAD"/>
    <w:rsid w:val="00D61E67"/>
    <w:rsid w:val="00D7513E"/>
    <w:rsid w:val="00D7649E"/>
    <w:rsid w:val="00D76ECC"/>
    <w:rsid w:val="00D823EB"/>
    <w:rsid w:val="00D83626"/>
    <w:rsid w:val="00D83694"/>
    <w:rsid w:val="00D8640B"/>
    <w:rsid w:val="00D87A2A"/>
    <w:rsid w:val="00D93331"/>
    <w:rsid w:val="00D96F3E"/>
    <w:rsid w:val="00D979D8"/>
    <w:rsid w:val="00DA2E62"/>
    <w:rsid w:val="00DA4009"/>
    <w:rsid w:val="00DA53C8"/>
    <w:rsid w:val="00DA5493"/>
    <w:rsid w:val="00DA6B90"/>
    <w:rsid w:val="00DA6F0A"/>
    <w:rsid w:val="00DB37C0"/>
    <w:rsid w:val="00DB3AFF"/>
    <w:rsid w:val="00DB48FB"/>
    <w:rsid w:val="00DB655B"/>
    <w:rsid w:val="00DB6E0C"/>
    <w:rsid w:val="00DC3D41"/>
    <w:rsid w:val="00DC6DA1"/>
    <w:rsid w:val="00DD1503"/>
    <w:rsid w:val="00DD19EB"/>
    <w:rsid w:val="00DD2534"/>
    <w:rsid w:val="00DD5122"/>
    <w:rsid w:val="00DD5F85"/>
    <w:rsid w:val="00DD619A"/>
    <w:rsid w:val="00DE03A3"/>
    <w:rsid w:val="00DE389C"/>
    <w:rsid w:val="00DF597E"/>
    <w:rsid w:val="00DF67CA"/>
    <w:rsid w:val="00DF7F78"/>
    <w:rsid w:val="00E0304F"/>
    <w:rsid w:val="00E05CF0"/>
    <w:rsid w:val="00E07FFB"/>
    <w:rsid w:val="00E1343F"/>
    <w:rsid w:val="00E142BB"/>
    <w:rsid w:val="00E2017C"/>
    <w:rsid w:val="00E2098A"/>
    <w:rsid w:val="00E235DA"/>
    <w:rsid w:val="00E30301"/>
    <w:rsid w:val="00E34349"/>
    <w:rsid w:val="00E346CD"/>
    <w:rsid w:val="00E34F4F"/>
    <w:rsid w:val="00E3550C"/>
    <w:rsid w:val="00E3579A"/>
    <w:rsid w:val="00E35822"/>
    <w:rsid w:val="00E37183"/>
    <w:rsid w:val="00E3769C"/>
    <w:rsid w:val="00E4069A"/>
    <w:rsid w:val="00E45322"/>
    <w:rsid w:val="00E476A6"/>
    <w:rsid w:val="00E5223C"/>
    <w:rsid w:val="00E53080"/>
    <w:rsid w:val="00E5519A"/>
    <w:rsid w:val="00E6256F"/>
    <w:rsid w:val="00E62A2A"/>
    <w:rsid w:val="00E635FE"/>
    <w:rsid w:val="00E67A2D"/>
    <w:rsid w:val="00E71206"/>
    <w:rsid w:val="00E728E3"/>
    <w:rsid w:val="00E730C3"/>
    <w:rsid w:val="00E819BD"/>
    <w:rsid w:val="00E81EB7"/>
    <w:rsid w:val="00E8347A"/>
    <w:rsid w:val="00E96A60"/>
    <w:rsid w:val="00E96C8F"/>
    <w:rsid w:val="00E97A6E"/>
    <w:rsid w:val="00EA06CE"/>
    <w:rsid w:val="00EA119B"/>
    <w:rsid w:val="00EB52C8"/>
    <w:rsid w:val="00EB54A1"/>
    <w:rsid w:val="00EB797F"/>
    <w:rsid w:val="00EC2DBB"/>
    <w:rsid w:val="00EC4405"/>
    <w:rsid w:val="00ED010B"/>
    <w:rsid w:val="00ED5EA4"/>
    <w:rsid w:val="00EE04ED"/>
    <w:rsid w:val="00EE0640"/>
    <w:rsid w:val="00EE7E63"/>
    <w:rsid w:val="00F00AC5"/>
    <w:rsid w:val="00F02062"/>
    <w:rsid w:val="00F029F0"/>
    <w:rsid w:val="00F07466"/>
    <w:rsid w:val="00F07E86"/>
    <w:rsid w:val="00F115D7"/>
    <w:rsid w:val="00F12C7A"/>
    <w:rsid w:val="00F158BD"/>
    <w:rsid w:val="00F2091C"/>
    <w:rsid w:val="00F2266B"/>
    <w:rsid w:val="00F266A2"/>
    <w:rsid w:val="00F37433"/>
    <w:rsid w:val="00F56B12"/>
    <w:rsid w:val="00F64E59"/>
    <w:rsid w:val="00F65111"/>
    <w:rsid w:val="00F7012E"/>
    <w:rsid w:val="00F70549"/>
    <w:rsid w:val="00F7434B"/>
    <w:rsid w:val="00F74A1E"/>
    <w:rsid w:val="00F82144"/>
    <w:rsid w:val="00F85676"/>
    <w:rsid w:val="00F86F3D"/>
    <w:rsid w:val="00F90833"/>
    <w:rsid w:val="00F94754"/>
    <w:rsid w:val="00F949E3"/>
    <w:rsid w:val="00FA2298"/>
    <w:rsid w:val="00FA2CE3"/>
    <w:rsid w:val="00FA2FFB"/>
    <w:rsid w:val="00FA314C"/>
    <w:rsid w:val="00FA6E42"/>
    <w:rsid w:val="00FB2423"/>
    <w:rsid w:val="00FB4004"/>
    <w:rsid w:val="00FB407C"/>
    <w:rsid w:val="00FB4925"/>
    <w:rsid w:val="00FC0458"/>
    <w:rsid w:val="00FC1472"/>
    <w:rsid w:val="00FC4BD2"/>
    <w:rsid w:val="00FC706A"/>
    <w:rsid w:val="00FC7199"/>
    <w:rsid w:val="00FD3C72"/>
    <w:rsid w:val="00FD4289"/>
    <w:rsid w:val="00FD45E6"/>
    <w:rsid w:val="00FD7FBD"/>
    <w:rsid w:val="00FE2A1A"/>
    <w:rsid w:val="00FE3CCA"/>
    <w:rsid w:val="00FE6DF2"/>
    <w:rsid w:val="00FE6E36"/>
    <w:rsid w:val="00FE7DCF"/>
    <w:rsid w:val="00FF3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664690"/>
  <w15:docId w15:val="{2E3E383E-4B40-4676-BBD6-609519CFE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5493"/>
    <w:rPr>
      <w:lang w:val="ro-RO"/>
    </w:rPr>
  </w:style>
  <w:style w:type="paragraph" w:styleId="Heading1">
    <w:name w:val="heading 1"/>
    <w:basedOn w:val="Normal"/>
    <w:next w:val="Normal"/>
    <w:link w:val="Heading1Char"/>
    <w:uiPriority w:val="9"/>
    <w:qFormat/>
    <w:rsid w:val="00F226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226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2266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5668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503C1A"/>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266B"/>
    <w:rPr>
      <w:rFonts w:asciiTheme="majorHAnsi" w:eastAsiaTheme="majorEastAsia" w:hAnsiTheme="majorHAnsi" w:cstheme="majorBidi"/>
      <w:b/>
      <w:bCs/>
      <w:color w:val="365F91" w:themeColor="accent1" w:themeShade="BF"/>
      <w:sz w:val="28"/>
      <w:szCs w:val="28"/>
      <w:lang w:val="ro-RO"/>
    </w:rPr>
  </w:style>
  <w:style w:type="character" w:customStyle="1" w:styleId="Heading2Char">
    <w:name w:val="Heading 2 Char"/>
    <w:basedOn w:val="DefaultParagraphFont"/>
    <w:link w:val="Heading2"/>
    <w:uiPriority w:val="9"/>
    <w:rsid w:val="00F2266B"/>
    <w:rPr>
      <w:rFonts w:asciiTheme="majorHAnsi" w:eastAsiaTheme="majorEastAsia" w:hAnsiTheme="majorHAnsi" w:cstheme="majorBidi"/>
      <w:b/>
      <w:bCs/>
      <w:color w:val="4F81BD" w:themeColor="accent1"/>
      <w:sz w:val="26"/>
      <w:szCs w:val="26"/>
      <w:lang w:val="ro-RO"/>
    </w:rPr>
  </w:style>
  <w:style w:type="character" w:customStyle="1" w:styleId="Heading3Char">
    <w:name w:val="Heading 3 Char"/>
    <w:basedOn w:val="DefaultParagraphFont"/>
    <w:link w:val="Heading3"/>
    <w:uiPriority w:val="9"/>
    <w:rsid w:val="00F2266B"/>
    <w:rPr>
      <w:rFonts w:asciiTheme="majorHAnsi" w:eastAsiaTheme="majorEastAsia" w:hAnsiTheme="majorHAnsi" w:cstheme="majorBidi"/>
      <w:b/>
      <w:bCs/>
      <w:color w:val="4F81BD" w:themeColor="accent1"/>
      <w:lang w:val="ro-RO"/>
    </w:rPr>
  </w:style>
  <w:style w:type="paragraph" w:styleId="TOC1">
    <w:name w:val="toc 1"/>
    <w:basedOn w:val="Normal"/>
    <w:next w:val="Normal"/>
    <w:autoRedefine/>
    <w:uiPriority w:val="39"/>
    <w:unhideWhenUsed/>
    <w:rsid w:val="00E2098A"/>
    <w:pPr>
      <w:tabs>
        <w:tab w:val="right" w:leader="dot" w:pos="9345"/>
      </w:tabs>
      <w:spacing w:after="0"/>
    </w:pPr>
    <w:rPr>
      <w:rFonts w:ascii="Arial" w:hAnsi="Arial" w:cs="Arial"/>
      <w:b/>
      <w:noProof/>
      <w:lang w:eastAsia="ro-RO"/>
    </w:rPr>
  </w:style>
  <w:style w:type="paragraph" w:styleId="TOC2">
    <w:name w:val="toc 2"/>
    <w:basedOn w:val="Normal"/>
    <w:next w:val="Normal"/>
    <w:autoRedefine/>
    <w:uiPriority w:val="39"/>
    <w:unhideWhenUsed/>
    <w:rsid w:val="00E2098A"/>
    <w:pPr>
      <w:tabs>
        <w:tab w:val="right" w:leader="dot" w:pos="9345"/>
      </w:tabs>
      <w:spacing w:after="100"/>
      <w:ind w:left="220"/>
    </w:pPr>
    <w:rPr>
      <w:rFonts w:ascii="Arial" w:hAnsi="Arial" w:cs="Arial"/>
      <w:i/>
      <w:noProof/>
      <w:lang w:eastAsia="ro-RO"/>
    </w:rPr>
  </w:style>
  <w:style w:type="paragraph" w:styleId="TOC3">
    <w:name w:val="toc 3"/>
    <w:basedOn w:val="Normal"/>
    <w:next w:val="Normal"/>
    <w:autoRedefine/>
    <w:uiPriority w:val="39"/>
    <w:unhideWhenUsed/>
    <w:rsid w:val="00E45322"/>
    <w:pPr>
      <w:tabs>
        <w:tab w:val="right" w:leader="dot" w:pos="9345"/>
      </w:tabs>
      <w:spacing w:after="100"/>
      <w:ind w:left="440"/>
    </w:pPr>
    <w:rPr>
      <w:rFonts w:ascii="Arial" w:hAnsi="Arial" w:cs="Arial"/>
      <w:noProof/>
      <w:sz w:val="24"/>
    </w:rPr>
  </w:style>
  <w:style w:type="character" w:styleId="Hyperlink">
    <w:name w:val="Hyperlink"/>
    <w:basedOn w:val="DefaultParagraphFont"/>
    <w:uiPriority w:val="99"/>
    <w:unhideWhenUsed/>
    <w:rsid w:val="00F2266B"/>
    <w:rPr>
      <w:color w:val="0000FF" w:themeColor="hyperlink"/>
      <w:u w:val="single"/>
    </w:rPr>
  </w:style>
  <w:style w:type="paragraph" w:styleId="BodyTextIndent3">
    <w:name w:val="Body Text Indent 3"/>
    <w:basedOn w:val="Normal"/>
    <w:link w:val="BodyTextIndent3Char"/>
    <w:rsid w:val="00D45E55"/>
    <w:pPr>
      <w:spacing w:after="120" w:line="240" w:lineRule="auto"/>
      <w:ind w:left="283"/>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D45E55"/>
    <w:rPr>
      <w:rFonts w:ascii="Times New Roman" w:eastAsia="Times New Roman" w:hAnsi="Times New Roman" w:cs="Times New Roman"/>
      <w:sz w:val="16"/>
      <w:szCs w:val="16"/>
      <w:lang w:val="ro-RO"/>
    </w:rPr>
  </w:style>
  <w:style w:type="paragraph" w:styleId="Header">
    <w:name w:val="header"/>
    <w:basedOn w:val="Normal"/>
    <w:link w:val="HeaderChar"/>
    <w:unhideWhenUsed/>
    <w:rsid w:val="00E45322"/>
    <w:pPr>
      <w:tabs>
        <w:tab w:val="center" w:pos="4680"/>
        <w:tab w:val="right" w:pos="9360"/>
      </w:tabs>
      <w:spacing w:after="0" w:line="240" w:lineRule="auto"/>
    </w:pPr>
  </w:style>
  <w:style w:type="character" w:customStyle="1" w:styleId="HeaderChar">
    <w:name w:val="Header Char"/>
    <w:basedOn w:val="DefaultParagraphFont"/>
    <w:link w:val="Header"/>
    <w:rsid w:val="00E45322"/>
    <w:rPr>
      <w:lang w:val="ro-RO"/>
    </w:rPr>
  </w:style>
  <w:style w:type="paragraph" w:styleId="Footer">
    <w:name w:val="footer"/>
    <w:basedOn w:val="Normal"/>
    <w:link w:val="FooterChar"/>
    <w:uiPriority w:val="99"/>
    <w:unhideWhenUsed/>
    <w:rsid w:val="00E45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5322"/>
    <w:rPr>
      <w:lang w:val="ro-RO"/>
    </w:rPr>
  </w:style>
  <w:style w:type="paragraph" w:styleId="TOCHeading">
    <w:name w:val="TOC Heading"/>
    <w:basedOn w:val="Heading1"/>
    <w:next w:val="Normal"/>
    <w:uiPriority w:val="39"/>
    <w:semiHidden/>
    <w:unhideWhenUsed/>
    <w:qFormat/>
    <w:rsid w:val="00DA2E62"/>
    <w:pPr>
      <w:outlineLvl w:val="9"/>
    </w:pPr>
    <w:rPr>
      <w:lang w:val="en-US"/>
    </w:rPr>
  </w:style>
  <w:style w:type="paragraph" w:styleId="BalloonText">
    <w:name w:val="Balloon Text"/>
    <w:basedOn w:val="Normal"/>
    <w:link w:val="BalloonTextChar"/>
    <w:uiPriority w:val="99"/>
    <w:semiHidden/>
    <w:unhideWhenUsed/>
    <w:rsid w:val="00DA2E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2E62"/>
    <w:rPr>
      <w:rFonts w:ascii="Tahoma" w:hAnsi="Tahoma" w:cs="Tahoma"/>
      <w:sz w:val="16"/>
      <w:szCs w:val="16"/>
      <w:lang w:val="ro-RO"/>
    </w:rPr>
  </w:style>
  <w:style w:type="paragraph" w:styleId="TOC4">
    <w:name w:val="toc 4"/>
    <w:basedOn w:val="Normal"/>
    <w:next w:val="Normal"/>
    <w:autoRedefine/>
    <w:uiPriority w:val="39"/>
    <w:unhideWhenUsed/>
    <w:rsid w:val="00825106"/>
    <w:pPr>
      <w:spacing w:after="100"/>
      <w:ind w:left="660"/>
    </w:pPr>
    <w:rPr>
      <w:rFonts w:eastAsiaTheme="minorEastAsia"/>
      <w:lang w:val="en-US"/>
    </w:rPr>
  </w:style>
  <w:style w:type="paragraph" w:styleId="TOC5">
    <w:name w:val="toc 5"/>
    <w:basedOn w:val="Normal"/>
    <w:next w:val="Normal"/>
    <w:autoRedefine/>
    <w:uiPriority w:val="39"/>
    <w:unhideWhenUsed/>
    <w:rsid w:val="00825106"/>
    <w:pPr>
      <w:spacing w:after="100"/>
      <w:ind w:left="880"/>
    </w:pPr>
    <w:rPr>
      <w:rFonts w:eastAsiaTheme="minorEastAsia"/>
      <w:lang w:val="en-US"/>
    </w:rPr>
  </w:style>
  <w:style w:type="paragraph" w:styleId="TOC6">
    <w:name w:val="toc 6"/>
    <w:basedOn w:val="Normal"/>
    <w:next w:val="Normal"/>
    <w:autoRedefine/>
    <w:uiPriority w:val="39"/>
    <w:unhideWhenUsed/>
    <w:rsid w:val="00825106"/>
    <w:pPr>
      <w:spacing w:after="100"/>
      <w:ind w:left="1100"/>
    </w:pPr>
    <w:rPr>
      <w:rFonts w:eastAsiaTheme="minorEastAsia"/>
      <w:lang w:val="en-US"/>
    </w:rPr>
  </w:style>
  <w:style w:type="paragraph" w:styleId="TOC7">
    <w:name w:val="toc 7"/>
    <w:basedOn w:val="Normal"/>
    <w:next w:val="Normal"/>
    <w:autoRedefine/>
    <w:uiPriority w:val="39"/>
    <w:unhideWhenUsed/>
    <w:rsid w:val="00825106"/>
    <w:pPr>
      <w:spacing w:after="100"/>
      <w:ind w:left="1320"/>
    </w:pPr>
    <w:rPr>
      <w:rFonts w:eastAsiaTheme="minorEastAsia"/>
      <w:lang w:val="en-US"/>
    </w:rPr>
  </w:style>
  <w:style w:type="paragraph" w:styleId="TOC8">
    <w:name w:val="toc 8"/>
    <w:basedOn w:val="Normal"/>
    <w:next w:val="Normal"/>
    <w:autoRedefine/>
    <w:uiPriority w:val="39"/>
    <w:unhideWhenUsed/>
    <w:rsid w:val="00825106"/>
    <w:pPr>
      <w:spacing w:after="100"/>
      <w:ind w:left="1540"/>
    </w:pPr>
    <w:rPr>
      <w:rFonts w:eastAsiaTheme="minorEastAsia"/>
      <w:lang w:val="en-US"/>
    </w:rPr>
  </w:style>
  <w:style w:type="paragraph" w:styleId="TOC9">
    <w:name w:val="toc 9"/>
    <w:basedOn w:val="Normal"/>
    <w:next w:val="Normal"/>
    <w:autoRedefine/>
    <w:uiPriority w:val="39"/>
    <w:unhideWhenUsed/>
    <w:rsid w:val="00825106"/>
    <w:pPr>
      <w:spacing w:after="100"/>
      <w:ind w:left="1760"/>
    </w:pPr>
    <w:rPr>
      <w:rFonts w:eastAsiaTheme="minorEastAsia"/>
      <w:lang w:val="en-US"/>
    </w:rPr>
  </w:style>
  <w:style w:type="paragraph" w:customStyle="1" w:styleId="CharCharCaracterCaracterCharCharCaracterCaracterCharCharCaracterCaracterCharChar">
    <w:name w:val="Char Char Caracter Caracter Char Char Caracter Caracter Char Char Caracter Caracter Char Char"/>
    <w:basedOn w:val="Normal"/>
    <w:rsid w:val="00D7649E"/>
    <w:pPr>
      <w:spacing w:after="0" w:line="240" w:lineRule="auto"/>
    </w:pPr>
    <w:rPr>
      <w:rFonts w:ascii="Times New Roman" w:eastAsia="Times New Roman" w:hAnsi="Times New Roman" w:cs="Times New Roman"/>
      <w:sz w:val="24"/>
      <w:szCs w:val="24"/>
      <w:lang w:val="pl-PL" w:eastAsia="pl-PL"/>
    </w:rPr>
  </w:style>
  <w:style w:type="paragraph" w:styleId="BodyText">
    <w:name w:val="Body Text"/>
    <w:basedOn w:val="Normal"/>
    <w:link w:val="BodyTextChar"/>
    <w:uiPriority w:val="99"/>
    <w:unhideWhenUsed/>
    <w:rsid w:val="00D7649E"/>
    <w:pPr>
      <w:spacing w:after="120"/>
    </w:pPr>
  </w:style>
  <w:style w:type="character" w:customStyle="1" w:styleId="BodyTextChar">
    <w:name w:val="Body Text Char"/>
    <w:basedOn w:val="DefaultParagraphFont"/>
    <w:link w:val="BodyText"/>
    <w:uiPriority w:val="99"/>
    <w:rsid w:val="00D7649E"/>
    <w:rPr>
      <w:lang w:val="ro-RO"/>
    </w:rPr>
  </w:style>
  <w:style w:type="paragraph" w:styleId="FootnoteText">
    <w:name w:val="footnote text"/>
    <w:aliases w:val="fn,Footnote Text Char Char Char Char Char Char,single space,footnote text,FOOTNOTES,WB-Fußnotentext,Footnote,Fußnote,ADB,Footnote Text qer,Footnote text,single space Char Char,pod carou,Footnote Text WBR,WBR,Fußnotentext Char,f,stile 1"/>
    <w:basedOn w:val="Normal"/>
    <w:link w:val="FootnoteTextChar"/>
    <w:unhideWhenUsed/>
    <w:rsid w:val="00673F52"/>
    <w:pPr>
      <w:spacing w:after="0" w:line="240" w:lineRule="auto"/>
    </w:pPr>
    <w:rPr>
      <w:sz w:val="20"/>
      <w:szCs w:val="20"/>
    </w:rPr>
  </w:style>
  <w:style w:type="character" w:customStyle="1" w:styleId="FootnoteTextChar">
    <w:name w:val="Footnote Text Char"/>
    <w:aliases w:val="fn Char,Footnote Text Char Char Char Char Char Char Char,single space Char,footnote text Char,FOOTNOTES Char,WB-Fußnotentext Char,Footnote Char,Fußnote Char,ADB Char,Footnote Text qer Char,Footnote text Char,pod carou Char,WBR Char"/>
    <w:basedOn w:val="DefaultParagraphFont"/>
    <w:link w:val="FootnoteText"/>
    <w:rsid w:val="00673F52"/>
    <w:rPr>
      <w:sz w:val="20"/>
      <w:szCs w:val="20"/>
      <w:lang w:val="ro-RO"/>
    </w:rPr>
  </w:style>
  <w:style w:type="character" w:styleId="FootnoteReference">
    <w:name w:val="footnote reference"/>
    <w:aliases w:val="BVI fnr,ftref,16 Point,Superscript 6 Point,Footnote Reference Number,Footnote Reference_LVL6,Footnote Reference_LVL61,Footnote Reference_LVL62,Footnote Reference_LVL63,Footnote Reference_LVL64,Знак сноски-FN,fr, BVI fnr,SUPERS"/>
    <w:basedOn w:val="DefaultParagraphFont"/>
    <w:link w:val="BVIfnrChar1Char"/>
    <w:unhideWhenUsed/>
    <w:qFormat/>
    <w:rsid w:val="00673F52"/>
    <w:rPr>
      <w:vertAlign w:val="superscript"/>
    </w:rPr>
  </w:style>
  <w:style w:type="character" w:styleId="FollowedHyperlink">
    <w:name w:val="FollowedHyperlink"/>
    <w:basedOn w:val="DefaultParagraphFont"/>
    <w:uiPriority w:val="99"/>
    <w:semiHidden/>
    <w:unhideWhenUsed/>
    <w:rsid w:val="001E63F8"/>
    <w:rPr>
      <w:color w:val="800080" w:themeColor="followedHyperlink"/>
      <w:u w:val="single"/>
    </w:rPr>
  </w:style>
  <w:style w:type="paragraph" w:styleId="ListParagraph">
    <w:name w:val="List Paragraph"/>
    <w:basedOn w:val="Normal"/>
    <w:link w:val="ListParagraphChar"/>
    <w:uiPriority w:val="1"/>
    <w:qFormat/>
    <w:rsid w:val="00FB4004"/>
    <w:pPr>
      <w:spacing w:after="0" w:line="240" w:lineRule="auto"/>
      <w:ind w:left="720"/>
    </w:pPr>
    <w:rPr>
      <w:rFonts w:ascii="Times New Roman" w:eastAsia="Calibri" w:hAnsi="Times New Roman" w:cs="Times New Roman"/>
      <w:sz w:val="20"/>
      <w:szCs w:val="20"/>
      <w:lang w:val="en-US"/>
    </w:rPr>
  </w:style>
  <w:style w:type="paragraph" w:customStyle="1" w:styleId="CM1">
    <w:name w:val="CM1"/>
    <w:basedOn w:val="Normal"/>
    <w:next w:val="Normal"/>
    <w:uiPriority w:val="99"/>
    <w:rsid w:val="00FB4004"/>
    <w:pPr>
      <w:autoSpaceDE w:val="0"/>
      <w:autoSpaceDN w:val="0"/>
      <w:adjustRightInd w:val="0"/>
      <w:spacing w:after="0" w:line="240" w:lineRule="auto"/>
    </w:pPr>
    <w:rPr>
      <w:rFonts w:ascii="EUAlbertina" w:eastAsia="Calibri" w:hAnsi="EUAlbertina" w:cs="Times New Roman"/>
      <w:sz w:val="24"/>
      <w:szCs w:val="24"/>
      <w:lang w:val="en-GB" w:eastAsia="en-GB"/>
    </w:rPr>
  </w:style>
  <w:style w:type="paragraph" w:styleId="NormalWeb">
    <w:name w:val="Normal (Web)"/>
    <w:basedOn w:val="Normal"/>
    <w:uiPriority w:val="99"/>
    <w:unhideWhenUsed/>
    <w:rsid w:val="00FB4004"/>
    <w:rPr>
      <w:rFonts w:ascii="Times New Roman" w:eastAsia="Calibri" w:hAnsi="Times New Roman" w:cs="Times New Roman"/>
      <w:sz w:val="24"/>
      <w:szCs w:val="24"/>
    </w:rPr>
  </w:style>
  <w:style w:type="character" w:customStyle="1" w:styleId="hps">
    <w:name w:val="hps"/>
    <w:rsid w:val="00FB4004"/>
  </w:style>
  <w:style w:type="table" w:styleId="TableGrid">
    <w:name w:val="Table Grid"/>
    <w:basedOn w:val="TableNormal"/>
    <w:uiPriority w:val="59"/>
    <w:rsid w:val="00FB4004"/>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FB4004"/>
    <w:rPr>
      <w:i/>
      <w:iCs/>
    </w:rPr>
  </w:style>
  <w:style w:type="character" w:styleId="Emphasis">
    <w:name w:val="Emphasis"/>
    <w:basedOn w:val="DefaultParagraphFont"/>
    <w:uiPriority w:val="20"/>
    <w:qFormat/>
    <w:rsid w:val="00FB4004"/>
    <w:rPr>
      <w:i/>
      <w:iCs/>
    </w:rPr>
  </w:style>
  <w:style w:type="character" w:customStyle="1" w:styleId="ft11">
    <w:name w:val="ft11"/>
    <w:basedOn w:val="DefaultParagraphFont"/>
    <w:rsid w:val="00FE7DCF"/>
  </w:style>
  <w:style w:type="paragraph" w:customStyle="1" w:styleId="p31">
    <w:name w:val="p31"/>
    <w:basedOn w:val="Normal"/>
    <w:rsid w:val="00FE7DCF"/>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27">
    <w:name w:val="p27"/>
    <w:basedOn w:val="Normal"/>
    <w:rsid w:val="00FE7DCF"/>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85">
    <w:name w:val="p85"/>
    <w:basedOn w:val="Normal"/>
    <w:rsid w:val="00FE7DC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ft10">
    <w:name w:val="ft10"/>
    <w:basedOn w:val="DefaultParagraphFont"/>
    <w:rsid w:val="00FE7DCF"/>
  </w:style>
  <w:style w:type="paragraph" w:customStyle="1" w:styleId="p26">
    <w:name w:val="p26"/>
    <w:basedOn w:val="Normal"/>
    <w:rsid w:val="00FE7DC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ft16">
    <w:name w:val="ft16"/>
    <w:basedOn w:val="DefaultParagraphFont"/>
    <w:rsid w:val="00FE7DCF"/>
  </w:style>
  <w:style w:type="paragraph" w:customStyle="1" w:styleId="p18">
    <w:name w:val="p18"/>
    <w:basedOn w:val="Normal"/>
    <w:rsid w:val="00FE7DCF"/>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208">
    <w:name w:val="p208"/>
    <w:basedOn w:val="Normal"/>
    <w:rsid w:val="00FE7DCF"/>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178">
    <w:name w:val="p178"/>
    <w:basedOn w:val="Normal"/>
    <w:rsid w:val="00FE7DCF"/>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20">
    <w:name w:val="p20"/>
    <w:basedOn w:val="Normal"/>
    <w:rsid w:val="00FE7DC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ft26">
    <w:name w:val="ft26"/>
    <w:basedOn w:val="DefaultParagraphFont"/>
    <w:rsid w:val="00FE7DCF"/>
  </w:style>
  <w:style w:type="character" w:customStyle="1" w:styleId="ft31">
    <w:name w:val="ft31"/>
    <w:basedOn w:val="DefaultParagraphFont"/>
    <w:rsid w:val="00FE7DCF"/>
  </w:style>
  <w:style w:type="paragraph" w:customStyle="1" w:styleId="p112">
    <w:name w:val="p112"/>
    <w:basedOn w:val="Normal"/>
    <w:rsid w:val="00FE7DC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ft12">
    <w:name w:val="ft12"/>
    <w:basedOn w:val="DefaultParagraphFont"/>
    <w:rsid w:val="00FE7DCF"/>
  </w:style>
  <w:style w:type="paragraph" w:customStyle="1" w:styleId="p95">
    <w:name w:val="p95"/>
    <w:basedOn w:val="Normal"/>
    <w:rsid w:val="00FE7DCF"/>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13">
    <w:name w:val="p13"/>
    <w:basedOn w:val="Normal"/>
    <w:rsid w:val="00FE7DCF"/>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103">
    <w:name w:val="p103"/>
    <w:basedOn w:val="Normal"/>
    <w:rsid w:val="00FE7DC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1">
    <w:name w:val="Normal1"/>
    <w:basedOn w:val="DefaultParagraphFont"/>
    <w:rsid w:val="00FE7DCF"/>
  </w:style>
  <w:style w:type="paragraph" w:customStyle="1" w:styleId="p23">
    <w:name w:val="p23"/>
    <w:basedOn w:val="Normal"/>
    <w:rsid w:val="00965358"/>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87">
    <w:name w:val="p87"/>
    <w:basedOn w:val="Normal"/>
    <w:rsid w:val="00965358"/>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207">
    <w:name w:val="p207"/>
    <w:basedOn w:val="Normal"/>
    <w:rsid w:val="00965358"/>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25">
    <w:name w:val="p25"/>
    <w:basedOn w:val="Normal"/>
    <w:rsid w:val="00965358"/>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203">
    <w:name w:val="p203"/>
    <w:basedOn w:val="Normal"/>
    <w:rsid w:val="00965358"/>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186EA4"/>
    <w:pPr>
      <w:autoSpaceDE w:val="0"/>
      <w:autoSpaceDN w:val="0"/>
      <w:adjustRightInd w:val="0"/>
      <w:spacing w:after="0" w:line="240" w:lineRule="auto"/>
    </w:pPr>
    <w:rPr>
      <w:rFonts w:ascii="Arial" w:hAnsi="Arial" w:cs="Arial"/>
      <w:color w:val="000000"/>
      <w:sz w:val="24"/>
      <w:szCs w:val="24"/>
    </w:rPr>
  </w:style>
  <w:style w:type="paragraph" w:customStyle="1" w:styleId="BVIfnrChar1Char">
    <w:name w:val="BVI fnr Char1 Char"/>
    <w:aliases w:val="Footnote Reference Number Char Char,Times 10 Point Char Char,Exposant 3 Point Char Char,Footnote symbol Char1 Char,Footnote reference number Char Char"/>
    <w:basedOn w:val="Normal"/>
    <w:next w:val="Normal"/>
    <w:link w:val="FootnoteReference"/>
    <w:rsid w:val="00DD2534"/>
    <w:pPr>
      <w:spacing w:after="160" w:line="240" w:lineRule="exact"/>
    </w:pPr>
    <w:rPr>
      <w:vertAlign w:val="superscript"/>
      <w:lang w:val="en-US"/>
    </w:rPr>
  </w:style>
  <w:style w:type="character" w:customStyle="1" w:styleId="ListParagraphChar">
    <w:name w:val="List Paragraph Char"/>
    <w:link w:val="ListParagraph"/>
    <w:uiPriority w:val="1"/>
    <w:locked/>
    <w:rsid w:val="00DD2534"/>
    <w:rPr>
      <w:rFonts w:ascii="Times New Roman" w:eastAsia="Calibri" w:hAnsi="Times New Roman" w:cs="Times New Roman"/>
      <w:sz w:val="20"/>
      <w:szCs w:val="20"/>
    </w:rPr>
  </w:style>
  <w:style w:type="character" w:styleId="Strong">
    <w:name w:val="Strong"/>
    <w:basedOn w:val="DefaultParagraphFont"/>
    <w:uiPriority w:val="22"/>
    <w:qFormat/>
    <w:rsid w:val="001506BA"/>
    <w:rPr>
      <w:b/>
      <w:bCs/>
    </w:rPr>
  </w:style>
  <w:style w:type="paragraph" w:styleId="BodyTextIndent2">
    <w:name w:val="Body Text Indent 2"/>
    <w:basedOn w:val="Normal"/>
    <w:link w:val="BodyTextIndent2Char"/>
    <w:uiPriority w:val="99"/>
    <w:semiHidden/>
    <w:unhideWhenUsed/>
    <w:rsid w:val="00703734"/>
    <w:pPr>
      <w:spacing w:after="120" w:line="480" w:lineRule="auto"/>
      <w:ind w:left="283"/>
    </w:pPr>
  </w:style>
  <w:style w:type="character" w:customStyle="1" w:styleId="BodyTextIndent2Char">
    <w:name w:val="Body Text Indent 2 Char"/>
    <w:basedOn w:val="DefaultParagraphFont"/>
    <w:link w:val="BodyTextIndent2"/>
    <w:uiPriority w:val="99"/>
    <w:semiHidden/>
    <w:rsid w:val="00703734"/>
    <w:rPr>
      <w:lang w:val="ro-RO"/>
    </w:rPr>
  </w:style>
  <w:style w:type="character" w:customStyle="1" w:styleId="Heading5Char">
    <w:name w:val="Heading 5 Char"/>
    <w:basedOn w:val="DefaultParagraphFont"/>
    <w:link w:val="Heading5"/>
    <w:uiPriority w:val="9"/>
    <w:rsid w:val="00503C1A"/>
    <w:rPr>
      <w:rFonts w:asciiTheme="majorHAnsi" w:eastAsiaTheme="majorEastAsia" w:hAnsiTheme="majorHAnsi" w:cstheme="majorBidi"/>
      <w:color w:val="243F60" w:themeColor="accent1" w:themeShade="7F"/>
      <w:lang w:val="ro-RO"/>
    </w:rPr>
  </w:style>
  <w:style w:type="character" w:customStyle="1" w:styleId="Heading4Char">
    <w:name w:val="Heading 4 Char"/>
    <w:basedOn w:val="DefaultParagraphFont"/>
    <w:link w:val="Heading4"/>
    <w:uiPriority w:val="9"/>
    <w:rsid w:val="0015668D"/>
    <w:rPr>
      <w:rFonts w:asciiTheme="majorHAnsi" w:eastAsiaTheme="majorEastAsia" w:hAnsiTheme="majorHAnsi" w:cstheme="majorBidi"/>
      <w:b/>
      <w:bCs/>
      <w:i/>
      <w:iCs/>
      <w:color w:val="4F81BD" w:themeColor="accent1"/>
      <w:lang w:val="ro-RO"/>
    </w:rPr>
  </w:style>
  <w:style w:type="paragraph" w:styleId="Caption">
    <w:name w:val="caption"/>
    <w:basedOn w:val="Normal"/>
    <w:next w:val="Normal"/>
    <w:uiPriority w:val="35"/>
    <w:unhideWhenUsed/>
    <w:qFormat/>
    <w:rsid w:val="00D8640B"/>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6058299">
      <w:bodyDiv w:val="1"/>
      <w:marLeft w:val="0"/>
      <w:marRight w:val="0"/>
      <w:marTop w:val="0"/>
      <w:marBottom w:val="0"/>
      <w:divBdr>
        <w:top w:val="none" w:sz="0" w:space="0" w:color="auto"/>
        <w:left w:val="none" w:sz="0" w:space="0" w:color="auto"/>
        <w:bottom w:val="none" w:sz="0" w:space="0" w:color="auto"/>
        <w:right w:val="none" w:sz="0" w:space="0" w:color="auto"/>
      </w:divBdr>
    </w:div>
    <w:div w:id="1047998211">
      <w:bodyDiv w:val="1"/>
      <w:marLeft w:val="0"/>
      <w:marRight w:val="0"/>
      <w:marTop w:val="0"/>
      <w:marBottom w:val="0"/>
      <w:divBdr>
        <w:top w:val="none" w:sz="0" w:space="0" w:color="auto"/>
        <w:left w:val="none" w:sz="0" w:space="0" w:color="auto"/>
        <w:bottom w:val="none" w:sz="0" w:space="0" w:color="auto"/>
        <w:right w:val="none" w:sz="0" w:space="0" w:color="auto"/>
      </w:divBdr>
    </w:div>
    <w:div w:id="1532113801">
      <w:bodyDiv w:val="1"/>
      <w:marLeft w:val="0"/>
      <w:marRight w:val="0"/>
      <w:marTop w:val="0"/>
      <w:marBottom w:val="0"/>
      <w:divBdr>
        <w:top w:val="none" w:sz="0" w:space="0" w:color="auto"/>
        <w:left w:val="none" w:sz="0" w:space="0" w:color="auto"/>
        <w:bottom w:val="none" w:sz="0" w:space="0" w:color="auto"/>
        <w:right w:val="none" w:sz="0" w:space="0" w:color="auto"/>
      </w:divBdr>
    </w:div>
    <w:div w:id="1616400326">
      <w:bodyDiv w:val="1"/>
      <w:marLeft w:val="0"/>
      <w:marRight w:val="0"/>
      <w:marTop w:val="0"/>
      <w:marBottom w:val="0"/>
      <w:divBdr>
        <w:top w:val="none" w:sz="0" w:space="0" w:color="auto"/>
        <w:left w:val="none" w:sz="0" w:space="0" w:color="auto"/>
        <w:bottom w:val="none" w:sz="0" w:space="0" w:color="auto"/>
        <w:right w:val="none" w:sz="0" w:space="0" w:color="auto"/>
      </w:divBdr>
    </w:div>
    <w:div w:id="1661540629">
      <w:bodyDiv w:val="1"/>
      <w:marLeft w:val="0"/>
      <w:marRight w:val="0"/>
      <w:marTop w:val="0"/>
      <w:marBottom w:val="0"/>
      <w:divBdr>
        <w:top w:val="none" w:sz="0" w:space="0" w:color="auto"/>
        <w:left w:val="none" w:sz="0" w:space="0" w:color="auto"/>
        <w:bottom w:val="none" w:sz="0" w:space="0" w:color="auto"/>
        <w:right w:val="none" w:sz="0" w:space="0" w:color="auto"/>
      </w:divBdr>
    </w:div>
    <w:div w:id="1759669446">
      <w:bodyDiv w:val="1"/>
      <w:marLeft w:val="0"/>
      <w:marRight w:val="0"/>
      <w:marTop w:val="0"/>
      <w:marBottom w:val="0"/>
      <w:divBdr>
        <w:top w:val="none" w:sz="0" w:space="0" w:color="auto"/>
        <w:left w:val="none" w:sz="0" w:space="0" w:color="auto"/>
        <w:bottom w:val="none" w:sz="0" w:space="0" w:color="auto"/>
        <w:right w:val="none" w:sz="0" w:space="0" w:color="auto"/>
      </w:divBdr>
    </w:div>
    <w:div w:id="1783647414">
      <w:bodyDiv w:val="1"/>
      <w:marLeft w:val="0"/>
      <w:marRight w:val="0"/>
      <w:marTop w:val="0"/>
      <w:marBottom w:val="0"/>
      <w:divBdr>
        <w:top w:val="none" w:sz="0" w:space="0" w:color="auto"/>
        <w:left w:val="none" w:sz="0" w:space="0" w:color="auto"/>
        <w:bottom w:val="none" w:sz="0" w:space="0" w:color="auto"/>
        <w:right w:val="none" w:sz="0" w:space="0" w:color="auto"/>
      </w:divBdr>
    </w:div>
    <w:div w:id="1949461946">
      <w:bodyDiv w:val="1"/>
      <w:marLeft w:val="0"/>
      <w:marRight w:val="0"/>
      <w:marTop w:val="0"/>
      <w:marBottom w:val="0"/>
      <w:divBdr>
        <w:top w:val="none" w:sz="0" w:space="0" w:color="auto"/>
        <w:left w:val="none" w:sz="0" w:space="0" w:color="auto"/>
        <w:bottom w:val="none" w:sz="0" w:space="0" w:color="auto"/>
        <w:right w:val="none" w:sz="0" w:space="0" w:color="auto"/>
      </w:divBdr>
    </w:div>
    <w:div w:id="2040470412">
      <w:bodyDiv w:val="1"/>
      <w:marLeft w:val="0"/>
      <w:marRight w:val="0"/>
      <w:marTop w:val="0"/>
      <w:marBottom w:val="0"/>
      <w:divBdr>
        <w:top w:val="none" w:sz="0" w:space="0" w:color="auto"/>
        <w:left w:val="none" w:sz="0" w:space="0" w:color="auto"/>
        <w:bottom w:val="none" w:sz="0" w:space="0" w:color="auto"/>
        <w:right w:val="none" w:sz="0" w:space="0" w:color="auto"/>
      </w:divBdr>
    </w:div>
    <w:div w:id="2113430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adrvest.ro/planul-pentru-dezvoltare-regionala-2014-2020/" TargetMode="External"/><Relationship Id="rId18" Type="http://schemas.openxmlformats.org/officeDocument/2006/relationships/chart" Target="charts/chart1.xml"/><Relationship Id="rId26" Type="http://schemas.openxmlformats.org/officeDocument/2006/relationships/chart" Target="charts/chart8.xml"/><Relationship Id="rId39" Type="http://schemas.openxmlformats.org/officeDocument/2006/relationships/image" Target="media/image4.jpeg"/><Relationship Id="rId21" Type="http://schemas.openxmlformats.org/officeDocument/2006/relationships/chart" Target="charts/chart4.xml"/><Relationship Id="rId34" Type="http://schemas.openxmlformats.org/officeDocument/2006/relationships/chart" Target="charts/chart15.xml"/><Relationship Id="rId42" Type="http://schemas.openxmlformats.org/officeDocument/2006/relationships/chart" Target="charts/chart18.xml"/><Relationship Id="rId47" Type="http://schemas.openxmlformats.org/officeDocument/2006/relationships/chart" Target="charts/chart23.xml"/><Relationship Id="rId50" Type="http://schemas.openxmlformats.org/officeDocument/2006/relationships/chart" Target="charts/chart26.xml"/><Relationship Id="rId55" Type="http://schemas.openxmlformats.org/officeDocument/2006/relationships/chart" Target="charts/chart31.xml"/><Relationship Id="rId63" Type="http://schemas.openxmlformats.org/officeDocument/2006/relationships/chart" Target="charts/chart39.xml"/><Relationship Id="rId68" Type="http://schemas.openxmlformats.org/officeDocument/2006/relationships/chart" Target="charts/chart44.xml"/><Relationship Id="rId76" Type="http://schemas.openxmlformats.org/officeDocument/2006/relationships/hyperlink" Target="http://www.upet.ro/documente/2016/Plan%20strategic%202016-2020.pdf" TargetMode="External"/><Relationship Id="rId7" Type="http://schemas.openxmlformats.org/officeDocument/2006/relationships/endnotes" Target="endnotes.xml"/><Relationship Id="rId71" Type="http://schemas.openxmlformats.org/officeDocument/2006/relationships/hyperlink" Target="http://adrvest.ro/planul-pentru-dezvoltare-regionala-2014-2020/" TargetMode="External"/><Relationship Id="rId2" Type="http://schemas.openxmlformats.org/officeDocument/2006/relationships/numbering" Target="numbering.xml"/><Relationship Id="rId16" Type="http://schemas.openxmlformats.org/officeDocument/2006/relationships/hyperlink" Target="http://www.cjtimis.ro/judetul-timis/strategia-de-dezvoltare-a-jude.html" TargetMode="External"/><Relationship Id="rId29" Type="http://schemas.openxmlformats.org/officeDocument/2006/relationships/chart" Target="charts/chart11.xml"/><Relationship Id="rId11" Type="http://schemas.openxmlformats.org/officeDocument/2006/relationships/image" Target="media/image1.png"/><Relationship Id="rId24" Type="http://schemas.openxmlformats.org/officeDocument/2006/relationships/chart" Target="charts/chart6.xml"/><Relationship Id="rId32" Type="http://schemas.openxmlformats.org/officeDocument/2006/relationships/chart" Target="charts/chart13.xml"/><Relationship Id="rId37" Type="http://schemas.openxmlformats.org/officeDocument/2006/relationships/image" Target="media/image3.emf"/><Relationship Id="rId40" Type="http://schemas.openxmlformats.org/officeDocument/2006/relationships/image" Target="media/image5.jpeg"/><Relationship Id="rId45" Type="http://schemas.openxmlformats.org/officeDocument/2006/relationships/chart" Target="charts/chart21.xml"/><Relationship Id="rId53" Type="http://schemas.openxmlformats.org/officeDocument/2006/relationships/chart" Target="charts/chart29.xml"/><Relationship Id="rId58" Type="http://schemas.openxmlformats.org/officeDocument/2006/relationships/chart" Target="charts/chart34.xml"/><Relationship Id="rId66" Type="http://schemas.openxmlformats.org/officeDocument/2006/relationships/chart" Target="charts/chart42.xml"/><Relationship Id="rId74" Type="http://schemas.openxmlformats.org/officeDocument/2006/relationships/hyperlink" Target="http://usab-tm.ro/utilizatori/universitate/file/2016/Plan%20strategic%20USAMVBT%202016%20-%202020.pdf" TargetMode="External"/><Relationship Id="rId79" Type="http://schemas.openxmlformats.org/officeDocument/2006/relationships/hyperlink" Target="http://www.islavici.ro/articol.php?id=106&amp;menuid=115" TargetMode="External"/><Relationship Id="rId5" Type="http://schemas.openxmlformats.org/officeDocument/2006/relationships/webSettings" Target="webSettings.xml"/><Relationship Id="rId61" Type="http://schemas.openxmlformats.org/officeDocument/2006/relationships/chart" Target="charts/chart37.xml"/><Relationship Id="rId10" Type="http://schemas.openxmlformats.org/officeDocument/2006/relationships/footer" Target="footer1.xml"/><Relationship Id="rId19" Type="http://schemas.openxmlformats.org/officeDocument/2006/relationships/chart" Target="charts/chart2.xml"/><Relationship Id="rId31" Type="http://schemas.openxmlformats.org/officeDocument/2006/relationships/image" Target="media/image2.png"/><Relationship Id="rId44" Type="http://schemas.openxmlformats.org/officeDocument/2006/relationships/chart" Target="charts/chart20.xml"/><Relationship Id="rId52" Type="http://schemas.openxmlformats.org/officeDocument/2006/relationships/chart" Target="charts/chart28.xml"/><Relationship Id="rId60" Type="http://schemas.openxmlformats.org/officeDocument/2006/relationships/chart" Target="charts/chart36.xml"/><Relationship Id="rId65" Type="http://schemas.openxmlformats.org/officeDocument/2006/relationships/chart" Target="charts/chart41.xml"/><Relationship Id="rId73" Type="http://schemas.openxmlformats.org/officeDocument/2006/relationships/hyperlink" Target="https://www.uvt.ro/files/912ddaf702d70a706882b6fdc9a9bdbce369fe60/" TargetMode="External"/><Relationship Id="rId78" Type="http://schemas.openxmlformats.org/officeDocument/2006/relationships/hyperlink" Target="http://www.tibiscus.ro/management-universitar/itemlist/category/14-carta-reglementari-interne"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cjarad.ro/uploads/files/transparenta_decizionala/STRATEGIA%20DE%20DEZVOLTARE%20A%20JUD%20ARAD_VERS%202%20CONSULTATIVA_29%20iulie%202015.pdf" TargetMode="External"/><Relationship Id="rId22" Type="http://schemas.openxmlformats.org/officeDocument/2006/relationships/hyperlink" Target="http://appsso.eurostat.ec.europa.eu/nui/show.do?dataset=nama_10r_2gdp&amp;lang=en" TargetMode="External"/><Relationship Id="rId27" Type="http://schemas.openxmlformats.org/officeDocument/2006/relationships/chart" Target="charts/chart9.xml"/><Relationship Id="rId30" Type="http://schemas.openxmlformats.org/officeDocument/2006/relationships/chart" Target="charts/chart12.xml"/><Relationship Id="rId35" Type="http://schemas.openxmlformats.org/officeDocument/2006/relationships/chart" Target="charts/chart16.xml"/><Relationship Id="rId43" Type="http://schemas.openxmlformats.org/officeDocument/2006/relationships/chart" Target="charts/chart19.xml"/><Relationship Id="rId48" Type="http://schemas.openxmlformats.org/officeDocument/2006/relationships/chart" Target="charts/chart24.xml"/><Relationship Id="rId56" Type="http://schemas.openxmlformats.org/officeDocument/2006/relationships/chart" Target="charts/chart32.xml"/><Relationship Id="rId64" Type="http://schemas.openxmlformats.org/officeDocument/2006/relationships/chart" Target="charts/chart40.xml"/><Relationship Id="rId69" Type="http://schemas.openxmlformats.org/officeDocument/2006/relationships/image" Target="media/image6.jpeg"/><Relationship Id="rId77" Type="http://schemas.openxmlformats.org/officeDocument/2006/relationships/hyperlink" Target="http://uav.ro/files/documente/reglementari%20interne%20uav/Plan%20strategic%202016%20-%202020.pdf" TargetMode="External"/><Relationship Id="rId8" Type="http://schemas.openxmlformats.org/officeDocument/2006/relationships/header" Target="header1.xml"/><Relationship Id="rId51" Type="http://schemas.openxmlformats.org/officeDocument/2006/relationships/chart" Target="charts/chart27.xml"/><Relationship Id="rId72" Type="http://schemas.openxmlformats.org/officeDocument/2006/relationships/hyperlink" Target="http://www.upt.ro/img/files/ps/2016-2020/Plan-strategic-UPT_2016-2020.pdf"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adrvest.ro/planul-pentru-dezvoltare-regionala-2014-2020/" TargetMode="External"/><Relationship Id="rId17" Type="http://schemas.openxmlformats.org/officeDocument/2006/relationships/hyperlink" Target="http://www.primariatm.ro/ik/index.php?meniuId=2&amp;viewCat=2686&amp;sectiune=primaria" TargetMode="External"/><Relationship Id="rId25" Type="http://schemas.openxmlformats.org/officeDocument/2006/relationships/chart" Target="charts/chart7.xml"/><Relationship Id="rId33" Type="http://schemas.openxmlformats.org/officeDocument/2006/relationships/chart" Target="charts/chart14.xml"/><Relationship Id="rId38" Type="http://schemas.openxmlformats.org/officeDocument/2006/relationships/package" Target="embeddings/Microsoft_Excel_Worksheet.xlsx"/><Relationship Id="rId46" Type="http://schemas.openxmlformats.org/officeDocument/2006/relationships/chart" Target="charts/chart22.xml"/><Relationship Id="rId59" Type="http://schemas.openxmlformats.org/officeDocument/2006/relationships/chart" Target="charts/chart35.xml"/><Relationship Id="rId67" Type="http://schemas.openxmlformats.org/officeDocument/2006/relationships/chart" Target="charts/chart43.xml"/><Relationship Id="rId20" Type="http://schemas.openxmlformats.org/officeDocument/2006/relationships/chart" Target="charts/chart3.xml"/><Relationship Id="rId41" Type="http://schemas.openxmlformats.org/officeDocument/2006/relationships/footer" Target="footer2.xml"/><Relationship Id="rId54" Type="http://schemas.openxmlformats.org/officeDocument/2006/relationships/chart" Target="charts/chart30.xml"/><Relationship Id="rId62" Type="http://schemas.openxmlformats.org/officeDocument/2006/relationships/chart" Target="charts/chart38.xml"/><Relationship Id="rId70" Type="http://schemas.openxmlformats.org/officeDocument/2006/relationships/image" Target="media/image7.jpeg"/><Relationship Id="rId75" Type="http://schemas.openxmlformats.org/officeDocument/2006/relationships/hyperlink" Target="http://www.uem.ro/fileadmin/1_ACASA/Informatii/1_Documente_programatice_si_rapoarte/1.1_Planuri_strategice/Plan_strategic_2016-2020.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jcs.ro/data_files/strategii_de_dezvoltare/strategie_dezvoltare_2015.pdf" TargetMode="External"/><Relationship Id="rId23" Type="http://schemas.openxmlformats.org/officeDocument/2006/relationships/chart" Target="charts/chart5.xml"/><Relationship Id="rId28" Type="http://schemas.openxmlformats.org/officeDocument/2006/relationships/chart" Target="charts/chart10.xml"/><Relationship Id="rId36" Type="http://schemas.openxmlformats.org/officeDocument/2006/relationships/chart" Target="charts/chart17.xml"/><Relationship Id="rId49" Type="http://schemas.openxmlformats.org/officeDocument/2006/relationships/chart" Target="charts/chart25.xml"/><Relationship Id="rId57" Type="http://schemas.openxmlformats.org/officeDocument/2006/relationships/chart" Target="charts/chart33.xml"/></Relationships>
</file>

<file path=word/_rels/footnotes.xml.rels><?xml version="1.0" encoding="UTF-8" standalone="yes"?>
<Relationships xmlns="http://schemas.openxmlformats.org/package/2006/relationships"><Relationship Id="rId13" Type="http://schemas.openxmlformats.org/officeDocument/2006/relationships/hyperlink" Target="file:///C:\Users\ildikopataki\Desktop\PRAI%20VEST%20final\ANEXE\Piata%20muncii\3%20a,b,c%20PIATA%20MUNCII.xls" TargetMode="External"/><Relationship Id="rId18" Type="http://schemas.openxmlformats.org/officeDocument/2006/relationships/hyperlink" Target="file:///C:\Users\ildikopataki\Desktop\PRAI%20VEST%20final\ANEXE\Piata%20muncii\3g%20PIATA%20MUNCII.xlsx" TargetMode="External"/><Relationship Id="rId26" Type="http://schemas.openxmlformats.org/officeDocument/2006/relationships/hyperlink" Target="file:///C:\Users\ildikopataki\Desktop\PRAI%20VEST%20final\ANEXE\Educatie\05%20Evolutia%20elevilor%20IPT%20liceu,%20sc.%20prof%20(INS).xlsx" TargetMode="External"/><Relationship Id="rId39" Type="http://schemas.openxmlformats.org/officeDocument/2006/relationships/hyperlink" Target="file:///C:\Users\ildikopataki\Desktop\PRAI%20VEST%20final\ANEXE\Educatie\18%20Profesional%20sf_an_2014_2015.xlsx" TargetMode="External"/><Relationship Id="rId21" Type="http://schemas.openxmlformats.org/officeDocument/2006/relationships/hyperlink" Target="file:///C:\Users\ildikopataki\Desktop\PRAI%20VEST%20final\ANEXE\Piata%20muncii\3i%20Prognoza_profil_teritorial_mai_2016.xls" TargetMode="External"/><Relationship Id="rId34" Type="http://schemas.openxmlformats.org/officeDocument/2006/relationships/hyperlink" Target="file:///C:\Users\ildikopataki\Desktop\PRAI%20VEST%20final\ANEXE\Educatie\13%20Ierarhizare%20scoli%20IPT.xls" TargetMode="External"/><Relationship Id="rId42" Type="http://schemas.openxmlformats.org/officeDocument/2006/relationships/hyperlink" Target="file:///C:\Users\ildikopataki\Desktop\PRAI%20VEST%20final\ANEXE\Educatie\21%20Rata%20de%20absolvire%20(INS).xls" TargetMode="External"/><Relationship Id="rId47" Type="http://schemas.openxmlformats.org/officeDocument/2006/relationships/hyperlink" Target="file:///C:\Users\ildikopataki\Desktop\PRAI%20VEST%20final\ANEXE\Educatie\26%20Tineri%20NEET.xlsx" TargetMode="External"/><Relationship Id="rId50" Type="http://schemas.openxmlformats.org/officeDocument/2006/relationships/hyperlink" Target="http://ec.europa.eu/research/innovation-union/index_en.cfm" TargetMode="External"/><Relationship Id="rId55" Type="http://schemas.openxmlformats.org/officeDocument/2006/relationships/hyperlink" Target="http://www.cjtimis.ro/servicii-online/hotarari-ale-consiliului-judetean.html?a=s&amp;p_3659=HOT%C4%82R%C3%82REA%20nr.%20216/16.12.2015" TargetMode="External"/><Relationship Id="rId7" Type="http://schemas.openxmlformats.org/officeDocument/2006/relationships/hyperlink" Target="file:///C:\Users\ildikopataki\Desktop\PRAI%20VEST%20final\ANEXE\Economie\03%20ECONOMIE.xlsx" TargetMode="External"/><Relationship Id="rId12" Type="http://schemas.openxmlformats.org/officeDocument/2006/relationships/hyperlink" Target="file:///C:\Users\ildikopataki\Desktop\PRAI%20VEST%20final\ANEXE\Piata%20muncii\3h%20PIATA%20MUNCII.xls" TargetMode="External"/><Relationship Id="rId17" Type="http://schemas.openxmlformats.org/officeDocument/2006/relationships/hyperlink" Target="file:///C:\Users\ildikopataki\Desktop\PRAI%20VEST%20final\ANEXE\Piata%20muncii\3f%20PIATA%20MUNCII.xlsx" TargetMode="External"/><Relationship Id="rId25" Type="http://schemas.openxmlformats.org/officeDocument/2006/relationships/hyperlink" Target="file:///C:\Users\ildikopataki\Desktop\PRAI%20VEST%20final\ANEXE\Educatie\04%20Evolutia%20elevilor%20IPT(INS).xls" TargetMode="External"/><Relationship Id="rId33" Type="http://schemas.openxmlformats.org/officeDocument/2006/relationships/hyperlink" Target="file:///C:\Users\ildikopataki\Desktop\PRAI%20VEST%20final\ANEXE\Educatie\12%20Unitati%20IPT%20%202016-2017.xls" TargetMode="External"/><Relationship Id="rId38" Type="http://schemas.openxmlformats.org/officeDocument/2006/relationships/hyperlink" Target="file:///C:\Users\ildikopataki\Desktop\PRAI%20VEST%20final\ANEXE\Educatie\17%20Liceal_sf_an_2014_2015.xlsx" TargetMode="External"/><Relationship Id="rId46" Type="http://schemas.openxmlformats.org/officeDocument/2006/relationships/hyperlink" Target="file:///C:\Users\ildikopataki\Desktop\PRAI%20VEST%20final\ANEXE\Educatie\25%20PISA.xlsx" TargetMode="External"/><Relationship Id="rId2" Type="http://schemas.openxmlformats.org/officeDocument/2006/relationships/hyperlink" Target="http://www.cjhunedoara.ro/documente/finantare%20UE/CD%20Antonela%20plan%20de%20dezvoltare/SDJ_HD_rev_26.05_N.pdf" TargetMode="External"/><Relationship Id="rId16" Type="http://schemas.openxmlformats.org/officeDocument/2006/relationships/hyperlink" Target="file:///C:\Users\ildikopataki\Desktop\PRAI%20VEST%20final\ANEXE\Piata%20muncii\3f%20PIATA%20MUNCII.xlsx" TargetMode="External"/><Relationship Id="rId20" Type="http://schemas.openxmlformats.org/officeDocument/2006/relationships/hyperlink" Target="file:///C:\Users\ildikopataki\Desktop\PRAI%20VEST%20final\ANEXE\Piata%20muncii\3i%20Prognoza_profil_teritorial_mai_2016.xls" TargetMode="External"/><Relationship Id="rId29" Type="http://schemas.openxmlformats.org/officeDocument/2006/relationships/hyperlink" Target="file:///C:\Users\ildikopataki\Desktop\PRAI%20VEST%20final\ANEXE\Educatie\08%20Oferta%20IPT%20inv%20prof%202016-2017.xls" TargetMode="External"/><Relationship Id="rId41" Type="http://schemas.openxmlformats.org/officeDocument/2006/relationships/hyperlink" Target="file:///C:\Users\ildikopataki\Desktop\PRAI%20VEST%20final\ANEXE\Educatie\20%20Absolventi%20IPT.xlsx" TargetMode="External"/><Relationship Id="rId54" Type="http://schemas.openxmlformats.org/officeDocument/2006/relationships/hyperlink" Target="http://www.cjhunedoara.ro/documente/finantare%20UE/CD%20Antonela%20plan%20de%20dezvoltare/SDJ_HD_rev_26.05_N.pdf" TargetMode="External"/><Relationship Id="rId1" Type="http://schemas.openxmlformats.org/officeDocument/2006/relationships/hyperlink" Target="http://www.adrvest.ro/attach_files/Prezentare%20planificare%202014-2020%20-%20tur%20regional%20.pdf" TargetMode="External"/><Relationship Id="rId6" Type="http://schemas.openxmlformats.org/officeDocument/2006/relationships/hyperlink" Target="file:///C:\Users\ildikopataki\Desktop\PRAI%20VEST%20final\ANEXE\Economie\02%20ECONOMIE.xlsx" TargetMode="External"/><Relationship Id="rId11" Type="http://schemas.openxmlformats.org/officeDocument/2006/relationships/hyperlink" Target="file:///C:\Users\ildikopataki\Desktop\PRAI%20VEST%20final\ANEXE\Piata%20muncii\3%20a,b,c%20PIATA%20MUNCII.xls" TargetMode="External"/><Relationship Id="rId24" Type="http://schemas.openxmlformats.org/officeDocument/2006/relationships/hyperlink" Target="file:///C:\Users\ildikopataki\Desktop\PRAI%20VEST%20final\ANEXE\Educatie\03%20Rata%20neta%20de%20cuprindere%20(INS).xls" TargetMode="External"/><Relationship Id="rId32" Type="http://schemas.openxmlformats.org/officeDocument/2006/relationships/hyperlink" Target="file:///C:\Users\ildikopataki\Desktop\PRAI%20VEST%20final\ANEXE\Educatie\11%20Parteneriatul%20cu%20operatori%20economici.xls" TargetMode="External"/><Relationship Id="rId37" Type="http://schemas.openxmlformats.org/officeDocument/2006/relationships/hyperlink" Target="file:///C:\Users\ildikopataki\Desktop\PRAI%20VEST%20final\ANEXE\Educatie\16%20Cheltuieli%20pentru%20educa&#355;ie.xls" TargetMode="External"/><Relationship Id="rId40" Type="http://schemas.openxmlformats.org/officeDocument/2006/relationships/hyperlink" Target="file:///C:\Users\ildikopataki\Desktop\PRAI%20VEST%20final\ANEXE\Educatie\19%20Postliceal_sf_de_an_2014_2015.xlsx" TargetMode="External"/><Relationship Id="rId45" Type="http://schemas.openxmlformats.org/officeDocument/2006/relationships/hyperlink" Target="file:///C:\Users\ildikopataki\Desktop\PRAI%20VEST%20final\ANEXE\Educatie\24%20Rata%20de%20parasire%20timpurie(EUROSTAT).xls" TargetMode="External"/><Relationship Id="rId53" Type="http://schemas.openxmlformats.org/officeDocument/2006/relationships/hyperlink" Target="http://www.cjcs.ro/data_files/strategii_de_dezvoltare/strategie_dezvoltare_2015.pdf" TargetMode="External"/><Relationship Id="rId5" Type="http://schemas.openxmlformats.org/officeDocument/2006/relationships/hyperlink" Target="file:///C:\Users\ildikopataki\Desktop\PRAI%20VEST%20final\ANEXE\Economie\01%20ECONOMIE.xlsx" TargetMode="External"/><Relationship Id="rId15" Type="http://schemas.openxmlformats.org/officeDocument/2006/relationships/hyperlink" Target="file:///C:\Users\ildikopataki\Desktop\PRAI%20VEST%20final\ANEXE\Piata%20muncii\3e%20PIATA%20MUNCII.xlsx" TargetMode="External"/><Relationship Id="rId23" Type="http://schemas.openxmlformats.org/officeDocument/2006/relationships/hyperlink" Target="file:///C:\Users\ildikopataki\Desktop\PRAI%20VEST%20final\ANEXE\Educatie\02%20Gradul%20de%20cuprindere%20(INS)%20.xls" TargetMode="External"/><Relationship Id="rId28" Type="http://schemas.openxmlformats.org/officeDocument/2006/relationships/hyperlink" Target="file:///C:\Users\ildikopataki\Desktop\PRAI%20VEST%20final\ANEXE\Educatie\07%20Oferta%20IPT%20inv.%20liceal%20zi%202016-2017.xls" TargetMode="External"/><Relationship Id="rId36" Type="http://schemas.openxmlformats.org/officeDocument/2006/relationships/hyperlink" Target="file:///C:\Users\ildikopataki\Desktop\PRAI%20VEST%20final\ANEXE\Educatie\15%20Baza%20materiala.xlsx" TargetMode="External"/><Relationship Id="rId49" Type="http://schemas.openxmlformats.org/officeDocument/2006/relationships/hyperlink" Target="http://ec.europa.eu/europe2020/index_en.htm" TargetMode="External"/><Relationship Id="rId10" Type="http://schemas.openxmlformats.org/officeDocument/2006/relationships/hyperlink" Target="file:///C:\Users\ildikopataki\Desktop\PRAI%20VEST%20final\ANEXE\Piata%20muncii\3%20a,b,c%20PIATA%20MUNCII.xls" TargetMode="External"/><Relationship Id="rId19" Type="http://schemas.openxmlformats.org/officeDocument/2006/relationships/hyperlink" Target="file:///C:\Users\ildikopataki\Desktop\PRAI%20VEST%20final\ANEXE\Piata%20muncii\3i%20Prognoza_profil_teritorial_mai_2016.xls" TargetMode="External"/><Relationship Id="rId31" Type="http://schemas.openxmlformats.org/officeDocument/2006/relationships/hyperlink" Target="file:///C:\Users\ildikopataki\Desktop\PRAI%20VEST%20final\ANEXE\Educatie\10%20Gradul%20de%20satisfacere%20a%20solicitarilor%20op.%20ec.xlsx" TargetMode="External"/><Relationship Id="rId44" Type="http://schemas.openxmlformats.org/officeDocument/2006/relationships/hyperlink" Target="file:///C:\Users\ildikopataki\Desktop\PRAI%20VEST%20final\ANEXE\Educatie\23%20Rata%20abandonului%20(INS).xls" TargetMode="External"/><Relationship Id="rId52" Type="http://schemas.openxmlformats.org/officeDocument/2006/relationships/hyperlink" Target="http://www.cjarad.ro/uploads/files/transparenta_decizionala/STRATEGIA%20DE%20DEZVOLTARE%20A%20JUD%20ARAD_VERS%202%20CONSULTATIVA_29%20iulie%202015.pdf" TargetMode="External"/><Relationship Id="rId4" Type="http://schemas.openxmlformats.org/officeDocument/2006/relationships/hyperlink" Target="file:///C:\Users\ildikopataki\Desktop\PRAI%20VEST%20final\ANEXE\Demografie\01DEMOGRAFIE%20.xls" TargetMode="External"/><Relationship Id="rId9" Type="http://schemas.openxmlformats.org/officeDocument/2006/relationships/hyperlink" Target="file:///C:\Users\ildikopataki\Desktop\PRAI%20VEST%20final\ANEXE\Economie\05%20Prognoza_profil_teritorial_mai_2016.xls" TargetMode="External"/><Relationship Id="rId14" Type="http://schemas.openxmlformats.org/officeDocument/2006/relationships/hyperlink" Target="file:///C:\Users\ildikopataki\Desktop\PRAI%20VEST%20final\ANEXE\Piata%20muncii\3d%20PIATA%20MUNCII.xlsx" TargetMode="External"/><Relationship Id="rId22" Type="http://schemas.openxmlformats.org/officeDocument/2006/relationships/hyperlink" Target="file:///C:\Users\ildikopataki\Desktop\PRAI%20VEST%20final\ANEXE\Educatie\01%20Populatia%20scolara%20(INS).xls" TargetMode="External"/><Relationship Id="rId27" Type="http://schemas.openxmlformats.org/officeDocument/2006/relationships/hyperlink" Target="file:///C:\Users\ildikopataki\Desktop\PRAI%20VEST%20final\ANEXE\Educatie\06%20Evolutia%20elevilor%20Inv.postliceal.xlsx" TargetMode="External"/><Relationship Id="rId30" Type="http://schemas.openxmlformats.org/officeDocument/2006/relationships/hyperlink" Target="file:///C:\Users\ildikopataki\Desktop\PRAI%20VEST%20final\ANEXE\Educatie\09%20Oferta%20IPT%20inv%20postliceal%202016-2017.xls" TargetMode="External"/><Relationship Id="rId35" Type="http://schemas.openxmlformats.org/officeDocument/2006/relationships/hyperlink" Target="file:///C:\Users\ildikopataki\Desktop\PRAI%20VEST%20final\ANEXE\Educatie\14%20Resurse%20umane.xlsx" TargetMode="External"/><Relationship Id="rId43" Type="http://schemas.openxmlformats.org/officeDocument/2006/relationships/hyperlink" Target="file:///C:\Users\ildikopataki\Desktop\PRAI%20VEST%20final\ANEXE\Educatie\22%20Rata%20tranzitie%20(INS).xls" TargetMode="External"/><Relationship Id="rId48" Type="http://schemas.openxmlformats.org/officeDocument/2006/relationships/hyperlink" Target="file:///C:\Users\ildikopataki\Desktop\PRAI%20VEST%20final\ANEXE\Educatie\27%20Formare%20continua.xls" TargetMode="External"/><Relationship Id="rId8" Type="http://schemas.openxmlformats.org/officeDocument/2006/relationships/hyperlink" Target="file:///C:\Users\ildikopataki\Desktop\PRAI%20VEST%20final\ANEXE\Economie\04%20ECONOMIE.xls" TargetMode="External"/><Relationship Id="rId51" Type="http://schemas.openxmlformats.org/officeDocument/2006/relationships/hyperlink" Target="http://ec.europa.eu/research/horizon2020/index_en.cfm?pg=home" TargetMode="External"/><Relationship Id="rId3" Type="http://schemas.openxmlformats.org/officeDocument/2006/relationships/hyperlink" Target="http://www.primariahd.ro/fisiere/pagini_fisiere/141/Strategia%20de%20dezvoltare%20a%20municipiului%20Hunedoara%202014-2020.pdf"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ildikopataki\Desktop\PRAI%20VEST%20final\ANEXE\Demografie\01DEMOGRAFIE%20.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G:\PRAI%20VEST%202016-2025(1%20iunie)\Anexe\Economie,%20Demografie\Copy%20of%2001%20Anexa%201-DEMOGRAFIE%20-2.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Hp\Desktop\AUGUST\ECONOMIE\VEST\01%20Anexa%202a%20VES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Hp\Desktop\AUGUST\ECONOMIE\VEST\01%20Anexa%202a%20VEST.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Hp\Desktop\AUGUST\ECONOMIE\VEST\02%20Anexa%202b%20VEST.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Hp\Desktop\AUGUST\ECONOMIE\VEST\02%20Anexa%202b%20VES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Hp\Desktop\AUGUST\ECONOMIE\VEST\02%20Anexa%202b%20VES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Hp\Desktop\AUGUST\ECONOMIE\VEST\04%20Anexa%202d%20Demo%20intreprinderi.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Hp\Desktop\AUGUST\ECONOMIE\VEST\04%20Anexa%202d%20Demo%20intreprinderi.xls"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Hp\Desktop\AUGUST\ECONOMIE\VEST\04%20Anexa%202d%20Demo%20intreprinderi.xls"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cnditp\Desktop\VEST%201\3%20a,b,c%20Vest.xls"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cnditp\Desktop\VEST%201\3%20a,b,c%20Vest.xls"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cnditp\Desktop\VEST\prognoza_profil_teritorial_mai_2016.xls"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cnditp\Desktop\VEST\prognoza_profil_teritorial_mai_2016.xls"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cnditp\Desktop\VEST\prognoza_profil_teritorial_mai_2016.xls"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cnditp\Desktop\VEST\prognoza_profil_teritorial_mai_2016.xls"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cnditp\Desktop\VEST\prognoza_profil_teritorial_mai_2016.xls"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cnditp\Desktop\VEST\Gradul%20de%20cuprindere%20(INS)%20.xls"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cnditp\Desktop\VEST\Rata%20neta%20de%20cuprindere%20(INS).xls"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cnditp\Desktop\VEST\Rata%20neta%20de%20cuprindere%20(INS).xls"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cnditp\Desktop\VEST\Rata%20neta%20de%20cuprindere%20(INS).xls"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cnditp\Desktop\VEST\Rata%20neta%20de%20cuprindere%20(INS).xls"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cnditp\Desktop\VEST\Evolutia%20elevilor%20IPT(INS).xls"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Users\CameliaManiu\Desktop\Expert%202016-1\Final%20livrabil%20Piata%20muncii\Documente%20EDUCATIE%20-%20noiembrie\VEST\Evolutia%20elevilor%20IPT%20liceu,%20sc.%20prof%20(INS).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C:\Users\CameliaManiu\Desktop\Expert%202016-1\Final%20livrabil%20Piata%20muncii\Documente%20EDUCATIE%20-%20noiembrie\VEST\Evolutia%20elevilor%20IPT%20liceu,%20sc.%20prof%20(INS).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C:\Users\ildikopataki\Desktop\PRAI%20VEST%20final\ANEXE\Educatie\06%20Evolutia%20elevilor%20Inv.postliceal.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C:\Users\cnditp\Desktop\Prai%20-%20iulie%202017\ANEXE\Educatie\08%20Oferta%20IPT%20inv%20prof%202016-2017.xls"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C:\Users\cnditp\Desktop\Prai%20-%20iulie%202017\ANEXE\Educatie\07%20Oferta%20IPT%20inv.%20liceal%20zi%202016-2017.xls"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G:\Sarcini%20mai-iunie%202017New%20Folder\Pt%20Monitorizare%20PRAI\Anexe\Oferta%20Ponderi%20domenii%20-%20cu%20ponderi.xlsx"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C:\Users\ildikopataki\Desktop\PRAI%20VEST%20final\ANEXE\Educatie\09%20Oferta%20IPT%20inv%20postliceal%202016-2017.xls"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C:\Users\CameliaManiu\Desktop\V\ANEXE\Educatie\10%20Gradul%20de%20satisfacere%20a%20solicitarilor%20op.%20ec.xlsx"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file:///C:\Users\ildikopataki\Desktop\PRAI%20VEST%20final\ANEXE\Educatie\14%20Resurse%20umane.xlsx"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C:\Users\ildikopataki\Desktop\PRAI%20VEST%20final\ANEXE\Educatie\16%20Cheltuieli%20pentru%20educa&#355;ie.xls"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file:///C:\Users\ildikopataki\Desktop\PRAI%20VEST%20final\ANEXE\Educatie\16%20Cheltuieli%20pentru%20educa&#355;ie.xls"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file:///C:\Users\ildikopataki\Desktop\PRAI%20VEST%20final\ANEXE\Educatie\17%20Liceal_sf_an_2014_2015.xlsx"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file:///C:\Users\ildikopataki\Desktop\PRAI%20VEST%20final\ANEXE\Educatie\20%20Absolventi%20IPT.xlsx" TargetMode="External"/></Relationships>
</file>

<file path=word/charts/_rels/chart37.xml.rels><?xml version="1.0" encoding="UTF-8" standalone="yes"?>
<Relationships xmlns="http://schemas.openxmlformats.org/package/2006/relationships"><Relationship Id="rId1" Type="http://schemas.openxmlformats.org/officeDocument/2006/relationships/oleObject" Target="file:///C:\Users\cnditp\Desktop\VEST\Rata%20tranzitie%20(INS).xls" TargetMode="External"/></Relationships>
</file>

<file path=word/charts/_rels/chart38.xml.rels><?xml version="1.0" encoding="UTF-8" standalone="yes"?>
<Relationships xmlns="http://schemas.openxmlformats.org/package/2006/relationships"><Relationship Id="rId1" Type="http://schemas.openxmlformats.org/officeDocument/2006/relationships/oleObject" Target="file:///C:\Users\cnditp\Desktop\VEST\Rata%20tranzitie%20(INS).xls" TargetMode="External"/></Relationships>
</file>

<file path=word/charts/_rels/chart39.xml.rels><?xml version="1.0" encoding="UTF-8" standalone="yes"?>
<Relationships xmlns="http://schemas.openxmlformats.org/package/2006/relationships"><Relationship Id="rId1" Type="http://schemas.openxmlformats.org/officeDocument/2006/relationships/oleObject" Target="file:///C:\Users\cnditp\Desktop\VEST\Rata%20abandonului%20(INS).xls" TargetMode="External"/></Relationships>
</file>

<file path=word/charts/_rels/chart40.xml.rels><?xml version="1.0" encoding="UTF-8" standalone="yes"?>
<Relationships xmlns="http://schemas.openxmlformats.org/package/2006/relationships"><Relationship Id="rId1" Type="http://schemas.openxmlformats.org/officeDocument/2006/relationships/oleObject" Target="file:///C:\Users\cnditp\Desktop\VEST\Rata%20de%20parasire%20timurie%20-%20EUROSTAT.xls" TargetMode="External"/></Relationships>
</file>

<file path=word/charts/_rels/chart41.xml.rels><?xml version="1.0" encoding="UTF-8" standalone="yes"?>
<Relationships xmlns="http://schemas.openxmlformats.org/package/2006/relationships"><Relationship Id="rId1" Type="http://schemas.openxmlformats.org/officeDocument/2006/relationships/oleObject" Target="file:///L:\Sarcini%20finalizare%20PRAI\V%201\ANEXE\Educatie\25%20PISA.xlsx" TargetMode="External"/></Relationships>
</file>

<file path=word/charts/_rels/chart42.xml.rels><?xml version="1.0" encoding="UTF-8" standalone="yes"?>
<Relationships xmlns="http://schemas.openxmlformats.org/package/2006/relationships"><Relationship Id="rId1" Type="http://schemas.openxmlformats.org/officeDocument/2006/relationships/oleObject" Target="file:///L:\Sarcini%20finalizare%20PRAI\V%201\ANEXE\Educatie\25%20PISA.xlsx" TargetMode="External"/></Relationships>
</file>

<file path=word/charts/_rels/chart43.xml.rels><?xml version="1.0" encoding="UTF-8" standalone="yes"?>
<Relationships xmlns="http://schemas.openxmlformats.org/package/2006/relationships"><Relationship Id="rId1" Type="http://schemas.openxmlformats.org/officeDocument/2006/relationships/oleObject" Target="file:///L:\Sarcini%20finalizare%20PRAI\V%201\ANEXE\Educatie\26%20Tineri%20NEET.xlsx" TargetMode="External"/></Relationships>
</file>

<file path=word/charts/_rels/chart44.xml.rels><?xml version="1.0" encoding="UTF-8" standalone="yes"?>
<Relationships xmlns="http://schemas.openxmlformats.org/package/2006/relationships"><Relationship Id="rId1" Type="http://schemas.openxmlformats.org/officeDocument/2006/relationships/oleObject" Target="file:///C:\Users\CameliaManiu\Desktop\V\ANEXE\Educatie\27%20Formare%20continua.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sz="1100" b="0">
                <a:latin typeface="Arial" pitchFamily="34" charset="0"/>
                <a:cs typeface="Arial" pitchFamily="34" charset="0"/>
              </a:defRPr>
            </a:pPr>
            <a:r>
              <a:rPr lang="en-US" sz="1100" b="0">
                <a:latin typeface="Arial" pitchFamily="34" charset="0"/>
                <a:cs typeface="Arial" pitchFamily="34" charset="0"/>
              </a:rPr>
              <a:t>Evoluţia populaţiei totale în judeţele Regiunii de Dezvoltare Vest </a:t>
            </a:r>
          </a:p>
        </c:rich>
      </c:tx>
      <c:overlay val="0"/>
    </c:title>
    <c:autoTitleDeleted val="0"/>
    <c:plotArea>
      <c:layout/>
      <c:barChart>
        <c:barDir val="col"/>
        <c:grouping val="clustered"/>
        <c:varyColors val="0"/>
        <c:ser>
          <c:idx val="0"/>
          <c:order val="0"/>
          <c:tx>
            <c:strRef>
              <c:f>'A 1 e Ev. pe gr. de varsta'!$D$7</c:f>
              <c:strCache>
                <c:ptCount val="1"/>
                <c:pt idx="0">
                  <c:v>2008</c:v>
                </c:pt>
              </c:strCache>
            </c:strRef>
          </c:tx>
          <c:invertIfNegative val="0"/>
          <c:cat>
            <c:strRef>
              <c:f>'A 1 e Ev. pe gr. de varsta'!$C$53:$C$56</c:f>
              <c:strCache>
                <c:ptCount val="4"/>
                <c:pt idx="0">
                  <c:v>Arad</c:v>
                </c:pt>
                <c:pt idx="1">
                  <c:v>Caraş-Severin</c:v>
                </c:pt>
                <c:pt idx="2">
                  <c:v>Hunedoara</c:v>
                </c:pt>
                <c:pt idx="3">
                  <c:v>Timiş</c:v>
                </c:pt>
              </c:strCache>
            </c:strRef>
          </c:cat>
          <c:val>
            <c:numRef>
              <c:f>'A 1 e Ev. pe gr. de varsta'!$D$53:$D$56</c:f>
              <c:numCache>
                <c:formatCode>0</c:formatCode>
                <c:ptCount val="4"/>
                <c:pt idx="0">
                  <c:v>457257</c:v>
                </c:pt>
                <c:pt idx="1">
                  <c:v>325269</c:v>
                </c:pt>
                <c:pt idx="2">
                  <c:v>468318</c:v>
                </c:pt>
                <c:pt idx="3">
                  <c:v>674533</c:v>
                </c:pt>
              </c:numCache>
            </c:numRef>
          </c:val>
          <c:extLst>
            <c:ext xmlns:c16="http://schemas.microsoft.com/office/drawing/2014/chart" uri="{C3380CC4-5D6E-409C-BE32-E72D297353CC}">
              <c16:uniqueId val="{00000000-FDCC-4FD7-B6F1-3B96BB94E9B0}"/>
            </c:ext>
          </c:extLst>
        </c:ser>
        <c:ser>
          <c:idx val="1"/>
          <c:order val="1"/>
          <c:tx>
            <c:strRef>
              <c:f>'A 1 e Ev. pe gr. de varsta'!$E$7</c:f>
              <c:strCache>
                <c:ptCount val="1"/>
                <c:pt idx="0">
                  <c:v>2009</c:v>
                </c:pt>
              </c:strCache>
            </c:strRef>
          </c:tx>
          <c:invertIfNegative val="0"/>
          <c:cat>
            <c:strRef>
              <c:f>'A 1 e Ev. pe gr. de varsta'!$C$53:$C$56</c:f>
              <c:strCache>
                <c:ptCount val="4"/>
                <c:pt idx="0">
                  <c:v>Arad</c:v>
                </c:pt>
                <c:pt idx="1">
                  <c:v>Caraş-Severin</c:v>
                </c:pt>
                <c:pt idx="2">
                  <c:v>Hunedoara</c:v>
                </c:pt>
                <c:pt idx="3">
                  <c:v>Timiş</c:v>
                </c:pt>
              </c:strCache>
            </c:strRef>
          </c:cat>
          <c:val>
            <c:numRef>
              <c:f>'A 1 e Ev. pe gr. de varsta'!$E$53:$E$56</c:f>
              <c:numCache>
                <c:formatCode>0</c:formatCode>
                <c:ptCount val="4"/>
                <c:pt idx="0">
                  <c:v>455952</c:v>
                </c:pt>
                <c:pt idx="1">
                  <c:v>322941</c:v>
                </c:pt>
                <c:pt idx="2">
                  <c:v>464739</c:v>
                </c:pt>
                <c:pt idx="3">
                  <c:v>678068</c:v>
                </c:pt>
              </c:numCache>
            </c:numRef>
          </c:val>
          <c:extLst>
            <c:ext xmlns:c16="http://schemas.microsoft.com/office/drawing/2014/chart" uri="{C3380CC4-5D6E-409C-BE32-E72D297353CC}">
              <c16:uniqueId val="{00000001-FDCC-4FD7-B6F1-3B96BB94E9B0}"/>
            </c:ext>
          </c:extLst>
        </c:ser>
        <c:ser>
          <c:idx val="2"/>
          <c:order val="2"/>
          <c:tx>
            <c:strRef>
              <c:f>'A 1 e Ev. pe gr. de varsta'!$F$7</c:f>
              <c:strCache>
                <c:ptCount val="1"/>
                <c:pt idx="0">
                  <c:v>2010</c:v>
                </c:pt>
              </c:strCache>
            </c:strRef>
          </c:tx>
          <c:invertIfNegative val="0"/>
          <c:cat>
            <c:strRef>
              <c:f>'A 1 e Ev. pe gr. de varsta'!$C$53:$C$56</c:f>
              <c:strCache>
                <c:ptCount val="4"/>
                <c:pt idx="0">
                  <c:v>Arad</c:v>
                </c:pt>
                <c:pt idx="1">
                  <c:v>Caraş-Severin</c:v>
                </c:pt>
                <c:pt idx="2">
                  <c:v>Hunedoara</c:v>
                </c:pt>
                <c:pt idx="3">
                  <c:v>Timiş</c:v>
                </c:pt>
              </c:strCache>
            </c:strRef>
          </c:cat>
          <c:val>
            <c:numRef>
              <c:f>'A 1 e Ev. pe gr. de varsta'!$F$53:$F$56</c:f>
              <c:numCache>
                <c:formatCode>0</c:formatCode>
                <c:ptCount val="4"/>
                <c:pt idx="0">
                  <c:v>454922</c:v>
                </c:pt>
                <c:pt idx="1">
                  <c:v>320840</c:v>
                </c:pt>
                <c:pt idx="2">
                  <c:v>461450</c:v>
                </c:pt>
                <c:pt idx="3">
                  <c:v>679695</c:v>
                </c:pt>
              </c:numCache>
            </c:numRef>
          </c:val>
          <c:extLst>
            <c:ext xmlns:c16="http://schemas.microsoft.com/office/drawing/2014/chart" uri="{C3380CC4-5D6E-409C-BE32-E72D297353CC}">
              <c16:uniqueId val="{00000002-FDCC-4FD7-B6F1-3B96BB94E9B0}"/>
            </c:ext>
          </c:extLst>
        </c:ser>
        <c:ser>
          <c:idx val="3"/>
          <c:order val="3"/>
          <c:tx>
            <c:strRef>
              <c:f>'A 1 e Ev. pe gr. de varsta'!$G$7</c:f>
              <c:strCache>
                <c:ptCount val="1"/>
                <c:pt idx="0">
                  <c:v>2011</c:v>
                </c:pt>
              </c:strCache>
            </c:strRef>
          </c:tx>
          <c:invertIfNegative val="0"/>
          <c:cat>
            <c:strRef>
              <c:f>'A 1 e Ev. pe gr. de varsta'!$C$53:$C$56</c:f>
              <c:strCache>
                <c:ptCount val="4"/>
                <c:pt idx="0">
                  <c:v>Arad</c:v>
                </c:pt>
                <c:pt idx="1">
                  <c:v>Caraş-Severin</c:v>
                </c:pt>
                <c:pt idx="2">
                  <c:v>Hunedoara</c:v>
                </c:pt>
                <c:pt idx="3">
                  <c:v>Timiş</c:v>
                </c:pt>
              </c:strCache>
            </c:strRef>
          </c:cat>
          <c:val>
            <c:numRef>
              <c:f>'A 1 e Ev. pe gr. de varsta'!$G$53:$G$56</c:f>
              <c:numCache>
                <c:formatCode>0</c:formatCode>
                <c:ptCount val="4"/>
                <c:pt idx="0">
                  <c:v>454073</c:v>
                </c:pt>
                <c:pt idx="1">
                  <c:v>318616</c:v>
                </c:pt>
                <c:pt idx="2">
                  <c:v>457932</c:v>
                </c:pt>
                <c:pt idx="3">
                  <c:v>679848</c:v>
                </c:pt>
              </c:numCache>
            </c:numRef>
          </c:val>
          <c:extLst>
            <c:ext xmlns:c16="http://schemas.microsoft.com/office/drawing/2014/chart" uri="{C3380CC4-5D6E-409C-BE32-E72D297353CC}">
              <c16:uniqueId val="{00000003-FDCC-4FD7-B6F1-3B96BB94E9B0}"/>
            </c:ext>
          </c:extLst>
        </c:ser>
        <c:ser>
          <c:idx val="4"/>
          <c:order val="4"/>
          <c:tx>
            <c:strRef>
              <c:f>'A 1 e Ev. pe gr. de varsta'!$H$7</c:f>
              <c:strCache>
                <c:ptCount val="1"/>
                <c:pt idx="0">
                  <c:v>2012</c:v>
                </c:pt>
              </c:strCache>
            </c:strRef>
          </c:tx>
          <c:invertIfNegative val="0"/>
          <c:cat>
            <c:strRef>
              <c:f>'A 1 e Ev. pe gr. de varsta'!$C$53:$C$56</c:f>
              <c:strCache>
                <c:ptCount val="4"/>
                <c:pt idx="0">
                  <c:v>Arad</c:v>
                </c:pt>
                <c:pt idx="1">
                  <c:v>Caraş-Severin</c:v>
                </c:pt>
                <c:pt idx="2">
                  <c:v>Hunedoara</c:v>
                </c:pt>
                <c:pt idx="3">
                  <c:v>Timiş</c:v>
                </c:pt>
              </c:strCache>
            </c:strRef>
          </c:cat>
          <c:val>
            <c:numRef>
              <c:f>'A 1 e Ev. pe gr. de varsta'!$H$53:$H$56</c:f>
              <c:numCache>
                <c:formatCode>0</c:formatCode>
                <c:ptCount val="4"/>
                <c:pt idx="0">
                  <c:v>452526</c:v>
                </c:pt>
                <c:pt idx="1">
                  <c:v>316248</c:v>
                </c:pt>
                <c:pt idx="2">
                  <c:v>453730</c:v>
                </c:pt>
                <c:pt idx="3">
                  <c:v>682079</c:v>
                </c:pt>
              </c:numCache>
            </c:numRef>
          </c:val>
          <c:extLst>
            <c:ext xmlns:c16="http://schemas.microsoft.com/office/drawing/2014/chart" uri="{C3380CC4-5D6E-409C-BE32-E72D297353CC}">
              <c16:uniqueId val="{00000004-FDCC-4FD7-B6F1-3B96BB94E9B0}"/>
            </c:ext>
          </c:extLst>
        </c:ser>
        <c:ser>
          <c:idx val="5"/>
          <c:order val="5"/>
          <c:tx>
            <c:strRef>
              <c:f>'A 1 e Ev. pe gr. de varsta'!$I$7</c:f>
              <c:strCache>
                <c:ptCount val="1"/>
                <c:pt idx="0">
                  <c:v>2013</c:v>
                </c:pt>
              </c:strCache>
            </c:strRef>
          </c:tx>
          <c:invertIfNegative val="0"/>
          <c:cat>
            <c:strRef>
              <c:f>'A 1 e Ev. pe gr. de varsta'!$C$53:$C$56</c:f>
              <c:strCache>
                <c:ptCount val="4"/>
                <c:pt idx="0">
                  <c:v>Arad</c:v>
                </c:pt>
                <c:pt idx="1">
                  <c:v>Caraş-Severin</c:v>
                </c:pt>
                <c:pt idx="2">
                  <c:v>Hunedoara</c:v>
                </c:pt>
                <c:pt idx="3">
                  <c:v>Timiş</c:v>
                </c:pt>
              </c:strCache>
            </c:strRef>
          </c:cat>
          <c:val>
            <c:numRef>
              <c:f>'A 1 e Ev. pe gr. de varsta'!$I$53:$I$56</c:f>
              <c:numCache>
                <c:formatCode>0</c:formatCode>
                <c:ptCount val="4"/>
                <c:pt idx="0">
                  <c:v>451434</c:v>
                </c:pt>
                <c:pt idx="1">
                  <c:v>313827</c:v>
                </c:pt>
                <c:pt idx="2">
                  <c:v>450061</c:v>
                </c:pt>
                <c:pt idx="3">
                  <c:v>681732</c:v>
                </c:pt>
              </c:numCache>
            </c:numRef>
          </c:val>
          <c:extLst>
            <c:ext xmlns:c16="http://schemas.microsoft.com/office/drawing/2014/chart" uri="{C3380CC4-5D6E-409C-BE32-E72D297353CC}">
              <c16:uniqueId val="{00000005-FDCC-4FD7-B6F1-3B96BB94E9B0}"/>
            </c:ext>
          </c:extLst>
        </c:ser>
        <c:ser>
          <c:idx val="6"/>
          <c:order val="6"/>
          <c:tx>
            <c:strRef>
              <c:f>'A 1 e Ev. pe gr. de varsta'!$J$7</c:f>
              <c:strCache>
                <c:ptCount val="1"/>
                <c:pt idx="0">
                  <c:v>2014</c:v>
                </c:pt>
              </c:strCache>
            </c:strRef>
          </c:tx>
          <c:invertIfNegative val="0"/>
          <c:cat>
            <c:strRef>
              <c:f>'A 1 e Ev. pe gr. de varsta'!$C$53:$C$56</c:f>
              <c:strCache>
                <c:ptCount val="4"/>
                <c:pt idx="0">
                  <c:v>Arad</c:v>
                </c:pt>
                <c:pt idx="1">
                  <c:v>Caraş-Severin</c:v>
                </c:pt>
                <c:pt idx="2">
                  <c:v>Hunedoara</c:v>
                </c:pt>
                <c:pt idx="3">
                  <c:v>Timiş</c:v>
                </c:pt>
              </c:strCache>
            </c:strRef>
          </c:cat>
          <c:val>
            <c:numRef>
              <c:f>'A 1 e Ev. pe gr. de varsta'!$J$53:$J$56</c:f>
              <c:numCache>
                <c:formatCode>0</c:formatCode>
                <c:ptCount val="4"/>
                <c:pt idx="0">
                  <c:v>475841</c:v>
                </c:pt>
                <c:pt idx="1">
                  <c:v>332267</c:v>
                </c:pt>
                <c:pt idx="2">
                  <c:v>475542</c:v>
                </c:pt>
                <c:pt idx="3">
                  <c:v>739217</c:v>
                </c:pt>
              </c:numCache>
            </c:numRef>
          </c:val>
          <c:extLst>
            <c:ext xmlns:c16="http://schemas.microsoft.com/office/drawing/2014/chart" uri="{C3380CC4-5D6E-409C-BE32-E72D297353CC}">
              <c16:uniqueId val="{00000006-FDCC-4FD7-B6F1-3B96BB94E9B0}"/>
            </c:ext>
          </c:extLst>
        </c:ser>
        <c:ser>
          <c:idx val="7"/>
          <c:order val="7"/>
          <c:tx>
            <c:strRef>
              <c:f>'A 1 e Ev. pe gr. de varsta'!$K$7</c:f>
              <c:strCache>
                <c:ptCount val="1"/>
                <c:pt idx="0">
                  <c:v>2015</c:v>
                </c:pt>
              </c:strCache>
            </c:strRef>
          </c:tx>
          <c:invertIfNegative val="0"/>
          <c:cat>
            <c:strRef>
              <c:f>'A 1 e Ev. pe gr. de varsta'!$C$53:$C$56</c:f>
              <c:strCache>
                <c:ptCount val="4"/>
                <c:pt idx="0">
                  <c:v>Arad</c:v>
                </c:pt>
                <c:pt idx="1">
                  <c:v>Caraş-Severin</c:v>
                </c:pt>
                <c:pt idx="2">
                  <c:v>Hunedoara</c:v>
                </c:pt>
                <c:pt idx="3">
                  <c:v>Timiş</c:v>
                </c:pt>
              </c:strCache>
            </c:strRef>
          </c:cat>
          <c:val>
            <c:numRef>
              <c:f>'A 1 e Ev. pe gr. de varsta'!$K$53:$K$56</c:f>
              <c:numCache>
                <c:formatCode>0</c:formatCode>
                <c:ptCount val="4"/>
                <c:pt idx="0">
                  <c:v>474341</c:v>
                </c:pt>
                <c:pt idx="1">
                  <c:v>329286</c:v>
                </c:pt>
                <c:pt idx="2">
                  <c:v>471613</c:v>
                </c:pt>
                <c:pt idx="3">
                  <c:v>741186</c:v>
                </c:pt>
              </c:numCache>
            </c:numRef>
          </c:val>
          <c:extLst>
            <c:ext xmlns:c16="http://schemas.microsoft.com/office/drawing/2014/chart" uri="{C3380CC4-5D6E-409C-BE32-E72D297353CC}">
              <c16:uniqueId val="{00000007-FDCC-4FD7-B6F1-3B96BB94E9B0}"/>
            </c:ext>
          </c:extLst>
        </c:ser>
        <c:dLbls>
          <c:showLegendKey val="0"/>
          <c:showVal val="0"/>
          <c:showCatName val="0"/>
          <c:showSerName val="0"/>
          <c:showPercent val="0"/>
          <c:showBubbleSize val="0"/>
        </c:dLbls>
        <c:gapWidth val="75"/>
        <c:axId val="115779456"/>
        <c:axId val="115780992"/>
      </c:barChart>
      <c:catAx>
        <c:axId val="115779456"/>
        <c:scaling>
          <c:orientation val="minMax"/>
        </c:scaling>
        <c:delete val="0"/>
        <c:axPos val="b"/>
        <c:numFmt formatCode="General" sourceLinked="1"/>
        <c:majorTickMark val="none"/>
        <c:minorTickMark val="none"/>
        <c:tickLblPos val="nextTo"/>
        <c:txPr>
          <a:bodyPr rot="0" vert="horz"/>
          <a:lstStyle/>
          <a:p>
            <a:pPr>
              <a:defRPr/>
            </a:pPr>
            <a:endParaRPr lang="en-US"/>
          </a:p>
        </c:txPr>
        <c:crossAx val="115780992"/>
        <c:crosses val="autoZero"/>
        <c:auto val="1"/>
        <c:lblAlgn val="ctr"/>
        <c:lblOffset val="100"/>
        <c:noMultiLvlLbl val="0"/>
      </c:catAx>
      <c:valAx>
        <c:axId val="115780992"/>
        <c:scaling>
          <c:orientation val="minMax"/>
          <c:min val="10000"/>
        </c:scaling>
        <c:delete val="0"/>
        <c:axPos val="l"/>
        <c:majorGridlines/>
        <c:numFmt formatCode="0" sourceLinked="1"/>
        <c:majorTickMark val="none"/>
        <c:minorTickMark val="none"/>
        <c:tickLblPos val="nextTo"/>
        <c:txPr>
          <a:bodyPr rot="0" vert="horz"/>
          <a:lstStyle/>
          <a:p>
            <a:pPr>
              <a:defRPr/>
            </a:pPr>
            <a:endParaRPr lang="en-US"/>
          </a:p>
        </c:txPr>
        <c:crossAx val="115779456"/>
        <c:crosses val="autoZero"/>
        <c:crossBetween val="between"/>
      </c:valAx>
    </c:plotArea>
    <c:legend>
      <c:legendPos val="b"/>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0" i="0" u="none" strike="noStrike" baseline="0">
                <a:solidFill>
                  <a:srgbClr val="000000"/>
                </a:solidFill>
                <a:latin typeface="Calibri"/>
                <a:ea typeface="Calibri"/>
                <a:cs typeface="Calibri"/>
              </a:defRPr>
            </a:pPr>
            <a:r>
              <a:rPr lang="en-US" sz="1000" b="1" i="0" u="none" strike="noStrike" baseline="0">
                <a:solidFill>
                  <a:srgbClr val="000000"/>
                </a:solidFill>
                <a:latin typeface="Arial Narrow"/>
              </a:rPr>
              <a:t>POPULATIA DE 10 ANI SI PESTE , DUPA ETNIE SI NIVELUL DE EDUCATIE AL INSTITUTIEI DE INVATAMANT ABSOLVITE </a:t>
            </a:r>
          </a:p>
          <a:p>
            <a:pPr>
              <a:defRPr sz="1000" b="0" i="0" u="none" strike="noStrike" baseline="0">
                <a:solidFill>
                  <a:srgbClr val="000000"/>
                </a:solidFill>
                <a:latin typeface="Calibri"/>
                <a:ea typeface="Calibri"/>
                <a:cs typeface="Calibri"/>
              </a:defRPr>
            </a:pPr>
            <a:r>
              <a:rPr lang="en-US" sz="1000" b="1" i="0" u="none" strike="noStrike" baseline="0">
                <a:solidFill>
                  <a:srgbClr val="000000"/>
                </a:solidFill>
                <a:latin typeface="Arial Narrow"/>
              </a:rPr>
              <a:t>Situaţia romilor la nivel naţional</a:t>
            </a:r>
          </a:p>
        </c:rich>
      </c:tx>
      <c:overlay val="0"/>
    </c:title>
    <c:autoTitleDeleted val="0"/>
    <c:plotArea>
      <c:layout/>
      <c:barChart>
        <c:barDir val="col"/>
        <c:grouping val="clustered"/>
        <c:varyColors val="0"/>
        <c:ser>
          <c:idx val="0"/>
          <c:order val="0"/>
          <c:tx>
            <c:strRef>
              <c:f>'A 1 d Rec Pop etnii nivel ed'!$O$11</c:f>
              <c:strCache>
                <c:ptCount val="1"/>
                <c:pt idx="0">
                  <c:v>Total</c:v>
                </c:pt>
              </c:strCache>
            </c:strRef>
          </c:tx>
          <c:invertIfNegative val="0"/>
          <c:dLbls>
            <c:spPr>
              <a:noFill/>
              <a:ln>
                <a:noFill/>
              </a:ln>
              <a:effectLst/>
            </c:spPr>
            <c:txPr>
              <a:bodyPr/>
              <a:lstStyle/>
              <a:p>
                <a:pPr>
                  <a:defRPr sz="1000" b="0" i="0" u="none" strike="noStrike" baseline="0">
                    <a:solidFill>
                      <a:srgbClr val="000000"/>
                    </a:solidFill>
                    <a:latin typeface="Arial Narrow"/>
                    <a:ea typeface="Arial Narrow"/>
                    <a:cs typeface="Arial Narrow"/>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 1 d Rec Pop etnii nivel ed'!$P$6;'A 1 d Rec Pop etnii nivel ed'!$R$6;'A 1 d Rec Pop etnii nivel ed'!$T$6:$Y$6)</c:f>
              <c:strCache>
                <c:ptCount val="8"/>
                <c:pt idx="0">
                  <c:v>Superior Total1</c:v>
                </c:pt>
                <c:pt idx="1">
                  <c:v>Postliceal 
si de 
maistri</c:v>
                </c:pt>
                <c:pt idx="2">
                  <c:v>Liceal</c:v>
                </c:pt>
                <c:pt idx="3">
                  <c:v>Profesional
si de 
ucenici</c:v>
                </c:pt>
                <c:pt idx="4">
                  <c:v>Inferior 
(gimnazial)</c:v>
                </c:pt>
                <c:pt idx="5">
                  <c:v>Primar</c:v>
                </c:pt>
                <c:pt idx="6">
                  <c:v>Total Fara scoala absolvita</c:v>
                </c:pt>
                <c:pt idx="7">
                  <c:v>Persoane analfabete2</c:v>
                </c:pt>
              </c:strCache>
            </c:strRef>
          </c:cat>
          <c:val>
            <c:numRef>
              <c:f>('A 1 d Rec Pop etnii nivel ed'!$P$11;'A 1 d Rec Pop etnii nivel ed'!$R$11;'A 1 d Rec Pop etnii nivel ed'!$T$11:$Y$11)</c:f>
              <c:numCache>
                <c:formatCode>0.0%</c:formatCode>
                <c:ptCount val="8"/>
                <c:pt idx="0">
                  <c:v>0.14376812935542557</c:v>
                </c:pt>
                <c:pt idx="1">
                  <c:v>3.1851956537432356E-2</c:v>
                </c:pt>
                <c:pt idx="2">
                  <c:v>0.24363029395766544</c:v>
                </c:pt>
                <c:pt idx="3">
                  <c:v>0.13875398598208291</c:v>
                </c:pt>
                <c:pt idx="4">
                  <c:v>0.27012281116739684</c:v>
                </c:pt>
                <c:pt idx="5">
                  <c:v>0.14184078643803141</c:v>
                </c:pt>
                <c:pt idx="6">
                  <c:v>3.0032036561976023E-2</c:v>
                </c:pt>
                <c:pt idx="7">
                  <c:v>1.3615802403044552E-2</c:v>
                </c:pt>
              </c:numCache>
            </c:numRef>
          </c:val>
          <c:extLst>
            <c:ext xmlns:c16="http://schemas.microsoft.com/office/drawing/2014/chart" uri="{C3380CC4-5D6E-409C-BE32-E72D297353CC}">
              <c16:uniqueId val="{00000000-A092-4ABB-93D4-8E6827820996}"/>
            </c:ext>
          </c:extLst>
        </c:ser>
        <c:ser>
          <c:idx val="1"/>
          <c:order val="1"/>
          <c:tx>
            <c:strRef>
              <c:f>'A 1 d Rec Pop etnii nivel ed'!$O$17</c:f>
              <c:strCache>
                <c:ptCount val="1"/>
                <c:pt idx="0">
                  <c:v>    Romi</c:v>
                </c:pt>
              </c:strCache>
            </c:strRef>
          </c:tx>
          <c:invertIfNegative val="0"/>
          <c:dLbls>
            <c:spPr>
              <a:noFill/>
              <a:ln>
                <a:noFill/>
              </a:ln>
              <a:effectLst/>
            </c:spPr>
            <c:txPr>
              <a:bodyPr/>
              <a:lstStyle/>
              <a:p>
                <a:pPr>
                  <a:defRPr sz="1000" b="0" i="0" u="none" strike="noStrike" baseline="0">
                    <a:solidFill>
                      <a:srgbClr val="000000"/>
                    </a:solidFill>
                    <a:latin typeface="Arial Narrow"/>
                    <a:ea typeface="Arial Narrow"/>
                    <a:cs typeface="Arial Narrow"/>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 1 d Rec Pop etnii nivel ed'!$P$6;'A 1 d Rec Pop etnii nivel ed'!$R$6;'A 1 d Rec Pop etnii nivel ed'!$T$6:$Y$6)</c:f>
              <c:strCache>
                <c:ptCount val="8"/>
                <c:pt idx="0">
                  <c:v>Superior Total1</c:v>
                </c:pt>
                <c:pt idx="1">
                  <c:v>Postliceal 
si de 
maistri</c:v>
                </c:pt>
                <c:pt idx="2">
                  <c:v>Liceal</c:v>
                </c:pt>
                <c:pt idx="3">
                  <c:v>Profesional
si de 
ucenici</c:v>
                </c:pt>
                <c:pt idx="4">
                  <c:v>Inferior 
(gimnazial)</c:v>
                </c:pt>
                <c:pt idx="5">
                  <c:v>Primar</c:v>
                </c:pt>
                <c:pt idx="6">
                  <c:v>Total Fara scoala absolvita</c:v>
                </c:pt>
                <c:pt idx="7">
                  <c:v>Persoane analfabete2</c:v>
                </c:pt>
              </c:strCache>
            </c:strRef>
          </c:cat>
          <c:val>
            <c:numRef>
              <c:f>('A 1 d Rec Pop etnii nivel ed'!$P$17;'A 1 d Rec Pop etnii nivel ed'!$R$17;'A 1 d Rec Pop etnii nivel ed'!$T$17:$Y$17)</c:f>
              <c:numCache>
                <c:formatCode>0.0%</c:formatCode>
                <c:ptCount val="8"/>
                <c:pt idx="0">
                  <c:v>7.1109343436986496E-3</c:v>
                </c:pt>
                <c:pt idx="1">
                  <c:v>2.0807385156422302E-3</c:v>
                </c:pt>
                <c:pt idx="2">
                  <c:v>4.8688025287043517E-2</c:v>
                </c:pt>
                <c:pt idx="3">
                  <c:v>4.1568717750122983E-2</c:v>
                </c:pt>
                <c:pt idx="4">
                  <c:v>0.35683409564280777</c:v>
                </c:pt>
                <c:pt idx="5">
                  <c:v>0.34169117570099367</c:v>
                </c:pt>
                <c:pt idx="6">
                  <c:v>0.20202631275969984</c:v>
                </c:pt>
                <c:pt idx="7">
                  <c:v>0.14125576965345438</c:v>
                </c:pt>
              </c:numCache>
            </c:numRef>
          </c:val>
          <c:extLst>
            <c:ext xmlns:c16="http://schemas.microsoft.com/office/drawing/2014/chart" uri="{C3380CC4-5D6E-409C-BE32-E72D297353CC}">
              <c16:uniqueId val="{00000001-A092-4ABB-93D4-8E6827820996}"/>
            </c:ext>
          </c:extLst>
        </c:ser>
        <c:dLbls>
          <c:showLegendKey val="0"/>
          <c:showVal val="0"/>
          <c:showCatName val="0"/>
          <c:showSerName val="0"/>
          <c:showPercent val="0"/>
          <c:showBubbleSize val="0"/>
        </c:dLbls>
        <c:gapWidth val="61"/>
        <c:axId val="119427840"/>
        <c:axId val="119429376"/>
      </c:barChart>
      <c:catAx>
        <c:axId val="119427840"/>
        <c:scaling>
          <c:orientation val="minMax"/>
        </c:scaling>
        <c:delete val="0"/>
        <c:axPos val="b"/>
        <c:numFmt formatCode="General" sourceLinked="1"/>
        <c:majorTickMark val="none"/>
        <c:minorTickMark val="none"/>
        <c:tickLblPos val="nextTo"/>
        <c:txPr>
          <a:bodyPr rot="0" vert="horz"/>
          <a:lstStyle/>
          <a:p>
            <a:pPr>
              <a:defRPr sz="900" b="1" i="0" u="none" strike="noStrike" baseline="0">
                <a:solidFill>
                  <a:srgbClr val="000000"/>
                </a:solidFill>
                <a:latin typeface="Arial Narrow"/>
                <a:ea typeface="Arial Narrow"/>
                <a:cs typeface="Arial Narrow"/>
              </a:defRPr>
            </a:pPr>
            <a:endParaRPr lang="en-US"/>
          </a:p>
        </c:txPr>
        <c:crossAx val="119429376"/>
        <c:crosses val="autoZero"/>
        <c:auto val="1"/>
        <c:lblAlgn val="ctr"/>
        <c:lblOffset val="100"/>
        <c:noMultiLvlLbl val="0"/>
      </c:catAx>
      <c:valAx>
        <c:axId val="119429376"/>
        <c:scaling>
          <c:orientation val="minMax"/>
        </c:scaling>
        <c:delete val="0"/>
        <c:axPos val="l"/>
        <c:majorGridlines/>
        <c:numFmt formatCode="0.0%" sourceLinked="1"/>
        <c:majorTickMark val="none"/>
        <c:minorTickMark val="none"/>
        <c:tickLblPos val="nextTo"/>
        <c:txPr>
          <a:bodyPr rot="0" vert="horz"/>
          <a:lstStyle/>
          <a:p>
            <a:pPr>
              <a:defRPr sz="900" b="0" i="0" u="none" strike="noStrike" baseline="0">
                <a:solidFill>
                  <a:srgbClr val="000000"/>
                </a:solidFill>
                <a:latin typeface="Arial Narrow"/>
                <a:ea typeface="Arial Narrow"/>
                <a:cs typeface="Arial Narrow"/>
              </a:defRPr>
            </a:pPr>
            <a:endParaRPr lang="en-US"/>
          </a:p>
        </c:txPr>
        <c:crossAx val="119427840"/>
        <c:crosses val="autoZero"/>
        <c:crossBetween val="between"/>
      </c:valAx>
    </c:plotArea>
    <c:legend>
      <c:legendPos val="r"/>
      <c:layout>
        <c:manualLayout>
          <c:xMode val="edge"/>
          <c:yMode val="edge"/>
          <c:x val="0.83082862238375876"/>
          <c:y val="0.94427055993000886"/>
          <c:w val="0.16069621105054188"/>
          <c:h val="4.5312773403325832E-2"/>
        </c:manualLayout>
      </c:layout>
      <c:overlay val="0"/>
      <c:txPr>
        <a:bodyPr/>
        <a:lstStyle/>
        <a:p>
          <a:pPr>
            <a:defRPr sz="920" b="1" i="0" u="none" strike="noStrike" baseline="0">
              <a:solidFill>
                <a:srgbClr val="000000"/>
              </a:solidFill>
              <a:latin typeface="Calibri"/>
              <a:ea typeface="Calibri"/>
              <a:cs typeface="Calibri"/>
            </a:defRPr>
          </a:pPr>
          <a:endParaRPr lang="en-US"/>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sz="1100"/>
            </a:pPr>
            <a:r>
              <a:rPr lang="en-US" sz="1100" b="0">
                <a:latin typeface="Arial" pitchFamily="34" charset="0"/>
                <a:cs typeface="Arial" pitchFamily="34" charset="0"/>
              </a:rPr>
              <a:t>Evolu</a:t>
            </a:r>
            <a:r>
              <a:rPr lang="ro-RO" sz="1100" b="0">
                <a:latin typeface="Arial" pitchFamily="34" charset="0"/>
                <a:cs typeface="Arial" pitchFamily="34" charset="0"/>
              </a:rPr>
              <a:t>ţia contribuţiei regiunilor de dezvoltare la formarea VAB naţionale</a:t>
            </a:r>
            <a:endParaRPr lang="vi-VN" sz="1100" b="0">
              <a:latin typeface="Arial" pitchFamily="34" charset="0"/>
              <a:cs typeface="Arial" pitchFamily="34" charset="0"/>
            </a:endParaRPr>
          </a:p>
        </c:rich>
      </c:tx>
      <c:layout>
        <c:manualLayout>
          <c:xMode val="edge"/>
          <c:yMode val="edge"/>
          <c:x val="0.13763803403716962"/>
          <c:y val="0"/>
        </c:manualLayout>
      </c:layout>
      <c:overlay val="0"/>
    </c:title>
    <c:autoTitleDeleted val="0"/>
    <c:view3D>
      <c:rotX val="15"/>
      <c:rotY val="20"/>
      <c:rAngAx val="1"/>
    </c:view3D>
    <c:floor>
      <c:thickness val="0"/>
    </c:floor>
    <c:sideWall>
      <c:thickness val="0"/>
    </c:sideWall>
    <c:backWall>
      <c:thickness val="0"/>
    </c:backWall>
    <c:plotArea>
      <c:layout/>
      <c:bar3DChart>
        <c:barDir val="col"/>
        <c:grouping val="percentStacked"/>
        <c:varyColors val="0"/>
        <c:ser>
          <c:idx val="0"/>
          <c:order val="0"/>
          <c:tx>
            <c:strRef>
              <c:f>Regiuni!$A$98</c:f>
              <c:strCache>
                <c:ptCount val="1"/>
                <c:pt idx="0">
                  <c:v>Nord - Vest</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Regiuni!$B$96:$G$96</c:f>
              <c:numCache>
                <c:formatCode>General</c:formatCode>
                <c:ptCount val="6"/>
                <c:pt idx="0">
                  <c:v>2008</c:v>
                </c:pt>
                <c:pt idx="1">
                  <c:v>2009</c:v>
                </c:pt>
                <c:pt idx="2">
                  <c:v>2010</c:v>
                </c:pt>
                <c:pt idx="3">
                  <c:v>2011</c:v>
                </c:pt>
                <c:pt idx="4">
                  <c:v>2012</c:v>
                </c:pt>
                <c:pt idx="5">
                  <c:v>2013</c:v>
                </c:pt>
              </c:numCache>
            </c:numRef>
          </c:cat>
          <c:val>
            <c:numRef>
              <c:f>Regiuni!$B$98:$G$98</c:f>
              <c:numCache>
                <c:formatCode>0.0%</c:formatCode>
                <c:ptCount val="6"/>
                <c:pt idx="0">
                  <c:v>0.11292205765429271</c:v>
                </c:pt>
                <c:pt idx="1">
                  <c:v>0.11528525995806779</c:v>
                </c:pt>
                <c:pt idx="2">
                  <c:v>0.11277919185558299</c:v>
                </c:pt>
                <c:pt idx="3">
                  <c:v>0.10907641738475236</c:v>
                </c:pt>
                <c:pt idx="4">
                  <c:v>0.11344388748068462</c:v>
                </c:pt>
                <c:pt idx="5">
                  <c:v>0.11252385983987268</c:v>
                </c:pt>
              </c:numCache>
            </c:numRef>
          </c:val>
          <c:extLst>
            <c:ext xmlns:c16="http://schemas.microsoft.com/office/drawing/2014/chart" uri="{C3380CC4-5D6E-409C-BE32-E72D297353CC}">
              <c16:uniqueId val="{00000000-70F2-4EDB-8750-726A570D931D}"/>
            </c:ext>
          </c:extLst>
        </c:ser>
        <c:ser>
          <c:idx val="1"/>
          <c:order val="1"/>
          <c:tx>
            <c:strRef>
              <c:f>Regiuni!$A$99</c:f>
              <c:strCache>
                <c:ptCount val="1"/>
                <c:pt idx="0">
                  <c:v>Centru</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Regiuni!$B$96:$G$96</c:f>
              <c:numCache>
                <c:formatCode>General</c:formatCode>
                <c:ptCount val="6"/>
                <c:pt idx="0">
                  <c:v>2008</c:v>
                </c:pt>
                <c:pt idx="1">
                  <c:v>2009</c:v>
                </c:pt>
                <c:pt idx="2">
                  <c:v>2010</c:v>
                </c:pt>
                <c:pt idx="3">
                  <c:v>2011</c:v>
                </c:pt>
                <c:pt idx="4">
                  <c:v>2012</c:v>
                </c:pt>
                <c:pt idx="5">
                  <c:v>2013</c:v>
                </c:pt>
              </c:numCache>
            </c:numRef>
          </c:cat>
          <c:val>
            <c:numRef>
              <c:f>Regiuni!$B$99:$G$99</c:f>
              <c:numCache>
                <c:formatCode>0.0%</c:formatCode>
                <c:ptCount val="6"/>
                <c:pt idx="0">
                  <c:v>0.11081104687381604</c:v>
                </c:pt>
                <c:pt idx="1">
                  <c:v>0.11372783584145378</c:v>
                </c:pt>
                <c:pt idx="2">
                  <c:v>0.11222786222880561</c:v>
                </c:pt>
                <c:pt idx="3">
                  <c:v>0.10964636826732919</c:v>
                </c:pt>
                <c:pt idx="4">
                  <c:v>0.11348543479455395</c:v>
                </c:pt>
                <c:pt idx="5">
                  <c:v>0.11050819766741785</c:v>
                </c:pt>
              </c:numCache>
            </c:numRef>
          </c:val>
          <c:extLst>
            <c:ext xmlns:c16="http://schemas.microsoft.com/office/drawing/2014/chart" uri="{C3380CC4-5D6E-409C-BE32-E72D297353CC}">
              <c16:uniqueId val="{00000001-70F2-4EDB-8750-726A570D931D}"/>
            </c:ext>
          </c:extLst>
        </c:ser>
        <c:ser>
          <c:idx val="2"/>
          <c:order val="2"/>
          <c:tx>
            <c:strRef>
              <c:f>Regiuni!$A$100</c:f>
              <c:strCache>
                <c:ptCount val="1"/>
                <c:pt idx="0">
                  <c:v>Nord - Est</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Regiuni!$B$96:$G$96</c:f>
              <c:numCache>
                <c:formatCode>General</c:formatCode>
                <c:ptCount val="6"/>
                <c:pt idx="0">
                  <c:v>2008</c:v>
                </c:pt>
                <c:pt idx="1">
                  <c:v>2009</c:v>
                </c:pt>
                <c:pt idx="2">
                  <c:v>2010</c:v>
                </c:pt>
                <c:pt idx="3">
                  <c:v>2011</c:v>
                </c:pt>
                <c:pt idx="4">
                  <c:v>2012</c:v>
                </c:pt>
                <c:pt idx="5">
                  <c:v>2013</c:v>
                </c:pt>
              </c:numCache>
            </c:numRef>
          </c:cat>
          <c:val>
            <c:numRef>
              <c:f>Regiuni!$B$100:$G$100</c:f>
              <c:numCache>
                <c:formatCode>0.0%</c:formatCode>
                <c:ptCount val="6"/>
                <c:pt idx="0">
                  <c:v>0.10554797010289795</c:v>
                </c:pt>
                <c:pt idx="1">
                  <c:v>0.10785906692401236</c:v>
                </c:pt>
                <c:pt idx="2">
                  <c:v>0.10518279197515838</c:v>
                </c:pt>
                <c:pt idx="3">
                  <c:v>0.10129112227887062</c:v>
                </c:pt>
                <c:pt idx="4">
                  <c:v>0.10296037056374728</c:v>
                </c:pt>
                <c:pt idx="5">
                  <c:v>0.10254013333722833</c:v>
                </c:pt>
              </c:numCache>
            </c:numRef>
          </c:val>
          <c:extLst>
            <c:ext xmlns:c16="http://schemas.microsoft.com/office/drawing/2014/chart" uri="{C3380CC4-5D6E-409C-BE32-E72D297353CC}">
              <c16:uniqueId val="{00000002-70F2-4EDB-8750-726A570D931D}"/>
            </c:ext>
          </c:extLst>
        </c:ser>
        <c:ser>
          <c:idx val="3"/>
          <c:order val="3"/>
          <c:tx>
            <c:strRef>
              <c:f>Regiuni!$A$101</c:f>
              <c:strCache>
                <c:ptCount val="1"/>
                <c:pt idx="0">
                  <c:v>Sud - Est</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Regiuni!$B$96:$G$96</c:f>
              <c:numCache>
                <c:formatCode>General</c:formatCode>
                <c:ptCount val="6"/>
                <c:pt idx="0">
                  <c:v>2008</c:v>
                </c:pt>
                <c:pt idx="1">
                  <c:v>2009</c:v>
                </c:pt>
                <c:pt idx="2">
                  <c:v>2010</c:v>
                </c:pt>
                <c:pt idx="3">
                  <c:v>2011</c:v>
                </c:pt>
                <c:pt idx="4">
                  <c:v>2012</c:v>
                </c:pt>
                <c:pt idx="5">
                  <c:v>2013</c:v>
                </c:pt>
              </c:numCache>
            </c:numRef>
          </c:cat>
          <c:val>
            <c:numRef>
              <c:f>Regiuni!$B$101:$G$101</c:f>
              <c:numCache>
                <c:formatCode>0.0%</c:formatCode>
                <c:ptCount val="6"/>
                <c:pt idx="0">
                  <c:v>0.10322009957993862</c:v>
                </c:pt>
                <c:pt idx="1">
                  <c:v>0.10469051441090388</c:v>
                </c:pt>
                <c:pt idx="2">
                  <c:v>0.10644665749600762</c:v>
                </c:pt>
                <c:pt idx="3">
                  <c:v>0.10526444228511611</c:v>
                </c:pt>
                <c:pt idx="4">
                  <c:v>0.10877890912836605</c:v>
                </c:pt>
                <c:pt idx="5">
                  <c:v>0.11313856911498248</c:v>
                </c:pt>
              </c:numCache>
            </c:numRef>
          </c:val>
          <c:extLst>
            <c:ext xmlns:c16="http://schemas.microsoft.com/office/drawing/2014/chart" uri="{C3380CC4-5D6E-409C-BE32-E72D297353CC}">
              <c16:uniqueId val="{00000003-70F2-4EDB-8750-726A570D931D}"/>
            </c:ext>
          </c:extLst>
        </c:ser>
        <c:ser>
          <c:idx val="4"/>
          <c:order val="4"/>
          <c:tx>
            <c:strRef>
              <c:f>Regiuni!$A$102</c:f>
              <c:strCache>
                <c:ptCount val="1"/>
                <c:pt idx="0">
                  <c:v>Bucureşti - Ilfov</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Regiuni!$B$96:$G$96</c:f>
              <c:numCache>
                <c:formatCode>General</c:formatCode>
                <c:ptCount val="6"/>
                <c:pt idx="0">
                  <c:v>2008</c:v>
                </c:pt>
                <c:pt idx="1">
                  <c:v>2009</c:v>
                </c:pt>
                <c:pt idx="2">
                  <c:v>2010</c:v>
                </c:pt>
                <c:pt idx="3">
                  <c:v>2011</c:v>
                </c:pt>
                <c:pt idx="4">
                  <c:v>2012</c:v>
                </c:pt>
                <c:pt idx="5">
                  <c:v>2013</c:v>
                </c:pt>
              </c:numCache>
            </c:numRef>
          </c:cat>
          <c:val>
            <c:numRef>
              <c:f>Regiuni!$B$102:$G$102</c:f>
              <c:numCache>
                <c:formatCode>0.0%</c:formatCode>
                <c:ptCount val="6"/>
                <c:pt idx="0">
                  <c:v>0.26577948982087235</c:v>
                </c:pt>
                <c:pt idx="1">
                  <c:v>0.2498333971479397</c:v>
                </c:pt>
                <c:pt idx="2">
                  <c:v>0.25668544821002343</c:v>
                </c:pt>
                <c:pt idx="3">
                  <c:v>0.27213924388129679</c:v>
                </c:pt>
                <c:pt idx="4">
                  <c:v>0.26579539843395023</c:v>
                </c:pt>
                <c:pt idx="5">
                  <c:v>0.2679462689587313</c:v>
                </c:pt>
              </c:numCache>
            </c:numRef>
          </c:val>
          <c:extLst>
            <c:ext xmlns:c16="http://schemas.microsoft.com/office/drawing/2014/chart" uri="{C3380CC4-5D6E-409C-BE32-E72D297353CC}">
              <c16:uniqueId val="{00000004-70F2-4EDB-8750-726A570D931D}"/>
            </c:ext>
          </c:extLst>
        </c:ser>
        <c:ser>
          <c:idx val="5"/>
          <c:order val="5"/>
          <c:tx>
            <c:strRef>
              <c:f>Regiuni!$A$103</c:f>
              <c:strCache>
                <c:ptCount val="1"/>
                <c:pt idx="0">
                  <c:v>Sud Muntenia</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Regiuni!$B$96:$G$96</c:f>
              <c:numCache>
                <c:formatCode>General</c:formatCode>
                <c:ptCount val="6"/>
                <c:pt idx="0">
                  <c:v>2008</c:v>
                </c:pt>
                <c:pt idx="1">
                  <c:v>2009</c:v>
                </c:pt>
                <c:pt idx="2">
                  <c:v>2010</c:v>
                </c:pt>
                <c:pt idx="3">
                  <c:v>2011</c:v>
                </c:pt>
                <c:pt idx="4">
                  <c:v>2012</c:v>
                </c:pt>
                <c:pt idx="5">
                  <c:v>2013</c:v>
                </c:pt>
              </c:numCache>
            </c:numRef>
          </c:cat>
          <c:val>
            <c:numRef>
              <c:f>Regiuni!$B$103:$G$103</c:f>
              <c:numCache>
                <c:formatCode>0.0%</c:formatCode>
                <c:ptCount val="6"/>
                <c:pt idx="0">
                  <c:v>0.1238722972275777</c:v>
                </c:pt>
                <c:pt idx="1">
                  <c:v>0.12942035687907291</c:v>
                </c:pt>
                <c:pt idx="2">
                  <c:v>0.12523001765512592</c:v>
                </c:pt>
                <c:pt idx="3">
                  <c:v>0.12384350996163865</c:v>
                </c:pt>
                <c:pt idx="4">
                  <c:v>0.11921379462722417</c:v>
                </c:pt>
                <c:pt idx="5">
                  <c:v>0.12209291140990212</c:v>
                </c:pt>
              </c:numCache>
            </c:numRef>
          </c:val>
          <c:extLst>
            <c:ext xmlns:c16="http://schemas.microsoft.com/office/drawing/2014/chart" uri="{C3380CC4-5D6E-409C-BE32-E72D297353CC}">
              <c16:uniqueId val="{00000005-70F2-4EDB-8750-726A570D931D}"/>
            </c:ext>
          </c:extLst>
        </c:ser>
        <c:ser>
          <c:idx val="6"/>
          <c:order val="6"/>
          <c:tx>
            <c:strRef>
              <c:f>Regiuni!$A$104</c:f>
              <c:strCache>
                <c:ptCount val="1"/>
                <c:pt idx="0">
                  <c:v>Sud - Vest Oltenia</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Regiuni!$B$96:$G$96</c:f>
              <c:numCache>
                <c:formatCode>General</c:formatCode>
                <c:ptCount val="6"/>
                <c:pt idx="0">
                  <c:v>2008</c:v>
                </c:pt>
                <c:pt idx="1">
                  <c:v>2009</c:v>
                </c:pt>
                <c:pt idx="2">
                  <c:v>2010</c:v>
                </c:pt>
                <c:pt idx="3">
                  <c:v>2011</c:v>
                </c:pt>
                <c:pt idx="4">
                  <c:v>2012</c:v>
                </c:pt>
                <c:pt idx="5">
                  <c:v>2013</c:v>
                </c:pt>
              </c:numCache>
            </c:numRef>
          </c:cat>
          <c:val>
            <c:numRef>
              <c:f>Regiuni!$B$104:$G$104</c:f>
              <c:numCache>
                <c:formatCode>0.0%</c:formatCode>
                <c:ptCount val="6"/>
                <c:pt idx="0">
                  <c:v>7.7768729467364406E-2</c:v>
                </c:pt>
                <c:pt idx="1">
                  <c:v>7.9249905582657695E-2</c:v>
                </c:pt>
                <c:pt idx="2">
                  <c:v>7.9529403478114324E-2</c:v>
                </c:pt>
                <c:pt idx="3">
                  <c:v>7.8903508081968082E-2</c:v>
                </c:pt>
                <c:pt idx="4">
                  <c:v>7.7772550857648476E-2</c:v>
                </c:pt>
                <c:pt idx="5">
                  <c:v>7.5387118999593536E-2</c:v>
                </c:pt>
              </c:numCache>
            </c:numRef>
          </c:val>
          <c:extLst>
            <c:ext xmlns:c16="http://schemas.microsoft.com/office/drawing/2014/chart" uri="{C3380CC4-5D6E-409C-BE32-E72D297353CC}">
              <c16:uniqueId val="{00000006-70F2-4EDB-8750-726A570D931D}"/>
            </c:ext>
          </c:extLst>
        </c:ser>
        <c:ser>
          <c:idx val="7"/>
          <c:order val="7"/>
          <c:tx>
            <c:strRef>
              <c:f>Regiuni!$A$105</c:f>
              <c:strCache>
                <c:ptCount val="1"/>
                <c:pt idx="0">
                  <c:v>Vest</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Regiuni!$B$96:$G$96</c:f>
              <c:numCache>
                <c:formatCode>General</c:formatCode>
                <c:ptCount val="6"/>
                <c:pt idx="0">
                  <c:v>2008</c:v>
                </c:pt>
                <c:pt idx="1">
                  <c:v>2009</c:v>
                </c:pt>
                <c:pt idx="2">
                  <c:v>2010</c:v>
                </c:pt>
                <c:pt idx="3">
                  <c:v>2011</c:v>
                </c:pt>
                <c:pt idx="4">
                  <c:v>2012</c:v>
                </c:pt>
                <c:pt idx="5">
                  <c:v>2013</c:v>
                </c:pt>
              </c:numCache>
            </c:numRef>
          </c:cat>
          <c:val>
            <c:numRef>
              <c:f>Regiuni!$B$105:$G$105</c:f>
              <c:numCache>
                <c:formatCode>0.0%</c:formatCode>
                <c:ptCount val="6"/>
                <c:pt idx="0">
                  <c:v>9.9215579991703204E-2</c:v>
                </c:pt>
                <c:pt idx="1">
                  <c:v>9.9076134187645007E-2</c:v>
                </c:pt>
                <c:pt idx="2">
                  <c:v>0.10070318634983312</c:v>
                </c:pt>
                <c:pt idx="3">
                  <c:v>9.8939923627388598E-2</c:v>
                </c:pt>
                <c:pt idx="4">
                  <c:v>9.7741108922697717E-2</c:v>
                </c:pt>
                <c:pt idx="5">
                  <c:v>9.5056390803337568E-2</c:v>
                </c:pt>
              </c:numCache>
            </c:numRef>
          </c:val>
          <c:extLst>
            <c:ext xmlns:c16="http://schemas.microsoft.com/office/drawing/2014/chart" uri="{C3380CC4-5D6E-409C-BE32-E72D297353CC}">
              <c16:uniqueId val="{00000007-70F2-4EDB-8750-726A570D931D}"/>
            </c:ext>
          </c:extLst>
        </c:ser>
        <c:dLbls>
          <c:showLegendKey val="0"/>
          <c:showVal val="1"/>
          <c:showCatName val="0"/>
          <c:showSerName val="0"/>
          <c:showPercent val="0"/>
          <c:showBubbleSize val="0"/>
        </c:dLbls>
        <c:gapWidth val="95"/>
        <c:gapDepth val="95"/>
        <c:shape val="box"/>
        <c:axId val="119715712"/>
        <c:axId val="119717248"/>
        <c:axId val="0"/>
      </c:bar3DChart>
      <c:catAx>
        <c:axId val="119715712"/>
        <c:scaling>
          <c:orientation val="minMax"/>
        </c:scaling>
        <c:delete val="0"/>
        <c:axPos val="b"/>
        <c:numFmt formatCode="General" sourceLinked="1"/>
        <c:majorTickMark val="none"/>
        <c:minorTickMark val="none"/>
        <c:tickLblPos val="nextTo"/>
        <c:crossAx val="119717248"/>
        <c:crosses val="autoZero"/>
        <c:auto val="1"/>
        <c:lblAlgn val="ctr"/>
        <c:lblOffset val="100"/>
        <c:noMultiLvlLbl val="0"/>
      </c:catAx>
      <c:valAx>
        <c:axId val="119717248"/>
        <c:scaling>
          <c:orientation val="minMax"/>
        </c:scaling>
        <c:delete val="1"/>
        <c:axPos val="l"/>
        <c:numFmt formatCode="0%" sourceLinked="1"/>
        <c:majorTickMark val="out"/>
        <c:minorTickMark val="none"/>
        <c:tickLblPos val="none"/>
        <c:crossAx val="119715712"/>
        <c:crosses val="autoZero"/>
        <c:crossBetween val="between"/>
      </c:valAx>
    </c:plotArea>
    <c:legend>
      <c:legendPos val="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sz="1050" b="0"/>
            </a:pPr>
            <a:r>
              <a:rPr lang="vi-VN" sz="1050" b="0"/>
              <a:t>Evoluţia produsului intern brut/locuitor la preţuri curente</a:t>
            </a:r>
          </a:p>
        </c:rich>
      </c:tx>
      <c:overlay val="0"/>
    </c:title>
    <c:autoTitleDeleted val="0"/>
    <c:plotArea>
      <c:layout/>
      <c:barChart>
        <c:barDir val="col"/>
        <c:grouping val="clustered"/>
        <c:varyColors val="0"/>
        <c:ser>
          <c:idx val="1"/>
          <c:order val="0"/>
          <c:tx>
            <c:strRef>
              <c:f>Regiuni!$B$124</c:f>
              <c:strCache>
                <c:ptCount val="1"/>
                <c:pt idx="0">
                  <c:v>2005</c:v>
                </c:pt>
              </c:strCache>
            </c:strRef>
          </c:tx>
          <c:invertIfNegative val="0"/>
          <c:cat>
            <c:strRef>
              <c:f>Regiuni!$A$125:$A$134</c:f>
              <c:strCache>
                <c:ptCount val="10"/>
                <c:pt idx="0">
                  <c:v>UE 28</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Regiuni!$B$125:$B$134</c:f>
              <c:numCache>
                <c:formatCode>#,##0</c:formatCode>
                <c:ptCount val="10"/>
                <c:pt idx="0">
                  <c:v>23300</c:v>
                </c:pt>
                <c:pt idx="1">
                  <c:v>3800</c:v>
                </c:pt>
                <c:pt idx="2">
                  <c:v>3500</c:v>
                </c:pt>
                <c:pt idx="3">
                  <c:v>3600</c:v>
                </c:pt>
                <c:pt idx="4">
                  <c:v>2400</c:v>
                </c:pt>
                <c:pt idx="5">
                  <c:v>3200</c:v>
                </c:pt>
                <c:pt idx="6">
                  <c:v>3100</c:v>
                </c:pt>
                <c:pt idx="7">
                  <c:v>8800</c:v>
                </c:pt>
                <c:pt idx="8">
                  <c:v>2900</c:v>
                </c:pt>
                <c:pt idx="9">
                  <c:v>4100</c:v>
                </c:pt>
              </c:numCache>
            </c:numRef>
          </c:val>
          <c:extLst>
            <c:ext xmlns:c16="http://schemas.microsoft.com/office/drawing/2014/chart" uri="{C3380CC4-5D6E-409C-BE32-E72D297353CC}">
              <c16:uniqueId val="{00000000-6A1B-4C36-9093-7B4AD91871BF}"/>
            </c:ext>
          </c:extLst>
        </c:ser>
        <c:ser>
          <c:idx val="2"/>
          <c:order val="1"/>
          <c:tx>
            <c:strRef>
              <c:f>Regiuni!$C$124</c:f>
              <c:strCache>
                <c:ptCount val="1"/>
                <c:pt idx="0">
                  <c:v>2006</c:v>
                </c:pt>
              </c:strCache>
            </c:strRef>
          </c:tx>
          <c:invertIfNegative val="0"/>
          <c:cat>
            <c:strRef>
              <c:f>Regiuni!$A$125:$A$134</c:f>
              <c:strCache>
                <c:ptCount val="10"/>
                <c:pt idx="0">
                  <c:v>UE 28</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Regiuni!$C$125:$C$134</c:f>
              <c:numCache>
                <c:formatCode>#,##0</c:formatCode>
                <c:ptCount val="10"/>
                <c:pt idx="0">
                  <c:v>24500</c:v>
                </c:pt>
                <c:pt idx="1">
                  <c:v>4600</c:v>
                </c:pt>
                <c:pt idx="2">
                  <c:v>4400</c:v>
                </c:pt>
                <c:pt idx="3">
                  <c:v>4600</c:v>
                </c:pt>
                <c:pt idx="4">
                  <c:v>2900</c:v>
                </c:pt>
                <c:pt idx="5">
                  <c:v>4000</c:v>
                </c:pt>
                <c:pt idx="6">
                  <c:v>3800</c:v>
                </c:pt>
                <c:pt idx="7">
                  <c:v>10500</c:v>
                </c:pt>
                <c:pt idx="8">
                  <c:v>3600</c:v>
                </c:pt>
                <c:pt idx="9">
                  <c:v>5300</c:v>
                </c:pt>
              </c:numCache>
            </c:numRef>
          </c:val>
          <c:extLst>
            <c:ext xmlns:c16="http://schemas.microsoft.com/office/drawing/2014/chart" uri="{C3380CC4-5D6E-409C-BE32-E72D297353CC}">
              <c16:uniqueId val="{00000001-6A1B-4C36-9093-7B4AD91871BF}"/>
            </c:ext>
          </c:extLst>
        </c:ser>
        <c:ser>
          <c:idx val="3"/>
          <c:order val="2"/>
          <c:tx>
            <c:strRef>
              <c:f>Regiuni!$D$124</c:f>
              <c:strCache>
                <c:ptCount val="1"/>
                <c:pt idx="0">
                  <c:v>2007</c:v>
                </c:pt>
              </c:strCache>
            </c:strRef>
          </c:tx>
          <c:invertIfNegative val="0"/>
          <c:cat>
            <c:strRef>
              <c:f>Regiuni!$A$125:$A$134</c:f>
              <c:strCache>
                <c:ptCount val="10"/>
                <c:pt idx="0">
                  <c:v>UE 28</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Regiuni!$D$125:$D$134</c:f>
              <c:numCache>
                <c:formatCode>#,##0</c:formatCode>
                <c:ptCount val="10"/>
                <c:pt idx="0">
                  <c:v>25900</c:v>
                </c:pt>
                <c:pt idx="1">
                  <c:v>6000</c:v>
                </c:pt>
                <c:pt idx="2">
                  <c:v>5700</c:v>
                </c:pt>
                <c:pt idx="3">
                  <c:v>6000</c:v>
                </c:pt>
                <c:pt idx="4">
                  <c:v>3800</c:v>
                </c:pt>
                <c:pt idx="5">
                  <c:v>4900</c:v>
                </c:pt>
                <c:pt idx="6">
                  <c:v>4800</c:v>
                </c:pt>
                <c:pt idx="7">
                  <c:v>14100</c:v>
                </c:pt>
                <c:pt idx="8">
                  <c:v>4600</c:v>
                </c:pt>
                <c:pt idx="9">
                  <c:v>6700</c:v>
                </c:pt>
              </c:numCache>
            </c:numRef>
          </c:val>
          <c:extLst>
            <c:ext xmlns:c16="http://schemas.microsoft.com/office/drawing/2014/chart" uri="{C3380CC4-5D6E-409C-BE32-E72D297353CC}">
              <c16:uniqueId val="{00000002-6A1B-4C36-9093-7B4AD91871BF}"/>
            </c:ext>
          </c:extLst>
        </c:ser>
        <c:ser>
          <c:idx val="4"/>
          <c:order val="3"/>
          <c:tx>
            <c:strRef>
              <c:f>Regiuni!$E$124</c:f>
              <c:strCache>
                <c:ptCount val="1"/>
                <c:pt idx="0">
                  <c:v>2008</c:v>
                </c:pt>
              </c:strCache>
            </c:strRef>
          </c:tx>
          <c:invertIfNegative val="0"/>
          <c:cat>
            <c:strRef>
              <c:f>Regiuni!$A$125:$A$134</c:f>
              <c:strCache>
                <c:ptCount val="10"/>
                <c:pt idx="0">
                  <c:v>UE 28</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Regiuni!$E$125:$E$134</c:f>
              <c:numCache>
                <c:formatCode>#,##0</c:formatCode>
                <c:ptCount val="10"/>
                <c:pt idx="0">
                  <c:v>26000</c:v>
                </c:pt>
                <c:pt idx="1">
                  <c:v>6900</c:v>
                </c:pt>
                <c:pt idx="2">
                  <c:v>6200</c:v>
                </c:pt>
                <c:pt idx="3">
                  <c:v>6500</c:v>
                </c:pt>
                <c:pt idx="4">
                  <c:v>4200</c:v>
                </c:pt>
                <c:pt idx="5">
                  <c:v>5500</c:v>
                </c:pt>
                <c:pt idx="6">
                  <c:v>5600</c:v>
                </c:pt>
                <c:pt idx="7">
                  <c:v>17600</c:v>
                </c:pt>
                <c:pt idx="8">
                  <c:v>5100</c:v>
                </c:pt>
                <c:pt idx="9">
                  <c:v>7700</c:v>
                </c:pt>
              </c:numCache>
            </c:numRef>
          </c:val>
          <c:extLst>
            <c:ext xmlns:c16="http://schemas.microsoft.com/office/drawing/2014/chart" uri="{C3380CC4-5D6E-409C-BE32-E72D297353CC}">
              <c16:uniqueId val="{00000003-6A1B-4C36-9093-7B4AD91871BF}"/>
            </c:ext>
          </c:extLst>
        </c:ser>
        <c:ser>
          <c:idx val="5"/>
          <c:order val="4"/>
          <c:tx>
            <c:strRef>
              <c:f>Regiuni!$F$124</c:f>
              <c:strCache>
                <c:ptCount val="1"/>
                <c:pt idx="0">
                  <c:v>2009</c:v>
                </c:pt>
              </c:strCache>
            </c:strRef>
          </c:tx>
          <c:invertIfNegative val="0"/>
          <c:cat>
            <c:strRef>
              <c:f>Regiuni!$A$125:$A$134</c:f>
              <c:strCache>
                <c:ptCount val="10"/>
                <c:pt idx="0">
                  <c:v>UE 28</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Regiuni!$F$125:$F$134</c:f>
              <c:numCache>
                <c:formatCode>#,##0</c:formatCode>
                <c:ptCount val="10"/>
                <c:pt idx="0">
                  <c:v>24400</c:v>
                </c:pt>
                <c:pt idx="1">
                  <c:v>5900</c:v>
                </c:pt>
                <c:pt idx="2">
                  <c:v>5400</c:v>
                </c:pt>
                <c:pt idx="3">
                  <c:v>5700</c:v>
                </c:pt>
                <c:pt idx="4">
                  <c:v>3700</c:v>
                </c:pt>
                <c:pt idx="5">
                  <c:v>4700</c:v>
                </c:pt>
                <c:pt idx="6">
                  <c:v>5000</c:v>
                </c:pt>
                <c:pt idx="7">
                  <c:v>14100</c:v>
                </c:pt>
                <c:pt idx="8">
                  <c:v>4500</c:v>
                </c:pt>
                <c:pt idx="9">
                  <c:v>6500</c:v>
                </c:pt>
              </c:numCache>
            </c:numRef>
          </c:val>
          <c:extLst>
            <c:ext xmlns:c16="http://schemas.microsoft.com/office/drawing/2014/chart" uri="{C3380CC4-5D6E-409C-BE32-E72D297353CC}">
              <c16:uniqueId val="{00000004-6A1B-4C36-9093-7B4AD91871BF}"/>
            </c:ext>
          </c:extLst>
        </c:ser>
        <c:ser>
          <c:idx val="6"/>
          <c:order val="5"/>
          <c:tx>
            <c:strRef>
              <c:f>Regiuni!$G$124</c:f>
              <c:strCache>
                <c:ptCount val="1"/>
                <c:pt idx="0">
                  <c:v>2010</c:v>
                </c:pt>
              </c:strCache>
            </c:strRef>
          </c:tx>
          <c:invertIfNegative val="0"/>
          <c:cat>
            <c:strRef>
              <c:f>Regiuni!$A$125:$A$134</c:f>
              <c:strCache>
                <c:ptCount val="10"/>
                <c:pt idx="0">
                  <c:v>UE 28</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Regiuni!$G$125:$G$134</c:f>
              <c:numCache>
                <c:formatCode>#,##0</c:formatCode>
                <c:ptCount val="10"/>
                <c:pt idx="0">
                  <c:v>25400</c:v>
                </c:pt>
                <c:pt idx="1">
                  <c:v>6300</c:v>
                </c:pt>
                <c:pt idx="2">
                  <c:v>5600</c:v>
                </c:pt>
                <c:pt idx="3">
                  <c:v>6000</c:v>
                </c:pt>
                <c:pt idx="4">
                  <c:v>3800</c:v>
                </c:pt>
                <c:pt idx="5">
                  <c:v>5100</c:v>
                </c:pt>
                <c:pt idx="6">
                  <c:v>5200</c:v>
                </c:pt>
                <c:pt idx="7">
                  <c:v>15200</c:v>
                </c:pt>
                <c:pt idx="8">
                  <c:v>4800</c:v>
                </c:pt>
                <c:pt idx="9">
                  <c:v>7000</c:v>
                </c:pt>
              </c:numCache>
            </c:numRef>
          </c:val>
          <c:extLst>
            <c:ext xmlns:c16="http://schemas.microsoft.com/office/drawing/2014/chart" uri="{C3380CC4-5D6E-409C-BE32-E72D297353CC}">
              <c16:uniqueId val="{00000005-6A1B-4C36-9093-7B4AD91871BF}"/>
            </c:ext>
          </c:extLst>
        </c:ser>
        <c:ser>
          <c:idx val="7"/>
          <c:order val="6"/>
          <c:tx>
            <c:strRef>
              <c:f>Regiuni!$H$124</c:f>
              <c:strCache>
                <c:ptCount val="1"/>
                <c:pt idx="0">
                  <c:v>2011</c:v>
                </c:pt>
              </c:strCache>
            </c:strRef>
          </c:tx>
          <c:invertIfNegative val="0"/>
          <c:cat>
            <c:strRef>
              <c:f>Regiuni!$A$125:$A$134</c:f>
              <c:strCache>
                <c:ptCount val="10"/>
                <c:pt idx="0">
                  <c:v>UE 28</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Regiuni!$H$125:$H$134</c:f>
              <c:numCache>
                <c:formatCode>#,##0</c:formatCode>
                <c:ptCount val="10"/>
                <c:pt idx="0">
                  <c:v>26100</c:v>
                </c:pt>
                <c:pt idx="1">
                  <c:v>6600</c:v>
                </c:pt>
                <c:pt idx="2">
                  <c:v>5700</c:v>
                </c:pt>
                <c:pt idx="3">
                  <c:v>6100</c:v>
                </c:pt>
                <c:pt idx="4">
                  <c:v>3900</c:v>
                </c:pt>
                <c:pt idx="5">
                  <c:v>5300</c:v>
                </c:pt>
                <c:pt idx="6">
                  <c:v>5400</c:v>
                </c:pt>
                <c:pt idx="7">
                  <c:v>17100</c:v>
                </c:pt>
                <c:pt idx="8">
                  <c:v>5000</c:v>
                </c:pt>
                <c:pt idx="9">
                  <c:v>7300</c:v>
                </c:pt>
              </c:numCache>
            </c:numRef>
          </c:val>
          <c:extLst>
            <c:ext xmlns:c16="http://schemas.microsoft.com/office/drawing/2014/chart" uri="{C3380CC4-5D6E-409C-BE32-E72D297353CC}">
              <c16:uniqueId val="{00000006-6A1B-4C36-9093-7B4AD91871BF}"/>
            </c:ext>
          </c:extLst>
        </c:ser>
        <c:ser>
          <c:idx val="8"/>
          <c:order val="7"/>
          <c:tx>
            <c:strRef>
              <c:f>Regiuni!$I$124</c:f>
              <c:strCache>
                <c:ptCount val="1"/>
                <c:pt idx="0">
                  <c:v>2012</c:v>
                </c:pt>
              </c:strCache>
            </c:strRef>
          </c:tx>
          <c:invertIfNegative val="0"/>
          <c:cat>
            <c:strRef>
              <c:f>Regiuni!$A$125:$A$134</c:f>
              <c:strCache>
                <c:ptCount val="10"/>
                <c:pt idx="0">
                  <c:v>UE 28</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Regiuni!$I$125:$I$134</c:f>
              <c:numCache>
                <c:formatCode>#,##0</c:formatCode>
                <c:ptCount val="10"/>
                <c:pt idx="0">
                  <c:v>26500</c:v>
                </c:pt>
                <c:pt idx="1">
                  <c:v>6700</c:v>
                </c:pt>
                <c:pt idx="2">
                  <c:v>5800</c:v>
                </c:pt>
                <c:pt idx="3">
                  <c:v>6400</c:v>
                </c:pt>
                <c:pt idx="4">
                  <c:v>4200</c:v>
                </c:pt>
                <c:pt idx="5">
                  <c:v>5700</c:v>
                </c:pt>
                <c:pt idx="6">
                  <c:v>5100</c:v>
                </c:pt>
                <c:pt idx="7">
                  <c:v>15600</c:v>
                </c:pt>
                <c:pt idx="8">
                  <c:v>5000</c:v>
                </c:pt>
                <c:pt idx="9">
                  <c:v>7100</c:v>
                </c:pt>
              </c:numCache>
            </c:numRef>
          </c:val>
          <c:extLst>
            <c:ext xmlns:c16="http://schemas.microsoft.com/office/drawing/2014/chart" uri="{C3380CC4-5D6E-409C-BE32-E72D297353CC}">
              <c16:uniqueId val="{00000007-6A1B-4C36-9093-7B4AD91871BF}"/>
            </c:ext>
          </c:extLst>
        </c:ser>
        <c:ser>
          <c:idx val="9"/>
          <c:order val="8"/>
          <c:tx>
            <c:strRef>
              <c:f>Regiuni!$J$124</c:f>
              <c:strCache>
                <c:ptCount val="1"/>
                <c:pt idx="0">
                  <c:v>2013</c:v>
                </c:pt>
              </c:strCache>
            </c:strRef>
          </c:tx>
          <c:invertIfNegative val="0"/>
          <c:cat>
            <c:strRef>
              <c:f>Regiuni!$A$125:$A$134</c:f>
              <c:strCache>
                <c:ptCount val="10"/>
                <c:pt idx="0">
                  <c:v>UE 28</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Regiuni!$J$125:$J$134</c:f>
              <c:numCache>
                <c:formatCode>#,##0</c:formatCode>
                <c:ptCount val="10"/>
                <c:pt idx="0">
                  <c:v>26700</c:v>
                </c:pt>
                <c:pt idx="1">
                  <c:v>7200</c:v>
                </c:pt>
                <c:pt idx="2">
                  <c:v>6300</c:v>
                </c:pt>
                <c:pt idx="3">
                  <c:v>6800</c:v>
                </c:pt>
                <c:pt idx="4">
                  <c:v>4500</c:v>
                </c:pt>
                <c:pt idx="5">
                  <c:v>6500</c:v>
                </c:pt>
                <c:pt idx="6">
                  <c:v>5700</c:v>
                </c:pt>
                <c:pt idx="7">
                  <c:v>16900</c:v>
                </c:pt>
                <c:pt idx="8">
                  <c:v>5300</c:v>
                </c:pt>
                <c:pt idx="9">
                  <c:v>7500</c:v>
                </c:pt>
              </c:numCache>
            </c:numRef>
          </c:val>
          <c:extLst>
            <c:ext xmlns:c16="http://schemas.microsoft.com/office/drawing/2014/chart" uri="{C3380CC4-5D6E-409C-BE32-E72D297353CC}">
              <c16:uniqueId val="{00000008-6A1B-4C36-9093-7B4AD91871BF}"/>
            </c:ext>
          </c:extLst>
        </c:ser>
        <c:ser>
          <c:idx val="0"/>
          <c:order val="9"/>
          <c:tx>
            <c:strRef>
              <c:f>Regiuni!$K$124</c:f>
              <c:strCache>
                <c:ptCount val="1"/>
                <c:pt idx="0">
                  <c:v>2014</c:v>
                </c:pt>
              </c:strCache>
            </c:strRef>
          </c:tx>
          <c:invertIfNegative val="0"/>
          <c:cat>
            <c:strRef>
              <c:f>Regiuni!$A$125:$A$134</c:f>
              <c:strCache>
                <c:ptCount val="10"/>
                <c:pt idx="0">
                  <c:v>UE 28</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Regiuni!$K$125:$K$134</c:f>
              <c:numCache>
                <c:formatCode>#,##0</c:formatCode>
                <c:ptCount val="10"/>
                <c:pt idx="0">
                  <c:v>27500</c:v>
                </c:pt>
                <c:pt idx="1">
                  <c:v>7500</c:v>
                </c:pt>
                <c:pt idx="2">
                  <c:v>6500</c:v>
                </c:pt>
                <c:pt idx="3">
                  <c:v>7100</c:v>
                </c:pt>
                <c:pt idx="4">
                  <c:v>4700</c:v>
                </c:pt>
                <c:pt idx="5">
                  <c:v>6800</c:v>
                </c:pt>
                <c:pt idx="6">
                  <c:v>5900</c:v>
                </c:pt>
                <c:pt idx="7">
                  <c:v>17700</c:v>
                </c:pt>
                <c:pt idx="8">
                  <c:v>5600</c:v>
                </c:pt>
                <c:pt idx="9">
                  <c:v>7900</c:v>
                </c:pt>
              </c:numCache>
            </c:numRef>
          </c:val>
          <c:extLst>
            <c:ext xmlns:c16="http://schemas.microsoft.com/office/drawing/2014/chart" uri="{C3380CC4-5D6E-409C-BE32-E72D297353CC}">
              <c16:uniqueId val="{00000009-6A1B-4C36-9093-7B4AD91871BF}"/>
            </c:ext>
          </c:extLst>
        </c:ser>
        <c:dLbls>
          <c:showLegendKey val="0"/>
          <c:showVal val="0"/>
          <c:showCatName val="0"/>
          <c:showSerName val="0"/>
          <c:showPercent val="0"/>
          <c:showBubbleSize val="0"/>
        </c:dLbls>
        <c:gapWidth val="150"/>
        <c:axId val="119875840"/>
        <c:axId val="119889920"/>
      </c:barChart>
      <c:catAx>
        <c:axId val="119875840"/>
        <c:scaling>
          <c:orientation val="minMax"/>
        </c:scaling>
        <c:delete val="0"/>
        <c:axPos val="b"/>
        <c:numFmt formatCode="General" sourceLinked="1"/>
        <c:majorTickMark val="none"/>
        <c:minorTickMark val="none"/>
        <c:tickLblPos val="nextTo"/>
        <c:crossAx val="119889920"/>
        <c:crosses val="autoZero"/>
        <c:auto val="1"/>
        <c:lblAlgn val="ctr"/>
        <c:lblOffset val="100"/>
        <c:noMultiLvlLbl val="0"/>
      </c:catAx>
      <c:valAx>
        <c:axId val="119889920"/>
        <c:scaling>
          <c:orientation val="minMax"/>
        </c:scaling>
        <c:delete val="0"/>
        <c:axPos val="l"/>
        <c:majorGridlines/>
        <c:title>
          <c:tx>
            <c:rich>
              <a:bodyPr/>
              <a:lstStyle/>
              <a:p>
                <a:pPr>
                  <a:defRPr/>
                </a:pPr>
                <a:r>
                  <a:rPr lang="en-US"/>
                  <a:t>Euro/locuitor</a:t>
                </a:r>
              </a:p>
            </c:rich>
          </c:tx>
          <c:overlay val="0"/>
        </c:title>
        <c:numFmt formatCode="#,##0" sourceLinked="1"/>
        <c:majorTickMark val="none"/>
        <c:minorTickMark val="none"/>
        <c:tickLblPos val="nextTo"/>
        <c:crossAx val="119875840"/>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0">
                <a:latin typeface="Times New Roman" panose="02020603050405020304" pitchFamily="18" charset="0"/>
                <a:cs typeface="Times New Roman" panose="02020603050405020304" pitchFamily="18" charset="0"/>
              </a:defRPr>
            </a:pPr>
            <a:r>
              <a:rPr lang="ro-RO" sz="1100" b="0">
                <a:latin typeface="Times New Roman" panose="02020603050405020304" pitchFamily="18" charset="0"/>
                <a:cs typeface="Times New Roman" panose="02020603050405020304" pitchFamily="18" charset="0"/>
              </a:rPr>
              <a:t>Evoluţia numărului de</a:t>
            </a:r>
            <a:r>
              <a:rPr lang="ro-RO" sz="1100" b="0" baseline="0">
                <a:latin typeface="Times New Roman" panose="02020603050405020304" pitchFamily="18" charset="0"/>
                <a:cs typeface="Times New Roman" panose="02020603050405020304" pitchFamily="18" charset="0"/>
              </a:rPr>
              <a:t> </a:t>
            </a:r>
            <a:r>
              <a:rPr lang="en-US" sz="1100" b="0" baseline="0">
                <a:latin typeface="Times New Roman" panose="02020603050405020304" pitchFamily="18" charset="0"/>
                <a:cs typeface="Times New Roman" panose="02020603050405020304" pitchFamily="18" charset="0"/>
              </a:rPr>
              <a:t>unit</a:t>
            </a:r>
            <a:r>
              <a:rPr lang="ro-RO" sz="1100" b="0" baseline="0">
                <a:latin typeface="Times New Roman" panose="02020603050405020304" pitchFamily="18" charset="0"/>
                <a:cs typeface="Times New Roman" panose="02020603050405020304" pitchFamily="18" charset="0"/>
              </a:rPr>
              <a:t>ăţi locale active </a:t>
            </a:r>
          </a:p>
          <a:p>
            <a:pPr>
              <a:defRPr sz="1200" b="0">
                <a:latin typeface="Times New Roman" panose="02020603050405020304" pitchFamily="18" charset="0"/>
                <a:cs typeface="Times New Roman" panose="02020603050405020304" pitchFamily="18" charset="0"/>
              </a:defRPr>
            </a:pPr>
            <a:r>
              <a:rPr lang="ro-RO" sz="1100" b="0" baseline="0">
                <a:latin typeface="Times New Roman" panose="02020603050405020304" pitchFamily="18" charset="0"/>
                <a:cs typeface="Times New Roman" panose="02020603050405020304" pitchFamily="18" charset="0"/>
              </a:rPr>
              <a:t>Regiunea </a:t>
            </a:r>
            <a:r>
              <a:rPr lang="en-US" sz="1100" b="0" baseline="0">
                <a:latin typeface="Times New Roman" panose="02020603050405020304" pitchFamily="18" charset="0"/>
                <a:cs typeface="Times New Roman" panose="02020603050405020304" pitchFamily="18" charset="0"/>
              </a:rPr>
              <a:t>Vest</a:t>
            </a:r>
            <a:endParaRPr lang="vi-VN" sz="1100" b="0">
              <a:latin typeface="Times New Roman" panose="02020603050405020304" pitchFamily="18" charset="0"/>
              <a:cs typeface="Times New Roman" panose="02020603050405020304" pitchFamily="18" charset="0"/>
            </a:endParaRPr>
          </a:p>
        </c:rich>
      </c:tx>
      <c:overlay val="0"/>
    </c:title>
    <c:autoTitleDeleted val="0"/>
    <c:plotArea>
      <c:layout>
        <c:manualLayout>
          <c:layoutTarget val="inner"/>
          <c:xMode val="edge"/>
          <c:yMode val="edge"/>
          <c:x val="0.13521615245565141"/>
          <c:y val="0.30265777588612236"/>
          <c:w val="0.864783847544355"/>
          <c:h val="0.57691187250243081"/>
        </c:manualLayout>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'Unitati locale active'!$D$7:$J$7</c:f>
              <c:numCache>
                <c:formatCode>General</c:formatCode>
                <c:ptCount val="7"/>
                <c:pt idx="0">
                  <c:v>2008</c:v>
                </c:pt>
                <c:pt idx="1">
                  <c:v>2009</c:v>
                </c:pt>
                <c:pt idx="2">
                  <c:v>2010</c:v>
                </c:pt>
                <c:pt idx="3">
                  <c:v>2011</c:v>
                </c:pt>
                <c:pt idx="4">
                  <c:v>2012</c:v>
                </c:pt>
                <c:pt idx="5">
                  <c:v>2013</c:v>
                </c:pt>
                <c:pt idx="6">
                  <c:v>2014</c:v>
                </c:pt>
              </c:numCache>
            </c:numRef>
          </c:cat>
          <c:val>
            <c:numRef>
              <c:f>'Unitati locale active'!$D$26:$J$26</c:f>
              <c:numCache>
                <c:formatCode>General</c:formatCode>
                <c:ptCount val="7"/>
                <c:pt idx="0">
                  <c:v>53852</c:v>
                </c:pt>
                <c:pt idx="1">
                  <c:v>52595</c:v>
                </c:pt>
                <c:pt idx="2">
                  <c:v>47300</c:v>
                </c:pt>
                <c:pt idx="3">
                  <c:v>43241</c:v>
                </c:pt>
                <c:pt idx="4">
                  <c:v>45175</c:v>
                </c:pt>
                <c:pt idx="5">
                  <c:v>46344</c:v>
                </c:pt>
                <c:pt idx="6">
                  <c:v>48302</c:v>
                </c:pt>
              </c:numCache>
            </c:numRef>
          </c:val>
          <c:extLst>
            <c:ext xmlns:c16="http://schemas.microsoft.com/office/drawing/2014/chart" uri="{C3380CC4-5D6E-409C-BE32-E72D297353CC}">
              <c16:uniqueId val="{00000000-BECD-4B5B-A788-8F3B8C90B006}"/>
            </c:ext>
          </c:extLst>
        </c:ser>
        <c:dLbls>
          <c:showLegendKey val="0"/>
          <c:showVal val="0"/>
          <c:showCatName val="0"/>
          <c:showSerName val="0"/>
          <c:showPercent val="0"/>
          <c:showBubbleSize val="0"/>
        </c:dLbls>
        <c:gapWidth val="75"/>
        <c:overlap val="-25"/>
        <c:axId val="119902208"/>
        <c:axId val="119903744"/>
      </c:barChart>
      <c:catAx>
        <c:axId val="119902208"/>
        <c:scaling>
          <c:orientation val="minMax"/>
        </c:scaling>
        <c:delete val="0"/>
        <c:axPos val="b"/>
        <c:numFmt formatCode="General" sourceLinked="1"/>
        <c:majorTickMark val="none"/>
        <c:minorTickMark val="none"/>
        <c:tickLblPos val="nextTo"/>
        <c:crossAx val="119903744"/>
        <c:crosses val="autoZero"/>
        <c:auto val="1"/>
        <c:lblAlgn val="ctr"/>
        <c:lblOffset val="100"/>
        <c:noMultiLvlLbl val="0"/>
      </c:catAx>
      <c:valAx>
        <c:axId val="119903744"/>
        <c:scaling>
          <c:orientation val="minMax"/>
        </c:scaling>
        <c:delete val="0"/>
        <c:axPos val="l"/>
        <c:majorGridlines/>
        <c:numFmt formatCode="General" sourceLinked="1"/>
        <c:majorTickMark val="none"/>
        <c:minorTickMark val="none"/>
        <c:tickLblPos val="nextTo"/>
        <c:spPr>
          <a:ln w="9525">
            <a:noFill/>
          </a:ln>
        </c:spPr>
        <c:crossAx val="119902208"/>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sz="1100" b="0"/>
            </a:pPr>
            <a:r>
              <a:rPr lang="vi-VN" sz="1100" b="0"/>
              <a:t>Personalul din unit</a:t>
            </a:r>
            <a:r>
              <a:rPr lang="ro-RO" sz="1100" b="0"/>
              <a:t>ăț</a:t>
            </a:r>
            <a:r>
              <a:rPr lang="vi-VN" sz="1100" b="0"/>
              <a:t>ile locale, pe regiuni de dezvoltare </a:t>
            </a:r>
          </a:p>
        </c:rich>
      </c:tx>
      <c:overlay val="0"/>
    </c:title>
    <c:autoTitleDeleted val="0"/>
    <c:plotArea>
      <c:layout/>
      <c:barChart>
        <c:barDir val="col"/>
        <c:grouping val="stacked"/>
        <c:varyColors val="0"/>
        <c:ser>
          <c:idx val="0"/>
          <c:order val="0"/>
          <c:tx>
            <c:strRef>
              <c:f>'Personal regiuni'!$B$8</c:f>
              <c:strCache>
                <c:ptCount val="1"/>
                <c:pt idx="0">
                  <c:v>Regiunea BUCURESTI - ILFOV</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'Personal regiuni'!$C$7:$G$7</c:f>
              <c:numCache>
                <c:formatCode>General</c:formatCode>
                <c:ptCount val="5"/>
                <c:pt idx="0">
                  <c:v>2008</c:v>
                </c:pt>
                <c:pt idx="1">
                  <c:v>2009</c:v>
                </c:pt>
                <c:pt idx="2">
                  <c:v>2010</c:v>
                </c:pt>
                <c:pt idx="3">
                  <c:v>2011</c:v>
                </c:pt>
                <c:pt idx="4">
                  <c:v>2012</c:v>
                </c:pt>
              </c:numCache>
            </c:numRef>
          </c:cat>
          <c:val>
            <c:numRef>
              <c:f>'Personal regiuni'!$C$8:$G$8</c:f>
              <c:numCache>
                <c:formatCode>General</c:formatCode>
                <c:ptCount val="5"/>
                <c:pt idx="0">
                  <c:v>1048844</c:v>
                </c:pt>
                <c:pt idx="1">
                  <c:v>978805</c:v>
                </c:pt>
                <c:pt idx="2">
                  <c:v>939324</c:v>
                </c:pt>
                <c:pt idx="3">
                  <c:v>973732</c:v>
                </c:pt>
                <c:pt idx="4">
                  <c:v>960305</c:v>
                </c:pt>
              </c:numCache>
            </c:numRef>
          </c:val>
          <c:extLst>
            <c:ext xmlns:c16="http://schemas.microsoft.com/office/drawing/2014/chart" uri="{C3380CC4-5D6E-409C-BE32-E72D297353CC}">
              <c16:uniqueId val="{00000000-5F6B-4660-99E9-2F96C02C6363}"/>
            </c:ext>
          </c:extLst>
        </c:ser>
        <c:ser>
          <c:idx val="1"/>
          <c:order val="1"/>
          <c:tx>
            <c:strRef>
              <c:f>'Personal regiuni'!$B$9</c:f>
              <c:strCache>
                <c:ptCount val="1"/>
                <c:pt idx="0">
                  <c:v>Regiunea CENTRU</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'Personal regiuni'!$C$7:$G$7</c:f>
              <c:numCache>
                <c:formatCode>General</c:formatCode>
                <c:ptCount val="5"/>
                <c:pt idx="0">
                  <c:v>2008</c:v>
                </c:pt>
                <c:pt idx="1">
                  <c:v>2009</c:v>
                </c:pt>
                <c:pt idx="2">
                  <c:v>2010</c:v>
                </c:pt>
                <c:pt idx="3">
                  <c:v>2011</c:v>
                </c:pt>
                <c:pt idx="4">
                  <c:v>2012</c:v>
                </c:pt>
              </c:numCache>
            </c:numRef>
          </c:cat>
          <c:val>
            <c:numRef>
              <c:f>'Personal regiuni'!$C$9:$G$9</c:f>
              <c:numCache>
                <c:formatCode>General</c:formatCode>
                <c:ptCount val="5"/>
                <c:pt idx="0">
                  <c:v>595892</c:v>
                </c:pt>
                <c:pt idx="1">
                  <c:v>532018</c:v>
                </c:pt>
                <c:pt idx="2">
                  <c:v>502398</c:v>
                </c:pt>
                <c:pt idx="3">
                  <c:v>521205</c:v>
                </c:pt>
                <c:pt idx="4">
                  <c:v>530377</c:v>
                </c:pt>
              </c:numCache>
            </c:numRef>
          </c:val>
          <c:extLst>
            <c:ext xmlns:c16="http://schemas.microsoft.com/office/drawing/2014/chart" uri="{C3380CC4-5D6E-409C-BE32-E72D297353CC}">
              <c16:uniqueId val="{00000001-5F6B-4660-99E9-2F96C02C6363}"/>
            </c:ext>
          </c:extLst>
        </c:ser>
        <c:ser>
          <c:idx val="2"/>
          <c:order val="2"/>
          <c:tx>
            <c:strRef>
              <c:f>'Personal regiuni'!$B$10</c:f>
              <c:strCache>
                <c:ptCount val="1"/>
                <c:pt idx="0">
                  <c:v>Regiunea NORD-EST</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'Personal regiuni'!$C$7:$G$7</c:f>
              <c:numCache>
                <c:formatCode>General</c:formatCode>
                <c:ptCount val="5"/>
                <c:pt idx="0">
                  <c:v>2008</c:v>
                </c:pt>
                <c:pt idx="1">
                  <c:v>2009</c:v>
                </c:pt>
                <c:pt idx="2">
                  <c:v>2010</c:v>
                </c:pt>
                <c:pt idx="3">
                  <c:v>2011</c:v>
                </c:pt>
                <c:pt idx="4">
                  <c:v>2012</c:v>
                </c:pt>
              </c:numCache>
            </c:numRef>
          </c:cat>
          <c:val>
            <c:numRef>
              <c:f>'Personal regiuni'!$C$10:$G$10</c:f>
              <c:numCache>
                <c:formatCode>General</c:formatCode>
                <c:ptCount val="5"/>
                <c:pt idx="0">
                  <c:v>488576</c:v>
                </c:pt>
                <c:pt idx="1">
                  <c:v>425729</c:v>
                </c:pt>
                <c:pt idx="2">
                  <c:v>391596</c:v>
                </c:pt>
                <c:pt idx="3">
                  <c:v>406758</c:v>
                </c:pt>
                <c:pt idx="4">
                  <c:v>406591</c:v>
                </c:pt>
              </c:numCache>
            </c:numRef>
          </c:val>
          <c:extLst>
            <c:ext xmlns:c16="http://schemas.microsoft.com/office/drawing/2014/chart" uri="{C3380CC4-5D6E-409C-BE32-E72D297353CC}">
              <c16:uniqueId val="{00000002-5F6B-4660-99E9-2F96C02C6363}"/>
            </c:ext>
          </c:extLst>
        </c:ser>
        <c:ser>
          <c:idx val="3"/>
          <c:order val="3"/>
          <c:tx>
            <c:strRef>
              <c:f>'Personal regiuni'!$B$11</c:f>
              <c:strCache>
                <c:ptCount val="1"/>
                <c:pt idx="0">
                  <c:v>Regiunea NORD-VEST</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'Personal regiuni'!$C$7:$G$7</c:f>
              <c:numCache>
                <c:formatCode>General</c:formatCode>
                <c:ptCount val="5"/>
                <c:pt idx="0">
                  <c:v>2008</c:v>
                </c:pt>
                <c:pt idx="1">
                  <c:v>2009</c:v>
                </c:pt>
                <c:pt idx="2">
                  <c:v>2010</c:v>
                </c:pt>
                <c:pt idx="3">
                  <c:v>2011</c:v>
                </c:pt>
                <c:pt idx="4">
                  <c:v>2012</c:v>
                </c:pt>
              </c:numCache>
            </c:numRef>
          </c:cat>
          <c:val>
            <c:numRef>
              <c:f>'Personal regiuni'!$C$11:$G$11</c:f>
              <c:numCache>
                <c:formatCode>General</c:formatCode>
                <c:ptCount val="5"/>
                <c:pt idx="0">
                  <c:v>589616</c:v>
                </c:pt>
                <c:pt idx="1">
                  <c:v>529423</c:v>
                </c:pt>
                <c:pt idx="2">
                  <c:v>502521</c:v>
                </c:pt>
                <c:pt idx="3">
                  <c:v>521833</c:v>
                </c:pt>
                <c:pt idx="4">
                  <c:v>533614</c:v>
                </c:pt>
              </c:numCache>
            </c:numRef>
          </c:val>
          <c:extLst>
            <c:ext xmlns:c16="http://schemas.microsoft.com/office/drawing/2014/chart" uri="{C3380CC4-5D6E-409C-BE32-E72D297353CC}">
              <c16:uniqueId val="{00000003-5F6B-4660-99E9-2F96C02C6363}"/>
            </c:ext>
          </c:extLst>
        </c:ser>
        <c:ser>
          <c:idx val="4"/>
          <c:order val="4"/>
          <c:tx>
            <c:strRef>
              <c:f>'Personal regiuni'!$B$12</c:f>
              <c:strCache>
                <c:ptCount val="1"/>
                <c:pt idx="0">
                  <c:v>Regiunea SUD-EST</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'Personal regiuni'!$C$7:$G$7</c:f>
              <c:numCache>
                <c:formatCode>General</c:formatCode>
                <c:ptCount val="5"/>
                <c:pt idx="0">
                  <c:v>2008</c:v>
                </c:pt>
                <c:pt idx="1">
                  <c:v>2009</c:v>
                </c:pt>
                <c:pt idx="2">
                  <c:v>2010</c:v>
                </c:pt>
                <c:pt idx="3">
                  <c:v>2011</c:v>
                </c:pt>
                <c:pt idx="4">
                  <c:v>2012</c:v>
                </c:pt>
              </c:numCache>
            </c:numRef>
          </c:cat>
          <c:val>
            <c:numRef>
              <c:f>'Personal regiuni'!$C$12:$G$12</c:f>
              <c:numCache>
                <c:formatCode>General</c:formatCode>
                <c:ptCount val="5"/>
                <c:pt idx="0">
                  <c:v>536666</c:v>
                </c:pt>
                <c:pt idx="1">
                  <c:v>480348</c:v>
                </c:pt>
                <c:pt idx="2">
                  <c:v>436646</c:v>
                </c:pt>
                <c:pt idx="3">
                  <c:v>446486</c:v>
                </c:pt>
                <c:pt idx="4">
                  <c:v>450920</c:v>
                </c:pt>
              </c:numCache>
            </c:numRef>
          </c:val>
          <c:extLst>
            <c:ext xmlns:c16="http://schemas.microsoft.com/office/drawing/2014/chart" uri="{C3380CC4-5D6E-409C-BE32-E72D297353CC}">
              <c16:uniqueId val="{00000004-5F6B-4660-99E9-2F96C02C6363}"/>
            </c:ext>
          </c:extLst>
        </c:ser>
        <c:ser>
          <c:idx val="5"/>
          <c:order val="5"/>
          <c:tx>
            <c:strRef>
              <c:f>'Personal regiuni'!$B$13</c:f>
              <c:strCache>
                <c:ptCount val="1"/>
                <c:pt idx="0">
                  <c:v>Regiunea SUD-MUNTENIA</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'Personal regiuni'!$C$7:$G$7</c:f>
              <c:numCache>
                <c:formatCode>General</c:formatCode>
                <c:ptCount val="5"/>
                <c:pt idx="0">
                  <c:v>2008</c:v>
                </c:pt>
                <c:pt idx="1">
                  <c:v>2009</c:v>
                </c:pt>
                <c:pt idx="2">
                  <c:v>2010</c:v>
                </c:pt>
                <c:pt idx="3">
                  <c:v>2011</c:v>
                </c:pt>
                <c:pt idx="4">
                  <c:v>2012</c:v>
                </c:pt>
              </c:numCache>
            </c:numRef>
          </c:cat>
          <c:val>
            <c:numRef>
              <c:f>'Personal regiuni'!$C$13:$G$13</c:f>
              <c:numCache>
                <c:formatCode>General</c:formatCode>
                <c:ptCount val="5"/>
                <c:pt idx="0">
                  <c:v>550391</c:v>
                </c:pt>
                <c:pt idx="1">
                  <c:v>496447</c:v>
                </c:pt>
                <c:pt idx="2">
                  <c:v>460978</c:v>
                </c:pt>
                <c:pt idx="3">
                  <c:v>470350</c:v>
                </c:pt>
                <c:pt idx="4">
                  <c:v>473924</c:v>
                </c:pt>
              </c:numCache>
            </c:numRef>
          </c:val>
          <c:extLst>
            <c:ext xmlns:c16="http://schemas.microsoft.com/office/drawing/2014/chart" uri="{C3380CC4-5D6E-409C-BE32-E72D297353CC}">
              <c16:uniqueId val="{00000005-5F6B-4660-99E9-2F96C02C6363}"/>
            </c:ext>
          </c:extLst>
        </c:ser>
        <c:ser>
          <c:idx val="6"/>
          <c:order val="6"/>
          <c:tx>
            <c:strRef>
              <c:f>'Personal regiuni'!$B$14</c:f>
              <c:strCache>
                <c:ptCount val="1"/>
                <c:pt idx="0">
                  <c:v>Regiunea SUD-VEST OLTENIA</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'Personal regiuni'!$C$7:$G$7</c:f>
              <c:numCache>
                <c:formatCode>General</c:formatCode>
                <c:ptCount val="5"/>
                <c:pt idx="0">
                  <c:v>2008</c:v>
                </c:pt>
                <c:pt idx="1">
                  <c:v>2009</c:v>
                </c:pt>
                <c:pt idx="2">
                  <c:v>2010</c:v>
                </c:pt>
                <c:pt idx="3">
                  <c:v>2011</c:v>
                </c:pt>
                <c:pt idx="4">
                  <c:v>2012</c:v>
                </c:pt>
              </c:numCache>
            </c:numRef>
          </c:cat>
          <c:val>
            <c:numRef>
              <c:f>'Personal regiuni'!$C$14:$G$14</c:f>
              <c:numCache>
                <c:formatCode>General</c:formatCode>
                <c:ptCount val="5"/>
                <c:pt idx="0">
                  <c:v>358604</c:v>
                </c:pt>
                <c:pt idx="1">
                  <c:v>319654</c:v>
                </c:pt>
                <c:pt idx="2">
                  <c:v>299766</c:v>
                </c:pt>
                <c:pt idx="3">
                  <c:v>309437</c:v>
                </c:pt>
                <c:pt idx="4">
                  <c:v>312422</c:v>
                </c:pt>
              </c:numCache>
            </c:numRef>
          </c:val>
          <c:extLst>
            <c:ext xmlns:c16="http://schemas.microsoft.com/office/drawing/2014/chart" uri="{C3380CC4-5D6E-409C-BE32-E72D297353CC}">
              <c16:uniqueId val="{00000006-5F6B-4660-99E9-2F96C02C6363}"/>
            </c:ext>
          </c:extLst>
        </c:ser>
        <c:ser>
          <c:idx val="7"/>
          <c:order val="7"/>
          <c:tx>
            <c:strRef>
              <c:f>'Personal regiuni'!$B$15</c:f>
              <c:strCache>
                <c:ptCount val="1"/>
                <c:pt idx="0">
                  <c:v>Regiunea VEST</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'Personal regiuni'!$C$7:$G$7</c:f>
              <c:numCache>
                <c:formatCode>General</c:formatCode>
                <c:ptCount val="5"/>
                <c:pt idx="0">
                  <c:v>2008</c:v>
                </c:pt>
                <c:pt idx="1">
                  <c:v>2009</c:v>
                </c:pt>
                <c:pt idx="2">
                  <c:v>2010</c:v>
                </c:pt>
                <c:pt idx="3">
                  <c:v>2011</c:v>
                </c:pt>
                <c:pt idx="4">
                  <c:v>2012</c:v>
                </c:pt>
              </c:numCache>
            </c:numRef>
          </c:cat>
          <c:val>
            <c:numRef>
              <c:f>'Personal regiuni'!$C$15:$G$15</c:f>
              <c:numCache>
                <c:formatCode>General</c:formatCode>
                <c:ptCount val="5"/>
                <c:pt idx="0">
                  <c:v>486129</c:v>
                </c:pt>
                <c:pt idx="1">
                  <c:v>437459</c:v>
                </c:pt>
                <c:pt idx="2">
                  <c:v>417479</c:v>
                </c:pt>
                <c:pt idx="3">
                  <c:v>427511</c:v>
                </c:pt>
                <c:pt idx="4">
                  <c:v>433597</c:v>
                </c:pt>
              </c:numCache>
            </c:numRef>
          </c:val>
          <c:extLst>
            <c:ext xmlns:c16="http://schemas.microsoft.com/office/drawing/2014/chart" uri="{C3380CC4-5D6E-409C-BE32-E72D297353CC}">
              <c16:uniqueId val="{00000007-5F6B-4660-99E9-2F96C02C6363}"/>
            </c:ext>
          </c:extLst>
        </c:ser>
        <c:dLbls>
          <c:showLegendKey val="0"/>
          <c:showVal val="1"/>
          <c:showCatName val="0"/>
          <c:showSerName val="0"/>
          <c:showPercent val="0"/>
          <c:showBubbleSize val="0"/>
        </c:dLbls>
        <c:gapWidth val="95"/>
        <c:overlap val="100"/>
        <c:axId val="119997952"/>
        <c:axId val="119999488"/>
      </c:barChart>
      <c:catAx>
        <c:axId val="119997952"/>
        <c:scaling>
          <c:orientation val="minMax"/>
        </c:scaling>
        <c:delete val="0"/>
        <c:axPos val="b"/>
        <c:numFmt formatCode="General" sourceLinked="1"/>
        <c:majorTickMark val="none"/>
        <c:minorTickMark val="none"/>
        <c:tickLblPos val="nextTo"/>
        <c:crossAx val="119999488"/>
        <c:crosses val="autoZero"/>
        <c:auto val="1"/>
        <c:lblAlgn val="ctr"/>
        <c:lblOffset val="100"/>
        <c:noMultiLvlLbl val="0"/>
      </c:catAx>
      <c:valAx>
        <c:axId val="119999488"/>
        <c:scaling>
          <c:orientation val="minMax"/>
        </c:scaling>
        <c:delete val="1"/>
        <c:axPos val="l"/>
        <c:numFmt formatCode="General" sourceLinked="1"/>
        <c:majorTickMark val="none"/>
        <c:minorTickMark val="none"/>
        <c:tickLblPos val="none"/>
        <c:crossAx val="119997952"/>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sz="1100" b="0">
                <a:latin typeface="Arial" pitchFamily="34" charset="0"/>
                <a:cs typeface="Arial" pitchFamily="34" charset="0"/>
              </a:defRPr>
            </a:pPr>
            <a:r>
              <a:rPr lang="ro-RO" sz="1100" b="0">
                <a:latin typeface="Arial" pitchFamily="34" charset="0"/>
                <a:cs typeface="Arial" pitchFamily="34" charset="0"/>
              </a:rPr>
              <a:t>Distribuția personalului  din unitățile locale active </a:t>
            </a:r>
            <a:endParaRPr lang="en-US" sz="1100" b="0">
              <a:latin typeface="Arial" pitchFamily="34" charset="0"/>
              <a:cs typeface="Arial" pitchFamily="34" charset="0"/>
            </a:endParaRPr>
          </a:p>
          <a:p>
            <a:pPr>
              <a:defRPr sz="1100" b="0">
                <a:latin typeface="Arial" pitchFamily="34" charset="0"/>
                <a:cs typeface="Arial" pitchFamily="34" charset="0"/>
              </a:defRPr>
            </a:pPr>
            <a:r>
              <a:rPr lang="ro-RO" sz="1100" b="0">
                <a:latin typeface="Arial" pitchFamily="34" charset="0"/>
                <a:cs typeface="Arial" pitchFamily="34" charset="0"/>
              </a:rPr>
              <a:t>pe activități la economiei naționale, la nive</a:t>
            </a:r>
            <a:r>
              <a:rPr lang="en-US" sz="1100" b="0">
                <a:latin typeface="Arial" pitchFamily="34" charset="0"/>
                <a:cs typeface="Arial" pitchFamily="34" charset="0"/>
              </a:rPr>
              <a:t>lul Regiunii </a:t>
            </a:r>
            <a:r>
              <a:rPr lang="ro-RO" sz="1100" b="0">
                <a:latin typeface="Arial" pitchFamily="34" charset="0"/>
                <a:cs typeface="Arial" pitchFamily="34" charset="0"/>
              </a:rPr>
              <a:t>Vest </a:t>
            </a:r>
            <a:r>
              <a:rPr lang="en-US" sz="1100" b="0">
                <a:latin typeface="Arial" pitchFamily="34" charset="0"/>
                <a:cs typeface="Arial" pitchFamily="34" charset="0"/>
              </a:rPr>
              <a:t>, </a:t>
            </a:r>
            <a:r>
              <a:rPr lang="ro-RO" sz="1100" b="0">
                <a:latin typeface="Arial" pitchFamily="34" charset="0"/>
                <a:cs typeface="Arial" pitchFamily="34" charset="0"/>
              </a:rPr>
              <a:t>2014</a:t>
            </a:r>
            <a:endParaRPr lang="en-US" sz="1100" b="0">
              <a:latin typeface="Arial" pitchFamily="34" charset="0"/>
              <a:cs typeface="Arial" pitchFamily="34" charset="0"/>
            </a:endParaRPr>
          </a:p>
        </c:rich>
      </c:tx>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11509301200763709"/>
          <c:y val="0.27655020363635258"/>
          <c:w val="0.78357063458246823"/>
          <c:h val="0.64614386036016391"/>
        </c:manualLayout>
      </c:layout>
      <c:pie3DChart>
        <c:varyColors val="1"/>
        <c:ser>
          <c:idx val="0"/>
          <c:order val="0"/>
          <c:explosion val="25"/>
          <c:dLbls>
            <c:dLbl>
              <c:idx val="0"/>
              <c:layout>
                <c:manualLayout>
                  <c:x val="7.5678789942357674E-2"/>
                  <c:y val="-1.646668006268626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CF48-4FC8-AA15-AFC564083EF2}"/>
                </c:ext>
              </c:extLst>
            </c:dLbl>
            <c:dLbl>
              <c:idx val="2"/>
              <c:layout>
                <c:manualLayout>
                  <c:x val="9.2913690723812128E-2"/>
                  <c:y val="-0.11551241127139721"/>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F48-4FC8-AA15-AFC564083EF2}"/>
                </c:ext>
              </c:extLst>
            </c:dLbl>
            <c:dLbl>
              <c:idx val="3"/>
              <c:layout>
                <c:manualLayout>
                  <c:x val="0.14328886358250709"/>
                  <c:y val="0"/>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CF48-4FC8-AA15-AFC564083EF2}"/>
                </c:ext>
              </c:extLst>
            </c:dLbl>
            <c:dLbl>
              <c:idx val="7"/>
              <c:layout>
                <c:manualLayout>
                  <c:x val="-2.2266588152632577E-2"/>
                  <c:y val="-3.5530280549024212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F48-4FC8-AA15-AFC564083EF2}"/>
                </c:ext>
              </c:extLst>
            </c:dLbl>
            <c:dLbl>
              <c:idx val="8"/>
              <c:layout>
                <c:manualLayout>
                  <c:x val="-8.4595354442032773E-3"/>
                  <c:y val="-3.8125204877038278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CF48-4FC8-AA15-AFC564083EF2}"/>
                </c:ext>
              </c:extLst>
            </c:dLbl>
            <c:dLbl>
              <c:idx val="9"/>
              <c:layout>
                <c:manualLayout>
                  <c:x val="-3.3519499793636783E-2"/>
                  <c:y val="-3.5892239224521352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F48-4FC8-AA15-AFC564083EF2}"/>
                </c:ext>
              </c:extLst>
            </c:dLbl>
            <c:dLbl>
              <c:idx val="10"/>
              <c:layout>
                <c:manualLayout>
                  <c:x val="-5.5750510429150094E-2"/>
                  <c:y val="-1.443354576226678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CF48-4FC8-AA15-AFC564083EF2}"/>
                </c:ext>
              </c:extLst>
            </c:dLbl>
            <c:dLbl>
              <c:idx val="11"/>
              <c:layout>
                <c:manualLayout>
                  <c:x val="-3.6452074717115697E-3"/>
                  <c:y val="-2.2179505775591891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F48-4FC8-AA15-AFC564083EF2}"/>
                </c:ext>
              </c:extLst>
            </c:dLbl>
            <c:dLbl>
              <c:idx val="12"/>
              <c:layout>
                <c:manualLayout>
                  <c:x val="2.8536685898817263E-2"/>
                  <c:y val="-1.6466680062686301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8-CF48-4FC8-AA15-AFC564083EF2}"/>
                </c:ext>
              </c:extLst>
            </c:dLbl>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'C:\Users\Florin\Desktop\implementare proiect\02 Rapoarte iulie bune\livrabile MARGINEAN iulie\finale ECONOMIE\BUCURESTI ILFOV\[02 Anexa 2b BUCURESTI ILFOV.xlsx]Personal - regiuni'!$J$163:$J$175</c:f>
              <c:strCache>
                <c:ptCount val="13"/>
                <c:pt idx="0">
                  <c:v>B</c:v>
                </c:pt>
                <c:pt idx="1">
                  <c:v>C</c:v>
                </c:pt>
                <c:pt idx="2">
                  <c:v>D</c:v>
                </c:pt>
                <c:pt idx="3">
                  <c:v>E</c:v>
                </c:pt>
                <c:pt idx="4">
                  <c:v>F</c:v>
                </c:pt>
                <c:pt idx="5">
                  <c:v>G</c:v>
                </c:pt>
                <c:pt idx="6">
                  <c:v>H</c:v>
                </c:pt>
                <c:pt idx="7">
                  <c:v>I</c:v>
                </c:pt>
                <c:pt idx="8">
                  <c:v>J</c:v>
                </c:pt>
                <c:pt idx="9">
                  <c:v>K*</c:v>
                </c:pt>
                <c:pt idx="10">
                  <c:v>P</c:v>
                </c:pt>
                <c:pt idx="11">
                  <c:v>Q</c:v>
                </c:pt>
                <c:pt idx="12">
                  <c:v>S</c:v>
                </c:pt>
              </c:strCache>
            </c:strRef>
          </c:cat>
          <c:val>
            <c:numRef>
              <c:f>'Personal regiuni'!$I$163:$I$174</c:f>
              <c:numCache>
                <c:formatCode>General</c:formatCode>
                <c:ptCount val="12"/>
                <c:pt idx="0">
                  <c:v>8073</c:v>
                </c:pt>
                <c:pt idx="1">
                  <c:v>173082</c:v>
                </c:pt>
                <c:pt idx="2">
                  <c:v>6309</c:v>
                </c:pt>
                <c:pt idx="3">
                  <c:v>8596</c:v>
                </c:pt>
                <c:pt idx="4">
                  <c:v>31266</c:v>
                </c:pt>
                <c:pt idx="5">
                  <c:v>76517</c:v>
                </c:pt>
                <c:pt idx="6">
                  <c:v>34215</c:v>
                </c:pt>
                <c:pt idx="7">
                  <c:v>14984</c:v>
                </c:pt>
                <c:pt idx="8">
                  <c:v>12612</c:v>
                </c:pt>
                <c:pt idx="9">
                  <c:v>41640</c:v>
                </c:pt>
                <c:pt idx="10">
                  <c:v>1026</c:v>
                </c:pt>
                <c:pt idx="11">
                  <c:v>4784</c:v>
                </c:pt>
              </c:numCache>
            </c:numRef>
          </c:val>
          <c:extLst>
            <c:ext xmlns:c16="http://schemas.microsoft.com/office/drawing/2014/chart" uri="{C3380CC4-5D6E-409C-BE32-E72D297353CC}">
              <c16:uniqueId val="{00000009-CF48-4FC8-AA15-AFC564083EF2}"/>
            </c:ext>
          </c:extLst>
        </c:ser>
        <c:dLbls>
          <c:showLegendKey val="0"/>
          <c:showVal val="0"/>
          <c:showCatName val="0"/>
          <c:showSerName val="0"/>
          <c:showPercent val="1"/>
          <c:showBubbleSize val="0"/>
          <c:showLeaderLines val="1"/>
        </c:dLbls>
      </c:pie3DChart>
    </c:plotArea>
    <c:plotVisOnly val="1"/>
    <c:dispBlanksAs val="zero"/>
    <c:showDLblsOverMax val="0"/>
  </c:chart>
  <c:spPr>
    <a:ln cmpd="dbl">
      <a:solidFill>
        <a:schemeClr val="accent1"/>
      </a:solidFill>
    </a:ln>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0"/>
            </a:pPr>
            <a:r>
              <a:rPr lang="ro-RO" sz="1000" b="0"/>
              <a:t>Evoluţia p</a:t>
            </a:r>
            <a:r>
              <a:rPr lang="en-US" sz="1000" b="0"/>
              <a:t>onder</a:t>
            </a:r>
            <a:r>
              <a:rPr lang="ro-RO" sz="1000" b="0"/>
              <a:t>ii</a:t>
            </a:r>
            <a:r>
              <a:rPr lang="en-US" sz="1000" b="0"/>
              <a:t> for</a:t>
            </a:r>
            <a:r>
              <a:rPr lang="ro-RO" sz="1000" b="0"/>
              <a:t>ţ</a:t>
            </a:r>
            <a:r>
              <a:rPr lang="en-US" sz="1000" b="0"/>
              <a:t>ei de munc</a:t>
            </a:r>
            <a:r>
              <a:rPr lang="ro-RO" sz="1000" b="0"/>
              <a:t>ă</a:t>
            </a:r>
            <a:r>
              <a:rPr lang="en-US" sz="1000" b="0"/>
              <a:t> din </a:t>
            </a:r>
            <a:r>
              <a:rPr lang="ro-RO" sz="1000" b="0"/>
              <a:t>î</a:t>
            </a:r>
            <a:r>
              <a:rPr lang="en-US" sz="1000" b="0"/>
              <a:t>ntreprinderi active nou create cu capital strain</a:t>
            </a:r>
            <a:r>
              <a:rPr lang="ro-RO" sz="1000" b="0"/>
              <a:t> Regiunea</a:t>
            </a:r>
            <a:r>
              <a:rPr lang="ro-RO" sz="1000" b="0" baseline="0"/>
              <a:t>  Vest</a:t>
            </a:r>
            <a:endParaRPr lang="en-US" sz="1000" b="0"/>
          </a:p>
        </c:rich>
      </c:tx>
      <c:overlay val="0"/>
    </c:title>
    <c:autoTitleDeleted val="0"/>
    <c:plotArea>
      <c:layout>
        <c:manualLayout>
          <c:layoutTarget val="inner"/>
          <c:xMode val="edge"/>
          <c:yMode val="edge"/>
          <c:x val="0.14125290942405785"/>
          <c:y val="0.35284202377929413"/>
          <c:w val="0.82415589560740066"/>
          <c:h val="0.49879071567666988"/>
        </c:manualLayout>
      </c:layout>
      <c:lineChart>
        <c:grouping val="standard"/>
        <c:varyColors val="0"/>
        <c:ser>
          <c:idx val="0"/>
          <c:order val="0"/>
          <c:tx>
            <c:strRef>
              <c:f>'Pondere fm capital strain'!$A$10</c:f>
              <c:strCache>
                <c:ptCount val="1"/>
                <c:pt idx="0">
                  <c:v>Regiunea VEST</c:v>
                </c:pt>
              </c:strCache>
            </c:strRef>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'Pondere fm capital strain'!$B$4:$H$4</c:f>
              <c:numCache>
                <c:formatCode>General</c:formatCode>
                <c:ptCount val="7"/>
                <c:pt idx="0">
                  <c:v>2008</c:v>
                </c:pt>
                <c:pt idx="1">
                  <c:v>2009</c:v>
                </c:pt>
                <c:pt idx="2">
                  <c:v>2010</c:v>
                </c:pt>
                <c:pt idx="3">
                  <c:v>2011</c:v>
                </c:pt>
                <c:pt idx="4">
                  <c:v>2012</c:v>
                </c:pt>
                <c:pt idx="5">
                  <c:v>2013</c:v>
                </c:pt>
                <c:pt idx="6">
                  <c:v>2014</c:v>
                </c:pt>
              </c:numCache>
            </c:numRef>
          </c:cat>
          <c:val>
            <c:numRef>
              <c:f>'Pondere fm capital strain'!$B$10:$H$10</c:f>
              <c:numCache>
                <c:formatCode>General</c:formatCode>
                <c:ptCount val="7"/>
                <c:pt idx="0">
                  <c:v>17.600000000000001</c:v>
                </c:pt>
                <c:pt idx="1">
                  <c:v>65.599999999999994</c:v>
                </c:pt>
                <c:pt idx="2">
                  <c:v>15.8</c:v>
                </c:pt>
                <c:pt idx="3">
                  <c:v>17.399999999999999</c:v>
                </c:pt>
                <c:pt idx="4">
                  <c:v>15.8</c:v>
                </c:pt>
                <c:pt idx="5">
                  <c:v>18.3</c:v>
                </c:pt>
                <c:pt idx="6">
                  <c:v>22.1</c:v>
                </c:pt>
              </c:numCache>
            </c:numRef>
          </c:val>
          <c:smooth val="0"/>
          <c:extLst>
            <c:ext xmlns:c16="http://schemas.microsoft.com/office/drawing/2014/chart" uri="{C3380CC4-5D6E-409C-BE32-E72D297353CC}">
              <c16:uniqueId val="{00000000-7A75-4250-9ABE-94BD6F63B6A3}"/>
            </c:ext>
          </c:extLst>
        </c:ser>
        <c:dLbls>
          <c:showLegendKey val="0"/>
          <c:showVal val="0"/>
          <c:showCatName val="0"/>
          <c:showSerName val="0"/>
          <c:showPercent val="0"/>
          <c:showBubbleSize val="0"/>
        </c:dLbls>
        <c:marker val="1"/>
        <c:smooth val="0"/>
        <c:axId val="120084736"/>
        <c:axId val="120131584"/>
      </c:lineChart>
      <c:catAx>
        <c:axId val="120084736"/>
        <c:scaling>
          <c:orientation val="minMax"/>
        </c:scaling>
        <c:delete val="0"/>
        <c:axPos val="b"/>
        <c:numFmt formatCode="General" sourceLinked="1"/>
        <c:majorTickMark val="none"/>
        <c:minorTickMark val="none"/>
        <c:tickLblPos val="nextTo"/>
        <c:crossAx val="120131584"/>
        <c:crosses val="autoZero"/>
        <c:auto val="1"/>
        <c:lblAlgn val="ctr"/>
        <c:lblOffset val="100"/>
        <c:noMultiLvlLbl val="0"/>
      </c:catAx>
      <c:valAx>
        <c:axId val="120131584"/>
        <c:scaling>
          <c:orientation val="minMax"/>
        </c:scaling>
        <c:delete val="0"/>
        <c:axPos val="l"/>
        <c:majorGridlines/>
        <c:title>
          <c:tx>
            <c:rich>
              <a:bodyPr/>
              <a:lstStyle/>
              <a:p>
                <a:pPr>
                  <a:defRPr/>
                </a:pPr>
                <a:r>
                  <a:rPr lang="en-US"/>
                  <a:t>Procente</a:t>
                </a:r>
              </a:p>
            </c:rich>
          </c:tx>
          <c:overlay val="0"/>
        </c:title>
        <c:numFmt formatCode="General" sourceLinked="1"/>
        <c:majorTickMark val="none"/>
        <c:minorTickMark val="none"/>
        <c:tickLblPos val="nextTo"/>
        <c:crossAx val="120084736"/>
        <c:crosses val="autoZero"/>
        <c:crossBetween val="between"/>
      </c:valAx>
    </c:plotArea>
    <c:plotVisOnly val="1"/>
    <c:dispBlanksAs val="gap"/>
    <c:showDLblsOverMax val="0"/>
  </c:chart>
  <c:txPr>
    <a:bodyPr/>
    <a:lstStyle/>
    <a:p>
      <a:pPr>
        <a:defRPr b="1">
          <a:latin typeface="Arial Narrow" panose="020B0606020202030204" pitchFamily="34" charset="0"/>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sz="1100" b="0">
                <a:latin typeface="Arial" pitchFamily="34" charset="0"/>
                <a:cs typeface="Arial" pitchFamily="34" charset="0"/>
              </a:defRPr>
            </a:pPr>
            <a:r>
              <a:rPr lang="vi-VN" sz="1100" b="0">
                <a:latin typeface="Arial" pitchFamily="34" charset="0"/>
                <a:cs typeface="Arial" pitchFamily="34" charset="0"/>
              </a:rPr>
              <a:t>Distribu</a:t>
            </a:r>
            <a:r>
              <a:rPr lang="ro-RO" sz="1100" b="0">
                <a:latin typeface="Arial" pitchFamily="34" charset="0"/>
                <a:cs typeface="Arial" pitchFamily="34" charset="0"/>
              </a:rPr>
              <a:t>ţ</a:t>
            </a:r>
            <a:r>
              <a:rPr lang="vi-VN" sz="1100" b="0">
                <a:latin typeface="Arial" pitchFamily="34" charset="0"/>
                <a:cs typeface="Arial" pitchFamily="34" charset="0"/>
              </a:rPr>
              <a:t>ia </a:t>
            </a:r>
            <a:r>
              <a:rPr lang="ro-RO" sz="1100" b="0">
                <a:latin typeface="Arial" pitchFamily="34" charset="0"/>
                <a:cs typeface="Arial" pitchFamily="34" charset="0"/>
              </a:rPr>
              <a:t>î</a:t>
            </a:r>
            <a:r>
              <a:rPr lang="vi-VN" sz="1100" b="0">
                <a:latin typeface="Arial" pitchFamily="34" charset="0"/>
                <a:cs typeface="Arial" pitchFamily="34" charset="0"/>
              </a:rPr>
              <a:t>ntreprinderilor active nou create</a:t>
            </a:r>
            <a:r>
              <a:rPr lang="ro-RO" sz="1100" b="0">
                <a:latin typeface="Arial" pitchFamily="34" charset="0"/>
                <a:cs typeface="Arial" pitchFamily="34" charset="0"/>
              </a:rPr>
              <a:t>,</a:t>
            </a:r>
            <a:r>
              <a:rPr lang="vi-VN" sz="1100" b="0">
                <a:latin typeface="Arial" pitchFamily="34" charset="0"/>
                <a:cs typeface="Arial" pitchFamily="34" charset="0"/>
              </a:rPr>
              <a:t> dup</a:t>
            </a:r>
            <a:r>
              <a:rPr lang="ro-RO" sz="1100" b="0">
                <a:latin typeface="Arial" pitchFamily="34" charset="0"/>
                <a:cs typeface="Arial" pitchFamily="34" charset="0"/>
              </a:rPr>
              <a:t>ă</a:t>
            </a:r>
            <a:r>
              <a:rPr lang="vi-VN" sz="1100" b="0">
                <a:latin typeface="Arial" pitchFamily="34" charset="0"/>
                <a:cs typeface="Arial" pitchFamily="34" charset="0"/>
              </a:rPr>
              <a:t> categoria socio-profesional</a:t>
            </a:r>
            <a:r>
              <a:rPr lang="ro-RO" sz="1100" b="0">
                <a:latin typeface="Arial" pitchFamily="34" charset="0"/>
                <a:cs typeface="Arial" pitchFamily="34" charset="0"/>
              </a:rPr>
              <a:t>ă</a:t>
            </a:r>
            <a:r>
              <a:rPr lang="vi-VN" sz="1100" b="0">
                <a:latin typeface="Arial" pitchFamily="34" charset="0"/>
                <a:cs typeface="Arial" pitchFamily="34" charset="0"/>
              </a:rPr>
              <a:t> anterioar</a:t>
            </a:r>
            <a:r>
              <a:rPr lang="ro-RO" sz="1100" b="0">
                <a:latin typeface="Arial" pitchFamily="34" charset="0"/>
                <a:cs typeface="Arial" pitchFamily="34" charset="0"/>
              </a:rPr>
              <a:t>ă</a:t>
            </a:r>
            <a:r>
              <a:rPr lang="vi-VN" sz="1100" b="0">
                <a:latin typeface="Arial" pitchFamily="34" charset="0"/>
                <a:cs typeface="Arial" pitchFamily="34" charset="0"/>
              </a:rPr>
              <a:t> a fondatorului/managerului</a:t>
            </a:r>
            <a:r>
              <a:rPr lang="ro-RO" sz="1100" b="0">
                <a:latin typeface="Arial" pitchFamily="34" charset="0"/>
                <a:cs typeface="Arial" pitchFamily="34" charset="0"/>
              </a:rPr>
              <a:t>, </a:t>
            </a:r>
            <a:r>
              <a:rPr lang="vi-VN" sz="1100" b="0">
                <a:latin typeface="Arial" pitchFamily="34" charset="0"/>
                <a:cs typeface="Arial" pitchFamily="34" charset="0"/>
              </a:rPr>
              <a:t>pe regiuni de dezvoltare</a:t>
            </a:r>
            <a:r>
              <a:rPr lang="ro-RO" sz="1100" b="0">
                <a:latin typeface="Arial" pitchFamily="34" charset="0"/>
                <a:cs typeface="Arial" pitchFamily="34" charset="0"/>
              </a:rPr>
              <a:t>, </a:t>
            </a:r>
            <a:r>
              <a:rPr lang="vi-VN" sz="1100" b="0">
                <a:latin typeface="Arial" pitchFamily="34" charset="0"/>
                <a:cs typeface="Arial" pitchFamily="34" charset="0"/>
              </a:rPr>
              <a:t>în anul 2014</a:t>
            </a:r>
          </a:p>
        </c:rich>
      </c:tx>
      <c:overlay val="0"/>
    </c:title>
    <c:autoTitleDeleted val="0"/>
    <c:plotArea>
      <c:layout/>
      <c:barChart>
        <c:barDir val="col"/>
        <c:grouping val="percentStacked"/>
        <c:varyColors val="0"/>
        <c:ser>
          <c:idx val="0"/>
          <c:order val="0"/>
          <c:tx>
            <c:strRef>
              <c:f>'Intr noi cat socioprof'!$B$5</c:f>
              <c:strCache>
                <c:ptCount val="1"/>
                <c:pt idx="0">
                  <c:v>Funcţii de conducere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'Intr noi cat socioprof'!$A$6:$A$14</c:f>
              <c:strCache>
                <c:ptCount val="9"/>
                <c:pt idx="0">
                  <c:v>Regiunea BUCURESTI - ILFOV</c:v>
                </c:pt>
                <c:pt idx="1">
                  <c:v>Regiunea CENTRU</c:v>
                </c:pt>
                <c:pt idx="2">
                  <c:v>Regiunea NORD-EST</c:v>
                </c:pt>
                <c:pt idx="3">
                  <c:v>Regiunea NORD-VEST</c:v>
                </c:pt>
                <c:pt idx="4">
                  <c:v>Regiunea SUD-EST</c:v>
                </c:pt>
                <c:pt idx="5">
                  <c:v>Regiunea SUD-MUNTENIA</c:v>
                </c:pt>
                <c:pt idx="6">
                  <c:v>Regiunea SUD-VEST OLTENIA</c:v>
                </c:pt>
                <c:pt idx="7">
                  <c:v>Regiunea VEST</c:v>
                </c:pt>
                <c:pt idx="8">
                  <c:v>România</c:v>
                </c:pt>
              </c:strCache>
            </c:strRef>
          </c:cat>
          <c:val>
            <c:numRef>
              <c:f>'Intr noi cat socioprof'!$B$6:$B$14</c:f>
              <c:numCache>
                <c:formatCode>General</c:formatCode>
                <c:ptCount val="9"/>
                <c:pt idx="0">
                  <c:v>3.5</c:v>
                </c:pt>
                <c:pt idx="1">
                  <c:v>0.4</c:v>
                </c:pt>
                <c:pt idx="2">
                  <c:v>0.8</c:v>
                </c:pt>
                <c:pt idx="3">
                  <c:v>7.2</c:v>
                </c:pt>
                <c:pt idx="4">
                  <c:v>1.3</c:v>
                </c:pt>
                <c:pt idx="5">
                  <c:v>1.9000000000000001</c:v>
                </c:pt>
                <c:pt idx="6">
                  <c:v>11.1</c:v>
                </c:pt>
                <c:pt idx="7">
                  <c:v>1.6</c:v>
                </c:pt>
                <c:pt idx="8">
                  <c:v>3.4</c:v>
                </c:pt>
              </c:numCache>
            </c:numRef>
          </c:val>
          <c:extLst>
            <c:ext xmlns:c16="http://schemas.microsoft.com/office/drawing/2014/chart" uri="{C3380CC4-5D6E-409C-BE32-E72D297353CC}">
              <c16:uniqueId val="{00000000-2525-4E8E-87BA-3013B3B49034}"/>
            </c:ext>
          </c:extLst>
        </c:ser>
        <c:ser>
          <c:idx val="1"/>
          <c:order val="1"/>
          <c:tx>
            <c:strRef>
              <c:f>'Intr noi cat socioprof'!$C$5</c:f>
              <c:strCache>
                <c:ptCount val="1"/>
                <c:pt idx="0">
                  <c:v>Profesii tehnice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'Intr noi cat socioprof'!$A$6:$A$14</c:f>
              <c:strCache>
                <c:ptCount val="9"/>
                <c:pt idx="0">
                  <c:v>Regiunea BUCURESTI - ILFOV</c:v>
                </c:pt>
                <c:pt idx="1">
                  <c:v>Regiunea CENTRU</c:v>
                </c:pt>
                <c:pt idx="2">
                  <c:v>Regiunea NORD-EST</c:v>
                </c:pt>
                <c:pt idx="3">
                  <c:v>Regiunea NORD-VEST</c:v>
                </c:pt>
                <c:pt idx="4">
                  <c:v>Regiunea SUD-EST</c:v>
                </c:pt>
                <c:pt idx="5">
                  <c:v>Regiunea SUD-MUNTENIA</c:v>
                </c:pt>
                <c:pt idx="6">
                  <c:v>Regiunea SUD-VEST OLTENIA</c:v>
                </c:pt>
                <c:pt idx="7">
                  <c:v>Regiunea VEST</c:v>
                </c:pt>
                <c:pt idx="8">
                  <c:v>România</c:v>
                </c:pt>
              </c:strCache>
            </c:strRef>
          </c:cat>
          <c:val>
            <c:numRef>
              <c:f>'Intr noi cat socioprof'!$C$6:$C$14</c:f>
              <c:numCache>
                <c:formatCode>General</c:formatCode>
                <c:ptCount val="9"/>
                <c:pt idx="0">
                  <c:v>38.9</c:v>
                </c:pt>
                <c:pt idx="1">
                  <c:v>32.1</c:v>
                </c:pt>
                <c:pt idx="2">
                  <c:v>51.2</c:v>
                </c:pt>
                <c:pt idx="3">
                  <c:v>50.8</c:v>
                </c:pt>
                <c:pt idx="4">
                  <c:v>61.7</c:v>
                </c:pt>
                <c:pt idx="5">
                  <c:v>54.8</c:v>
                </c:pt>
                <c:pt idx="6">
                  <c:v>37.700000000000003</c:v>
                </c:pt>
                <c:pt idx="7">
                  <c:v>41.1</c:v>
                </c:pt>
                <c:pt idx="8">
                  <c:v>46.6</c:v>
                </c:pt>
              </c:numCache>
            </c:numRef>
          </c:val>
          <c:extLst>
            <c:ext xmlns:c16="http://schemas.microsoft.com/office/drawing/2014/chart" uri="{C3380CC4-5D6E-409C-BE32-E72D297353CC}">
              <c16:uniqueId val="{00000001-2525-4E8E-87BA-3013B3B49034}"/>
            </c:ext>
          </c:extLst>
        </c:ser>
        <c:ser>
          <c:idx val="2"/>
          <c:order val="2"/>
          <c:tx>
            <c:strRef>
              <c:f>'Intr noi cat socioprof'!$D$5</c:f>
              <c:strCache>
                <c:ptCount val="1"/>
                <c:pt idx="0">
                  <c:v>Muncitori calificaţi</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'Intr noi cat socioprof'!$A$6:$A$14</c:f>
              <c:strCache>
                <c:ptCount val="9"/>
                <c:pt idx="0">
                  <c:v>Regiunea BUCURESTI - ILFOV</c:v>
                </c:pt>
                <c:pt idx="1">
                  <c:v>Regiunea CENTRU</c:v>
                </c:pt>
                <c:pt idx="2">
                  <c:v>Regiunea NORD-EST</c:v>
                </c:pt>
                <c:pt idx="3">
                  <c:v>Regiunea NORD-VEST</c:v>
                </c:pt>
                <c:pt idx="4">
                  <c:v>Regiunea SUD-EST</c:v>
                </c:pt>
                <c:pt idx="5">
                  <c:v>Regiunea SUD-MUNTENIA</c:v>
                </c:pt>
                <c:pt idx="6">
                  <c:v>Regiunea SUD-VEST OLTENIA</c:v>
                </c:pt>
                <c:pt idx="7">
                  <c:v>Regiunea VEST</c:v>
                </c:pt>
                <c:pt idx="8">
                  <c:v>România</c:v>
                </c:pt>
              </c:strCache>
            </c:strRef>
          </c:cat>
          <c:val>
            <c:numRef>
              <c:f>'Intr noi cat socioprof'!$D$6:$D$14</c:f>
              <c:numCache>
                <c:formatCode>General</c:formatCode>
                <c:ptCount val="9"/>
                <c:pt idx="0">
                  <c:v>16.100000000000001</c:v>
                </c:pt>
                <c:pt idx="1">
                  <c:v>19.3</c:v>
                </c:pt>
                <c:pt idx="2">
                  <c:v>22.6</c:v>
                </c:pt>
                <c:pt idx="3">
                  <c:v>21.8</c:v>
                </c:pt>
                <c:pt idx="4">
                  <c:v>20.2</c:v>
                </c:pt>
                <c:pt idx="5">
                  <c:v>22.2</c:v>
                </c:pt>
                <c:pt idx="6">
                  <c:v>22.6</c:v>
                </c:pt>
                <c:pt idx="7">
                  <c:v>30.3</c:v>
                </c:pt>
                <c:pt idx="8">
                  <c:v>21.2</c:v>
                </c:pt>
              </c:numCache>
            </c:numRef>
          </c:val>
          <c:extLst>
            <c:ext xmlns:c16="http://schemas.microsoft.com/office/drawing/2014/chart" uri="{C3380CC4-5D6E-409C-BE32-E72D297353CC}">
              <c16:uniqueId val="{00000002-2525-4E8E-87BA-3013B3B49034}"/>
            </c:ext>
          </c:extLst>
        </c:ser>
        <c:ser>
          <c:idx val="3"/>
          <c:order val="3"/>
          <c:tx>
            <c:strRef>
              <c:f>'Intr noi cat socioprof'!$E$5</c:f>
              <c:strCache>
                <c:ptCount val="1"/>
                <c:pt idx="0">
                  <c:v>Muncitori necalificaţi</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'Intr noi cat socioprof'!$A$6:$A$14</c:f>
              <c:strCache>
                <c:ptCount val="9"/>
                <c:pt idx="0">
                  <c:v>Regiunea BUCURESTI - ILFOV</c:v>
                </c:pt>
                <c:pt idx="1">
                  <c:v>Regiunea CENTRU</c:v>
                </c:pt>
                <c:pt idx="2">
                  <c:v>Regiunea NORD-EST</c:v>
                </c:pt>
                <c:pt idx="3">
                  <c:v>Regiunea NORD-VEST</c:v>
                </c:pt>
                <c:pt idx="4">
                  <c:v>Regiunea SUD-EST</c:v>
                </c:pt>
                <c:pt idx="5">
                  <c:v>Regiunea SUD-MUNTENIA</c:v>
                </c:pt>
                <c:pt idx="6">
                  <c:v>Regiunea SUD-VEST OLTENIA</c:v>
                </c:pt>
                <c:pt idx="7">
                  <c:v>Regiunea VEST</c:v>
                </c:pt>
                <c:pt idx="8">
                  <c:v>România</c:v>
                </c:pt>
              </c:strCache>
            </c:strRef>
          </c:cat>
          <c:val>
            <c:numRef>
              <c:f>'Intr noi cat socioprof'!$E$6:$E$14</c:f>
              <c:numCache>
                <c:formatCode>General</c:formatCode>
                <c:ptCount val="9"/>
                <c:pt idx="0">
                  <c:v>41.5</c:v>
                </c:pt>
                <c:pt idx="1">
                  <c:v>48.2</c:v>
                </c:pt>
                <c:pt idx="2">
                  <c:v>25.4</c:v>
                </c:pt>
                <c:pt idx="3">
                  <c:v>20.2</c:v>
                </c:pt>
                <c:pt idx="4">
                  <c:v>16.8</c:v>
                </c:pt>
                <c:pt idx="5">
                  <c:v>21.1</c:v>
                </c:pt>
                <c:pt idx="6">
                  <c:v>28.6</c:v>
                </c:pt>
                <c:pt idx="7">
                  <c:v>27</c:v>
                </c:pt>
                <c:pt idx="8">
                  <c:v>28.8</c:v>
                </c:pt>
              </c:numCache>
            </c:numRef>
          </c:val>
          <c:extLst>
            <c:ext xmlns:c16="http://schemas.microsoft.com/office/drawing/2014/chart" uri="{C3380CC4-5D6E-409C-BE32-E72D297353CC}">
              <c16:uniqueId val="{00000003-2525-4E8E-87BA-3013B3B49034}"/>
            </c:ext>
          </c:extLst>
        </c:ser>
        <c:dLbls>
          <c:showLegendKey val="0"/>
          <c:showVal val="0"/>
          <c:showCatName val="0"/>
          <c:showSerName val="0"/>
          <c:showPercent val="0"/>
          <c:showBubbleSize val="0"/>
        </c:dLbls>
        <c:gapWidth val="55"/>
        <c:overlap val="100"/>
        <c:axId val="120146176"/>
        <c:axId val="120156160"/>
      </c:barChart>
      <c:catAx>
        <c:axId val="120146176"/>
        <c:scaling>
          <c:orientation val="minMax"/>
        </c:scaling>
        <c:delete val="0"/>
        <c:axPos val="b"/>
        <c:numFmt formatCode="General" sourceLinked="1"/>
        <c:majorTickMark val="none"/>
        <c:minorTickMark val="none"/>
        <c:tickLblPos val="nextTo"/>
        <c:crossAx val="120156160"/>
        <c:crosses val="autoZero"/>
        <c:auto val="1"/>
        <c:lblAlgn val="ctr"/>
        <c:lblOffset val="100"/>
        <c:noMultiLvlLbl val="0"/>
      </c:catAx>
      <c:valAx>
        <c:axId val="120156160"/>
        <c:scaling>
          <c:orientation val="minMax"/>
        </c:scaling>
        <c:delete val="0"/>
        <c:axPos val="l"/>
        <c:majorGridlines/>
        <c:numFmt formatCode="0%" sourceLinked="1"/>
        <c:majorTickMark val="none"/>
        <c:minorTickMark val="none"/>
        <c:tickLblPos val="nextTo"/>
        <c:crossAx val="120146176"/>
        <c:crosses val="autoZero"/>
        <c:crossBetween val="between"/>
      </c:valAx>
    </c:plotArea>
    <c:legend>
      <c:legendPos val="b"/>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b="0">
                <a:latin typeface="Arial" pitchFamily="34" charset="0"/>
                <a:cs typeface="Arial" pitchFamily="34" charset="0"/>
              </a:defRPr>
            </a:pPr>
            <a:r>
              <a:rPr lang="vi-VN" sz="1100" b="0">
                <a:latin typeface="Arial" pitchFamily="34" charset="0"/>
                <a:cs typeface="Arial" pitchFamily="34" charset="0"/>
              </a:rPr>
              <a:t>Situa</a:t>
            </a:r>
            <a:r>
              <a:rPr lang="ro-RO" sz="1100" b="0">
                <a:latin typeface="Arial" pitchFamily="34" charset="0"/>
                <a:cs typeface="Arial" pitchFamily="34" charset="0"/>
              </a:rPr>
              <a:t>ţ</a:t>
            </a:r>
            <a:r>
              <a:rPr lang="vi-VN" sz="1100" b="0">
                <a:latin typeface="Arial" pitchFamily="34" charset="0"/>
                <a:cs typeface="Arial" pitchFamily="34" charset="0"/>
              </a:rPr>
              <a:t>ia </a:t>
            </a:r>
            <a:r>
              <a:rPr lang="ro-RO" sz="1100" b="0">
                <a:latin typeface="Arial" pitchFamily="34" charset="0"/>
                <a:cs typeface="Arial" pitchFamily="34" charset="0"/>
              </a:rPr>
              <a:t>î</a:t>
            </a:r>
            <a:r>
              <a:rPr lang="vi-VN" sz="1100" b="0">
                <a:latin typeface="Arial" pitchFamily="34" charset="0"/>
                <a:cs typeface="Arial" pitchFamily="34" charset="0"/>
              </a:rPr>
              <a:t>ntreprinderilor nou create la un an de la </a:t>
            </a:r>
            <a:r>
              <a:rPr lang="ro-RO" sz="1100" b="0">
                <a:latin typeface="Arial" pitchFamily="34" charset="0"/>
                <a:cs typeface="Arial" pitchFamily="34" charset="0"/>
              </a:rPr>
              <a:t>î</a:t>
            </a:r>
            <a:r>
              <a:rPr lang="vi-VN" sz="1100" b="0">
                <a:latin typeface="Arial" pitchFamily="34" charset="0"/>
                <a:cs typeface="Arial" pitchFamily="34" charset="0"/>
              </a:rPr>
              <a:t>nfiin</a:t>
            </a:r>
            <a:r>
              <a:rPr lang="ro-RO" sz="1100" b="0">
                <a:latin typeface="Arial" pitchFamily="34" charset="0"/>
                <a:cs typeface="Arial" pitchFamily="34" charset="0"/>
              </a:rPr>
              <a:t>ţ</a:t>
            </a:r>
            <a:r>
              <a:rPr lang="vi-VN" sz="1100" b="0">
                <a:latin typeface="Arial" pitchFamily="34" charset="0"/>
                <a:cs typeface="Arial" pitchFamily="34" charset="0"/>
              </a:rPr>
              <a:t>are</a:t>
            </a:r>
          </a:p>
        </c:rich>
      </c:tx>
      <c:overlay val="0"/>
    </c:title>
    <c:autoTitleDeleted val="0"/>
    <c:plotArea>
      <c:layout/>
      <c:lineChart>
        <c:grouping val="standard"/>
        <c:varyColors val="0"/>
        <c:ser>
          <c:idx val="0"/>
          <c:order val="0"/>
          <c:tx>
            <c:strRef>
              <c:f>'Intr noi la un an'!$A$27:$B$27</c:f>
              <c:strCache>
                <c:ptCount val="1"/>
                <c:pt idx="0">
                  <c:v>Regiunea VEST Active</c:v>
                </c:pt>
              </c:strCache>
            </c:strRef>
          </c:tx>
          <c:cat>
            <c:numRef>
              <c:f>'Intr noi la un an'!$C$5:$I$5</c:f>
              <c:numCache>
                <c:formatCode>General</c:formatCode>
                <c:ptCount val="7"/>
                <c:pt idx="0">
                  <c:v>2008</c:v>
                </c:pt>
                <c:pt idx="1">
                  <c:v>2009</c:v>
                </c:pt>
                <c:pt idx="2">
                  <c:v>2010</c:v>
                </c:pt>
                <c:pt idx="3">
                  <c:v>2011</c:v>
                </c:pt>
                <c:pt idx="4">
                  <c:v>2012</c:v>
                </c:pt>
                <c:pt idx="5">
                  <c:v>2013</c:v>
                </c:pt>
                <c:pt idx="6">
                  <c:v>2014</c:v>
                </c:pt>
              </c:numCache>
            </c:numRef>
          </c:cat>
          <c:val>
            <c:numRef>
              <c:f>'Intr noi la un an'!$C$27:$I$27</c:f>
              <c:numCache>
                <c:formatCode>General</c:formatCode>
                <c:ptCount val="7"/>
                <c:pt idx="0">
                  <c:v>50.2</c:v>
                </c:pt>
                <c:pt idx="1">
                  <c:v>55.1</c:v>
                </c:pt>
                <c:pt idx="2">
                  <c:v>69.3</c:v>
                </c:pt>
                <c:pt idx="3">
                  <c:v>59</c:v>
                </c:pt>
                <c:pt idx="4">
                  <c:v>68.400000000000006</c:v>
                </c:pt>
                <c:pt idx="5">
                  <c:v>63.8</c:v>
                </c:pt>
                <c:pt idx="6">
                  <c:v>72.099999999999994</c:v>
                </c:pt>
              </c:numCache>
            </c:numRef>
          </c:val>
          <c:smooth val="0"/>
          <c:extLst>
            <c:ext xmlns:c16="http://schemas.microsoft.com/office/drawing/2014/chart" uri="{C3380CC4-5D6E-409C-BE32-E72D297353CC}">
              <c16:uniqueId val="{00000000-4142-4C97-93AF-A0766F31EF35}"/>
            </c:ext>
          </c:extLst>
        </c:ser>
        <c:ser>
          <c:idx val="1"/>
          <c:order val="1"/>
          <c:tx>
            <c:strRef>
              <c:f>'Intr noi la un an'!$A$28:$B$28</c:f>
              <c:strCache>
                <c:ptCount val="1"/>
                <c:pt idx="0">
                  <c:v>Regiunea VEST Inactive</c:v>
                </c:pt>
              </c:strCache>
            </c:strRef>
          </c:tx>
          <c:cat>
            <c:numRef>
              <c:f>'Intr noi la un an'!$C$5:$I$5</c:f>
              <c:numCache>
                <c:formatCode>General</c:formatCode>
                <c:ptCount val="7"/>
                <c:pt idx="0">
                  <c:v>2008</c:v>
                </c:pt>
                <c:pt idx="1">
                  <c:v>2009</c:v>
                </c:pt>
                <c:pt idx="2">
                  <c:v>2010</c:v>
                </c:pt>
                <c:pt idx="3">
                  <c:v>2011</c:v>
                </c:pt>
                <c:pt idx="4">
                  <c:v>2012</c:v>
                </c:pt>
                <c:pt idx="5">
                  <c:v>2013</c:v>
                </c:pt>
                <c:pt idx="6">
                  <c:v>2014</c:v>
                </c:pt>
              </c:numCache>
            </c:numRef>
          </c:cat>
          <c:val>
            <c:numRef>
              <c:f>'Intr noi la un an'!$C$28:$I$28</c:f>
              <c:numCache>
                <c:formatCode>General</c:formatCode>
                <c:ptCount val="7"/>
                <c:pt idx="0">
                  <c:v>23.2</c:v>
                </c:pt>
                <c:pt idx="1">
                  <c:v>20.100000000000001</c:v>
                </c:pt>
                <c:pt idx="2">
                  <c:v>21.6</c:v>
                </c:pt>
                <c:pt idx="3">
                  <c:v>27.1</c:v>
                </c:pt>
                <c:pt idx="4">
                  <c:v>24.8</c:v>
                </c:pt>
                <c:pt idx="5">
                  <c:v>23.7</c:v>
                </c:pt>
                <c:pt idx="6">
                  <c:v>17.399999999999999</c:v>
                </c:pt>
              </c:numCache>
            </c:numRef>
          </c:val>
          <c:smooth val="0"/>
          <c:extLst>
            <c:ext xmlns:c16="http://schemas.microsoft.com/office/drawing/2014/chart" uri="{C3380CC4-5D6E-409C-BE32-E72D297353CC}">
              <c16:uniqueId val="{00000001-4142-4C97-93AF-A0766F31EF35}"/>
            </c:ext>
          </c:extLst>
        </c:ser>
        <c:ser>
          <c:idx val="2"/>
          <c:order val="2"/>
          <c:tx>
            <c:strRef>
              <c:f>'Intr noi la un an'!$A$29:$B$29</c:f>
              <c:strCache>
                <c:ptCount val="1"/>
                <c:pt idx="0">
                  <c:v>Regiunea VEST Desfiintate</c:v>
                </c:pt>
              </c:strCache>
            </c:strRef>
          </c:tx>
          <c:cat>
            <c:numRef>
              <c:f>'Intr noi la un an'!$C$5:$I$5</c:f>
              <c:numCache>
                <c:formatCode>General</c:formatCode>
                <c:ptCount val="7"/>
                <c:pt idx="0">
                  <c:v>2008</c:v>
                </c:pt>
                <c:pt idx="1">
                  <c:v>2009</c:v>
                </c:pt>
                <c:pt idx="2">
                  <c:v>2010</c:v>
                </c:pt>
                <c:pt idx="3">
                  <c:v>2011</c:v>
                </c:pt>
                <c:pt idx="4">
                  <c:v>2012</c:v>
                </c:pt>
                <c:pt idx="5">
                  <c:v>2013</c:v>
                </c:pt>
                <c:pt idx="6">
                  <c:v>2014</c:v>
                </c:pt>
              </c:numCache>
            </c:numRef>
          </c:cat>
          <c:val>
            <c:numRef>
              <c:f>'Intr noi la un an'!$C$29:$I$29</c:f>
              <c:numCache>
                <c:formatCode>General</c:formatCode>
                <c:ptCount val="7"/>
                <c:pt idx="0">
                  <c:v>26.6</c:v>
                </c:pt>
                <c:pt idx="1">
                  <c:v>24.8</c:v>
                </c:pt>
                <c:pt idx="2">
                  <c:v>9.1</c:v>
                </c:pt>
                <c:pt idx="3">
                  <c:v>13.9</c:v>
                </c:pt>
                <c:pt idx="4">
                  <c:v>6.8</c:v>
                </c:pt>
                <c:pt idx="5">
                  <c:v>12.5</c:v>
                </c:pt>
                <c:pt idx="6">
                  <c:v>10.5</c:v>
                </c:pt>
              </c:numCache>
            </c:numRef>
          </c:val>
          <c:smooth val="0"/>
          <c:extLst>
            <c:ext xmlns:c16="http://schemas.microsoft.com/office/drawing/2014/chart" uri="{C3380CC4-5D6E-409C-BE32-E72D297353CC}">
              <c16:uniqueId val="{00000002-4142-4C97-93AF-A0766F31EF35}"/>
            </c:ext>
          </c:extLst>
        </c:ser>
        <c:dLbls>
          <c:showLegendKey val="0"/>
          <c:showVal val="0"/>
          <c:showCatName val="0"/>
          <c:showSerName val="0"/>
          <c:showPercent val="0"/>
          <c:showBubbleSize val="0"/>
        </c:dLbls>
        <c:marker val="1"/>
        <c:smooth val="0"/>
        <c:axId val="120191616"/>
        <c:axId val="120197504"/>
      </c:lineChart>
      <c:catAx>
        <c:axId val="120191616"/>
        <c:scaling>
          <c:orientation val="minMax"/>
        </c:scaling>
        <c:delete val="0"/>
        <c:axPos val="b"/>
        <c:numFmt formatCode="General" sourceLinked="1"/>
        <c:majorTickMark val="none"/>
        <c:minorTickMark val="none"/>
        <c:tickLblPos val="nextTo"/>
        <c:txPr>
          <a:bodyPr/>
          <a:lstStyle/>
          <a:p>
            <a:pPr>
              <a:defRPr b="1">
                <a:latin typeface="Arial Narrow" panose="020B0606020202030204" pitchFamily="34" charset="0"/>
              </a:defRPr>
            </a:pPr>
            <a:endParaRPr lang="en-US"/>
          </a:p>
        </c:txPr>
        <c:crossAx val="120197504"/>
        <c:crosses val="autoZero"/>
        <c:auto val="1"/>
        <c:lblAlgn val="ctr"/>
        <c:lblOffset val="100"/>
        <c:noMultiLvlLbl val="0"/>
      </c:catAx>
      <c:valAx>
        <c:axId val="120197504"/>
        <c:scaling>
          <c:orientation val="minMax"/>
        </c:scaling>
        <c:delete val="0"/>
        <c:axPos val="l"/>
        <c:majorGridlines/>
        <c:title>
          <c:tx>
            <c:rich>
              <a:bodyPr/>
              <a:lstStyle/>
              <a:p>
                <a:pPr>
                  <a:defRPr/>
                </a:pPr>
                <a:r>
                  <a:rPr lang="en-US"/>
                  <a:t>Procente</a:t>
                </a:r>
              </a:p>
            </c:rich>
          </c:tx>
          <c:overlay val="0"/>
        </c:title>
        <c:numFmt formatCode="General" sourceLinked="1"/>
        <c:majorTickMark val="none"/>
        <c:minorTickMark val="none"/>
        <c:tickLblPos val="nextTo"/>
        <c:crossAx val="120191616"/>
        <c:crosses val="autoZero"/>
        <c:crossBetween val="between"/>
      </c:valAx>
    </c:plotArea>
    <c:legend>
      <c:legendPos val="r"/>
      <c:overlay val="0"/>
      <c:txPr>
        <a:bodyPr/>
        <a:lstStyle/>
        <a:p>
          <a:pPr>
            <a:defRPr>
              <a:latin typeface="Arial Narrow" panose="020B0606020202030204" pitchFamily="34" charset="0"/>
            </a:defRPr>
          </a:pPr>
          <a:endParaRPr lang="en-US"/>
        </a:p>
      </c:txPr>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1" i="0" u="none" strike="noStrike" baseline="0">
                <a:solidFill>
                  <a:srgbClr val="000000"/>
                </a:solidFill>
                <a:latin typeface="Arial Narrow"/>
                <a:ea typeface="Arial Narrow"/>
                <a:cs typeface="Arial Narrow"/>
              </a:defRPr>
            </a:pPr>
            <a:r>
              <a:rPr lang="ro-RO" sz="1100" b="1" i="0" u="none" strike="noStrike" baseline="0">
                <a:solidFill>
                  <a:srgbClr val="000000"/>
                </a:solidFill>
                <a:latin typeface="Arial Narrow"/>
              </a:rPr>
              <a:t>Evoluţia ponderii şomerilor (BIM) cu vârsta între 15 şi 24 de ani</a:t>
            </a:r>
          </a:p>
          <a:p>
            <a:pPr>
              <a:defRPr sz="1000" b="1" i="0" u="none" strike="noStrike" baseline="0">
                <a:solidFill>
                  <a:srgbClr val="000000"/>
                </a:solidFill>
                <a:latin typeface="Arial Narrow"/>
                <a:ea typeface="Arial Narrow"/>
                <a:cs typeface="Arial Narrow"/>
              </a:defRPr>
            </a:pPr>
            <a:r>
              <a:rPr lang="ro-RO" sz="1100" b="1" i="0" u="none" strike="noStrike" baseline="0">
                <a:solidFill>
                  <a:srgbClr val="000000"/>
                </a:solidFill>
                <a:latin typeface="Arial Narrow"/>
              </a:rPr>
              <a:t> din totalul şomerilor</a:t>
            </a:r>
          </a:p>
        </c:rich>
      </c:tx>
      <c:layout>
        <c:manualLayout>
          <c:xMode val="edge"/>
          <c:yMode val="edge"/>
          <c:x val="0.15418265024564237"/>
          <c:y val="1.4925373134328361E-2"/>
        </c:manualLayout>
      </c:layout>
      <c:overlay val="0"/>
    </c:title>
    <c:autoTitleDeleted val="0"/>
    <c:plotArea>
      <c:layout>
        <c:manualLayout>
          <c:layoutTarget val="inner"/>
          <c:xMode val="edge"/>
          <c:yMode val="edge"/>
          <c:x val="0.11233629450164893"/>
          <c:y val="0.15294974069160733"/>
          <c:w val="0.81235715727841762"/>
          <c:h val="0.51372566302348033"/>
        </c:manualLayout>
      </c:layout>
      <c:barChart>
        <c:barDir val="col"/>
        <c:grouping val="clustered"/>
        <c:varyColors val="0"/>
        <c:ser>
          <c:idx val="0"/>
          <c:order val="0"/>
          <c:tx>
            <c:strRef>
              <c:f>'3 a AMIGO'!$C$365</c:f>
              <c:strCache>
                <c:ptCount val="1"/>
                <c:pt idx="0">
                  <c:v>2008</c:v>
                </c:pt>
              </c:strCache>
            </c:strRef>
          </c:tx>
          <c:invertIfNegative val="0"/>
          <c:cat>
            <c:multiLvlStrRef>
              <c:f>'3 a AMIGO'!$A$366:$B$375</c:f>
              <c:multiLvlStrCache>
                <c:ptCount val="10"/>
                <c:lvl>
                  <c:pt idx="0">
                    <c:v>TOTAL</c:v>
                  </c:pt>
                  <c:pt idx="1">
                    <c:v>Masculin</c:v>
                  </c:pt>
                  <c:pt idx="2">
                    <c:v>Feminin</c:v>
                  </c:pt>
                  <c:pt idx="3">
                    <c:v>Urban</c:v>
                  </c:pt>
                  <c:pt idx="4">
                    <c:v>Rural</c:v>
                  </c:pt>
                  <c:pt idx="5">
                    <c:v>TOTAL</c:v>
                  </c:pt>
                  <c:pt idx="6">
                    <c:v>Masculin</c:v>
                  </c:pt>
                  <c:pt idx="7">
                    <c:v>Feminin</c:v>
                  </c:pt>
                  <c:pt idx="8">
                    <c:v>Urban</c:v>
                  </c:pt>
                  <c:pt idx="9">
                    <c:v>Rural</c:v>
                  </c:pt>
                </c:lvl>
                <c:lvl>
                  <c:pt idx="0">
                    <c:v>România</c:v>
                  </c:pt>
                  <c:pt idx="5">
                    <c:v>Regiunea Vest</c:v>
                  </c:pt>
                </c:lvl>
              </c:multiLvlStrCache>
            </c:multiLvlStrRef>
          </c:cat>
          <c:val>
            <c:numRef>
              <c:f>'3 a AMIGO'!$C$366:$C$375</c:f>
              <c:numCache>
                <c:formatCode>0.0%</c:formatCode>
                <c:ptCount val="10"/>
                <c:pt idx="0">
                  <c:v>0.30804782233249878</c:v>
                </c:pt>
                <c:pt idx="1">
                  <c:v>0.29304736652519975</c:v>
                </c:pt>
                <c:pt idx="2">
                  <c:v>0.33489240015510463</c:v>
                </c:pt>
                <c:pt idx="3">
                  <c:v>0.27519157967500318</c:v>
                </c:pt>
                <c:pt idx="4">
                  <c:v>0.36734485027168462</c:v>
                </c:pt>
                <c:pt idx="5">
                  <c:v>0.31598019084431472</c:v>
                </c:pt>
                <c:pt idx="6">
                  <c:v>0.31488854751231343</c:v>
                </c:pt>
                <c:pt idx="7">
                  <c:v>0.31793890982731315</c:v>
                </c:pt>
                <c:pt idx="8">
                  <c:v>0.28903527115572286</c:v>
                </c:pt>
                <c:pt idx="9">
                  <c:v>0.35282623200838831</c:v>
                </c:pt>
              </c:numCache>
            </c:numRef>
          </c:val>
          <c:extLst>
            <c:ext xmlns:c16="http://schemas.microsoft.com/office/drawing/2014/chart" uri="{C3380CC4-5D6E-409C-BE32-E72D297353CC}">
              <c16:uniqueId val="{00000000-1104-4003-B7A9-80AF5DBB4CCC}"/>
            </c:ext>
          </c:extLst>
        </c:ser>
        <c:ser>
          <c:idx val="1"/>
          <c:order val="1"/>
          <c:tx>
            <c:strRef>
              <c:f>'3 a AMIGO'!$D$365</c:f>
              <c:strCache>
                <c:ptCount val="1"/>
                <c:pt idx="0">
                  <c:v>2009</c:v>
                </c:pt>
              </c:strCache>
            </c:strRef>
          </c:tx>
          <c:invertIfNegative val="0"/>
          <c:cat>
            <c:multiLvlStrRef>
              <c:f>'3 a AMIGO'!$A$366:$B$375</c:f>
              <c:multiLvlStrCache>
                <c:ptCount val="10"/>
                <c:lvl>
                  <c:pt idx="0">
                    <c:v>TOTAL</c:v>
                  </c:pt>
                  <c:pt idx="1">
                    <c:v>Masculin</c:v>
                  </c:pt>
                  <c:pt idx="2">
                    <c:v>Feminin</c:v>
                  </c:pt>
                  <c:pt idx="3">
                    <c:v>Urban</c:v>
                  </c:pt>
                  <c:pt idx="4">
                    <c:v>Rural</c:v>
                  </c:pt>
                  <c:pt idx="5">
                    <c:v>TOTAL</c:v>
                  </c:pt>
                  <c:pt idx="6">
                    <c:v>Masculin</c:v>
                  </c:pt>
                  <c:pt idx="7">
                    <c:v>Feminin</c:v>
                  </c:pt>
                  <c:pt idx="8">
                    <c:v>Urban</c:v>
                  </c:pt>
                  <c:pt idx="9">
                    <c:v>Rural</c:v>
                  </c:pt>
                </c:lvl>
                <c:lvl>
                  <c:pt idx="0">
                    <c:v>România</c:v>
                  </c:pt>
                  <c:pt idx="5">
                    <c:v>Regiunea Vest</c:v>
                  </c:pt>
                </c:lvl>
              </c:multiLvlStrCache>
            </c:multiLvlStrRef>
          </c:cat>
          <c:val>
            <c:numRef>
              <c:f>'3 a AMIGO'!$D$366:$D$375</c:f>
              <c:numCache>
                <c:formatCode>0.0%</c:formatCode>
                <c:ptCount val="10"/>
                <c:pt idx="0">
                  <c:v>0.28927856285525838</c:v>
                </c:pt>
                <c:pt idx="1">
                  <c:v>0.28162669083151631</c:v>
                </c:pt>
                <c:pt idx="2">
                  <c:v>0.30189898297961476</c:v>
                </c:pt>
                <c:pt idx="3">
                  <c:v>0.26421183228964967</c:v>
                </c:pt>
                <c:pt idx="4">
                  <c:v>0.33584821690976829</c:v>
                </c:pt>
                <c:pt idx="5">
                  <c:v>0.26913509376195943</c:v>
                </c:pt>
                <c:pt idx="6">
                  <c:v>0.26313840544620726</c:v>
                </c:pt>
                <c:pt idx="7">
                  <c:v>0.28140849997086398</c:v>
                </c:pt>
                <c:pt idx="8">
                  <c:v>0.27076411960132879</c:v>
                </c:pt>
                <c:pt idx="9">
                  <c:v>0.26645402997165435</c:v>
                </c:pt>
              </c:numCache>
            </c:numRef>
          </c:val>
          <c:extLst>
            <c:ext xmlns:c16="http://schemas.microsoft.com/office/drawing/2014/chart" uri="{C3380CC4-5D6E-409C-BE32-E72D297353CC}">
              <c16:uniqueId val="{00000001-1104-4003-B7A9-80AF5DBB4CCC}"/>
            </c:ext>
          </c:extLst>
        </c:ser>
        <c:ser>
          <c:idx val="2"/>
          <c:order val="2"/>
          <c:tx>
            <c:strRef>
              <c:f>'3 a AMIGO'!$E$365</c:f>
              <c:strCache>
                <c:ptCount val="1"/>
                <c:pt idx="0">
                  <c:v>2010</c:v>
                </c:pt>
              </c:strCache>
            </c:strRef>
          </c:tx>
          <c:invertIfNegative val="0"/>
          <c:cat>
            <c:multiLvlStrRef>
              <c:f>'3 a AMIGO'!$A$366:$B$375</c:f>
              <c:multiLvlStrCache>
                <c:ptCount val="10"/>
                <c:lvl>
                  <c:pt idx="0">
                    <c:v>TOTAL</c:v>
                  </c:pt>
                  <c:pt idx="1">
                    <c:v>Masculin</c:v>
                  </c:pt>
                  <c:pt idx="2">
                    <c:v>Feminin</c:v>
                  </c:pt>
                  <c:pt idx="3">
                    <c:v>Urban</c:v>
                  </c:pt>
                  <c:pt idx="4">
                    <c:v>Rural</c:v>
                  </c:pt>
                  <c:pt idx="5">
                    <c:v>TOTAL</c:v>
                  </c:pt>
                  <c:pt idx="6">
                    <c:v>Masculin</c:v>
                  </c:pt>
                  <c:pt idx="7">
                    <c:v>Feminin</c:v>
                  </c:pt>
                  <c:pt idx="8">
                    <c:v>Urban</c:v>
                  </c:pt>
                  <c:pt idx="9">
                    <c:v>Rural</c:v>
                  </c:pt>
                </c:lvl>
                <c:lvl>
                  <c:pt idx="0">
                    <c:v>România</c:v>
                  </c:pt>
                  <c:pt idx="5">
                    <c:v>Regiunea Vest</c:v>
                  </c:pt>
                </c:lvl>
              </c:multiLvlStrCache>
            </c:multiLvlStrRef>
          </c:cat>
          <c:val>
            <c:numRef>
              <c:f>'3 a AMIGO'!$E$366:$E$375</c:f>
              <c:numCache>
                <c:formatCode>0.0%</c:formatCode>
                <c:ptCount val="10"/>
                <c:pt idx="0">
                  <c:v>0.28142866993036997</c:v>
                </c:pt>
                <c:pt idx="1">
                  <c:v>0.27847275175347086</c:v>
                </c:pt>
                <c:pt idx="2">
                  <c:v>0.28590397409540763</c:v>
                </c:pt>
                <c:pt idx="3">
                  <c:v>0.24894061934239803</c:v>
                </c:pt>
                <c:pt idx="4">
                  <c:v>0.35641942753908068</c:v>
                </c:pt>
                <c:pt idx="5">
                  <c:v>0.24467694921143571</c:v>
                </c:pt>
                <c:pt idx="6">
                  <c:v>0.23187450566833637</c:v>
                </c:pt>
                <c:pt idx="7">
                  <c:v>0.26278018546997106</c:v>
                </c:pt>
                <c:pt idx="8">
                  <c:v>0.24489795918367346</c:v>
                </c:pt>
                <c:pt idx="9">
                  <c:v>0.24415432579890881</c:v>
                </c:pt>
              </c:numCache>
            </c:numRef>
          </c:val>
          <c:extLst>
            <c:ext xmlns:c16="http://schemas.microsoft.com/office/drawing/2014/chart" uri="{C3380CC4-5D6E-409C-BE32-E72D297353CC}">
              <c16:uniqueId val="{00000002-1104-4003-B7A9-80AF5DBB4CCC}"/>
            </c:ext>
          </c:extLst>
        </c:ser>
        <c:ser>
          <c:idx val="3"/>
          <c:order val="3"/>
          <c:tx>
            <c:strRef>
              <c:f>'3 a AMIGO'!$F$365</c:f>
              <c:strCache>
                <c:ptCount val="1"/>
                <c:pt idx="0">
                  <c:v>2011</c:v>
                </c:pt>
              </c:strCache>
            </c:strRef>
          </c:tx>
          <c:invertIfNegative val="0"/>
          <c:cat>
            <c:multiLvlStrRef>
              <c:f>'3 a AMIGO'!$A$366:$B$375</c:f>
              <c:multiLvlStrCache>
                <c:ptCount val="10"/>
                <c:lvl>
                  <c:pt idx="0">
                    <c:v>TOTAL</c:v>
                  </c:pt>
                  <c:pt idx="1">
                    <c:v>Masculin</c:v>
                  </c:pt>
                  <c:pt idx="2">
                    <c:v>Feminin</c:v>
                  </c:pt>
                  <c:pt idx="3">
                    <c:v>Urban</c:v>
                  </c:pt>
                  <c:pt idx="4">
                    <c:v>Rural</c:v>
                  </c:pt>
                  <c:pt idx="5">
                    <c:v>TOTAL</c:v>
                  </c:pt>
                  <c:pt idx="6">
                    <c:v>Masculin</c:v>
                  </c:pt>
                  <c:pt idx="7">
                    <c:v>Feminin</c:v>
                  </c:pt>
                  <c:pt idx="8">
                    <c:v>Urban</c:v>
                  </c:pt>
                  <c:pt idx="9">
                    <c:v>Rural</c:v>
                  </c:pt>
                </c:lvl>
                <c:lvl>
                  <c:pt idx="0">
                    <c:v>România</c:v>
                  </c:pt>
                  <c:pt idx="5">
                    <c:v>Regiunea Vest</c:v>
                  </c:pt>
                </c:lvl>
              </c:multiLvlStrCache>
            </c:multiLvlStrRef>
          </c:cat>
          <c:val>
            <c:numRef>
              <c:f>'3 a AMIGO'!$F$366:$F$375</c:f>
              <c:numCache>
                <c:formatCode>0.0%</c:formatCode>
                <c:ptCount val="10"/>
                <c:pt idx="0">
                  <c:v>0.2879431730567763</c:v>
                </c:pt>
                <c:pt idx="1">
                  <c:v>0.28184896817248289</c:v>
                </c:pt>
                <c:pt idx="2">
                  <c:v>0.29674228073815756</c:v>
                </c:pt>
                <c:pt idx="3">
                  <c:v>0.26217310739428218</c:v>
                </c:pt>
                <c:pt idx="4">
                  <c:v>0.34104702825048244</c:v>
                </c:pt>
                <c:pt idx="5">
                  <c:v>0.29514184828929746</c:v>
                </c:pt>
                <c:pt idx="6">
                  <c:v>0.25507525667009973</c:v>
                </c:pt>
                <c:pt idx="7">
                  <c:v>0.35801053125489796</c:v>
                </c:pt>
                <c:pt idx="8">
                  <c:v>0.36654651561964391</c:v>
                </c:pt>
                <c:pt idx="9">
                  <c:v>0.12086300795978216</c:v>
                </c:pt>
              </c:numCache>
            </c:numRef>
          </c:val>
          <c:extLst>
            <c:ext xmlns:c16="http://schemas.microsoft.com/office/drawing/2014/chart" uri="{C3380CC4-5D6E-409C-BE32-E72D297353CC}">
              <c16:uniqueId val="{00000003-1104-4003-B7A9-80AF5DBB4CCC}"/>
            </c:ext>
          </c:extLst>
        </c:ser>
        <c:ser>
          <c:idx val="4"/>
          <c:order val="4"/>
          <c:tx>
            <c:strRef>
              <c:f>'3 a AMIGO'!$G$365</c:f>
              <c:strCache>
                <c:ptCount val="1"/>
                <c:pt idx="0">
                  <c:v>2012</c:v>
                </c:pt>
              </c:strCache>
            </c:strRef>
          </c:tx>
          <c:invertIfNegative val="0"/>
          <c:cat>
            <c:multiLvlStrRef>
              <c:f>'3 a AMIGO'!$A$366:$B$375</c:f>
              <c:multiLvlStrCache>
                <c:ptCount val="10"/>
                <c:lvl>
                  <c:pt idx="0">
                    <c:v>TOTAL</c:v>
                  </c:pt>
                  <c:pt idx="1">
                    <c:v>Masculin</c:v>
                  </c:pt>
                  <c:pt idx="2">
                    <c:v>Feminin</c:v>
                  </c:pt>
                  <c:pt idx="3">
                    <c:v>Urban</c:v>
                  </c:pt>
                  <c:pt idx="4">
                    <c:v>Rural</c:v>
                  </c:pt>
                  <c:pt idx="5">
                    <c:v>TOTAL</c:v>
                  </c:pt>
                  <c:pt idx="6">
                    <c:v>Masculin</c:v>
                  </c:pt>
                  <c:pt idx="7">
                    <c:v>Feminin</c:v>
                  </c:pt>
                  <c:pt idx="8">
                    <c:v>Urban</c:v>
                  </c:pt>
                  <c:pt idx="9">
                    <c:v>Rural</c:v>
                  </c:pt>
                </c:lvl>
                <c:lvl>
                  <c:pt idx="0">
                    <c:v>România</c:v>
                  </c:pt>
                  <c:pt idx="5">
                    <c:v>Regiunea Vest</c:v>
                  </c:pt>
                </c:lvl>
              </c:multiLvlStrCache>
            </c:multiLvlStrRef>
          </c:cat>
          <c:val>
            <c:numRef>
              <c:f>'3 a AMIGO'!$G$366:$G$375</c:f>
              <c:numCache>
                <c:formatCode>0.0%</c:formatCode>
                <c:ptCount val="10"/>
                <c:pt idx="0">
                  <c:v>0.26970379772108211</c:v>
                </c:pt>
                <c:pt idx="1">
                  <c:v>0.25929767337615578</c:v>
                </c:pt>
                <c:pt idx="2">
                  <c:v>0.28519112574697303</c:v>
                </c:pt>
                <c:pt idx="3">
                  <c:v>0.23789357082537471</c:v>
                </c:pt>
                <c:pt idx="4">
                  <c:v>0.33643460167257366</c:v>
                </c:pt>
                <c:pt idx="5">
                  <c:v>0.31848613827217992</c:v>
                </c:pt>
                <c:pt idx="6">
                  <c:v>0.28558202171534974</c:v>
                </c:pt>
                <c:pt idx="7">
                  <c:v>0.35816880678069885</c:v>
                </c:pt>
                <c:pt idx="8">
                  <c:v>0.33576905728462564</c:v>
                </c:pt>
                <c:pt idx="9">
                  <c:v>0.26219392752203724</c:v>
                </c:pt>
              </c:numCache>
            </c:numRef>
          </c:val>
          <c:extLst>
            <c:ext xmlns:c16="http://schemas.microsoft.com/office/drawing/2014/chart" uri="{C3380CC4-5D6E-409C-BE32-E72D297353CC}">
              <c16:uniqueId val="{00000004-1104-4003-B7A9-80AF5DBB4CCC}"/>
            </c:ext>
          </c:extLst>
        </c:ser>
        <c:ser>
          <c:idx val="5"/>
          <c:order val="5"/>
          <c:tx>
            <c:strRef>
              <c:f>'3 a AMIGO'!$H$365</c:f>
              <c:strCache>
                <c:ptCount val="1"/>
                <c:pt idx="0">
                  <c:v>2013</c:v>
                </c:pt>
              </c:strCache>
            </c:strRef>
          </c:tx>
          <c:invertIfNegative val="0"/>
          <c:cat>
            <c:multiLvlStrRef>
              <c:f>'3 a AMIGO'!$A$366:$B$375</c:f>
              <c:multiLvlStrCache>
                <c:ptCount val="10"/>
                <c:lvl>
                  <c:pt idx="0">
                    <c:v>TOTAL</c:v>
                  </c:pt>
                  <c:pt idx="1">
                    <c:v>Masculin</c:v>
                  </c:pt>
                  <c:pt idx="2">
                    <c:v>Feminin</c:v>
                  </c:pt>
                  <c:pt idx="3">
                    <c:v>Urban</c:v>
                  </c:pt>
                  <c:pt idx="4">
                    <c:v>Rural</c:v>
                  </c:pt>
                  <c:pt idx="5">
                    <c:v>TOTAL</c:v>
                  </c:pt>
                  <c:pt idx="6">
                    <c:v>Masculin</c:v>
                  </c:pt>
                  <c:pt idx="7">
                    <c:v>Feminin</c:v>
                  </c:pt>
                  <c:pt idx="8">
                    <c:v>Urban</c:v>
                  </c:pt>
                  <c:pt idx="9">
                    <c:v>Rural</c:v>
                  </c:pt>
                </c:lvl>
                <c:lvl>
                  <c:pt idx="0">
                    <c:v>România</c:v>
                  </c:pt>
                  <c:pt idx="5">
                    <c:v>Regiunea Vest</c:v>
                  </c:pt>
                </c:lvl>
              </c:multiLvlStrCache>
            </c:multiLvlStrRef>
          </c:cat>
          <c:val>
            <c:numRef>
              <c:f>'3 a AMIGO'!$H$366:$H$375</c:f>
              <c:numCache>
                <c:formatCode>0.0%</c:formatCode>
                <c:ptCount val="10"/>
                <c:pt idx="0">
                  <c:v>0.25650773637397728</c:v>
                </c:pt>
                <c:pt idx="1">
                  <c:v>0.25001420703168531</c:v>
                </c:pt>
                <c:pt idx="2">
                  <c:v>0.26636686488558037</c:v>
                </c:pt>
                <c:pt idx="3">
                  <c:v>0.21515724594837571</c:v>
                </c:pt>
                <c:pt idx="4">
                  <c:v>0.34311729730188772</c:v>
                </c:pt>
                <c:pt idx="5">
                  <c:v>0.27368167800354332</c:v>
                </c:pt>
                <c:pt idx="6">
                  <c:v>0</c:v>
                </c:pt>
                <c:pt idx="7">
                  <c:v>0</c:v>
                </c:pt>
                <c:pt idx="8">
                  <c:v>0.33576905728462564</c:v>
                </c:pt>
                <c:pt idx="9">
                  <c:v>0.13192948090108009</c:v>
                </c:pt>
              </c:numCache>
            </c:numRef>
          </c:val>
          <c:extLst>
            <c:ext xmlns:c16="http://schemas.microsoft.com/office/drawing/2014/chart" uri="{C3380CC4-5D6E-409C-BE32-E72D297353CC}">
              <c16:uniqueId val="{00000005-1104-4003-B7A9-80AF5DBB4CCC}"/>
            </c:ext>
          </c:extLst>
        </c:ser>
        <c:ser>
          <c:idx val="6"/>
          <c:order val="6"/>
          <c:tx>
            <c:strRef>
              <c:f>'3 a AMIGO'!$I$365</c:f>
              <c:strCache>
                <c:ptCount val="1"/>
                <c:pt idx="0">
                  <c:v>2014</c:v>
                </c:pt>
              </c:strCache>
            </c:strRef>
          </c:tx>
          <c:invertIfNegative val="0"/>
          <c:cat>
            <c:multiLvlStrRef>
              <c:f>'3 a AMIGO'!$A$366:$B$375</c:f>
              <c:multiLvlStrCache>
                <c:ptCount val="10"/>
                <c:lvl>
                  <c:pt idx="0">
                    <c:v>TOTAL</c:v>
                  </c:pt>
                  <c:pt idx="1">
                    <c:v>Masculin</c:v>
                  </c:pt>
                  <c:pt idx="2">
                    <c:v>Feminin</c:v>
                  </c:pt>
                  <c:pt idx="3">
                    <c:v>Urban</c:v>
                  </c:pt>
                  <c:pt idx="4">
                    <c:v>Rural</c:v>
                  </c:pt>
                  <c:pt idx="5">
                    <c:v>TOTAL</c:v>
                  </c:pt>
                  <c:pt idx="6">
                    <c:v>Masculin</c:v>
                  </c:pt>
                  <c:pt idx="7">
                    <c:v>Feminin</c:v>
                  </c:pt>
                  <c:pt idx="8">
                    <c:v>Urban</c:v>
                  </c:pt>
                  <c:pt idx="9">
                    <c:v>Rural</c:v>
                  </c:pt>
                </c:lvl>
                <c:lvl>
                  <c:pt idx="0">
                    <c:v>România</c:v>
                  </c:pt>
                  <c:pt idx="5">
                    <c:v>Regiunea Vest</c:v>
                  </c:pt>
                </c:lvl>
              </c:multiLvlStrCache>
            </c:multiLvlStrRef>
          </c:cat>
          <c:val>
            <c:numRef>
              <c:f>'3 a AMIGO'!$I$366:$I$375</c:f>
              <c:numCache>
                <c:formatCode>0.0%</c:formatCode>
                <c:ptCount val="10"/>
                <c:pt idx="0">
                  <c:v>0.25558072284557232</c:v>
                </c:pt>
                <c:pt idx="1">
                  <c:v>0.24959840037075051</c:v>
                </c:pt>
                <c:pt idx="2">
                  <c:v>0.26497487663179242</c:v>
                </c:pt>
                <c:pt idx="3">
                  <c:v>0.21316619787208399</c:v>
                </c:pt>
                <c:pt idx="4">
                  <c:v>0.33446450016377038</c:v>
                </c:pt>
                <c:pt idx="5">
                  <c:v>0.29974327723466326</c:v>
                </c:pt>
                <c:pt idx="6">
                  <c:v>0.27846678707606654</c:v>
                </c:pt>
                <c:pt idx="7">
                  <c:v>0</c:v>
                </c:pt>
                <c:pt idx="8">
                  <c:v>0</c:v>
                </c:pt>
                <c:pt idx="9">
                  <c:v>0</c:v>
                </c:pt>
              </c:numCache>
            </c:numRef>
          </c:val>
          <c:extLst>
            <c:ext xmlns:c16="http://schemas.microsoft.com/office/drawing/2014/chart" uri="{C3380CC4-5D6E-409C-BE32-E72D297353CC}">
              <c16:uniqueId val="{00000006-1104-4003-B7A9-80AF5DBB4CCC}"/>
            </c:ext>
          </c:extLst>
        </c:ser>
        <c:ser>
          <c:idx val="7"/>
          <c:order val="7"/>
          <c:tx>
            <c:strRef>
              <c:f>'3 a AMIGO'!$J$365</c:f>
              <c:strCache>
                <c:ptCount val="1"/>
                <c:pt idx="0">
                  <c:v>2015</c:v>
                </c:pt>
              </c:strCache>
            </c:strRef>
          </c:tx>
          <c:invertIfNegative val="0"/>
          <c:cat>
            <c:multiLvlStrRef>
              <c:f>'3 a AMIGO'!$A$366:$B$375</c:f>
              <c:multiLvlStrCache>
                <c:ptCount val="10"/>
                <c:lvl>
                  <c:pt idx="0">
                    <c:v>TOTAL</c:v>
                  </c:pt>
                  <c:pt idx="1">
                    <c:v>Masculin</c:v>
                  </c:pt>
                  <c:pt idx="2">
                    <c:v>Feminin</c:v>
                  </c:pt>
                  <c:pt idx="3">
                    <c:v>Urban</c:v>
                  </c:pt>
                  <c:pt idx="4">
                    <c:v>Rural</c:v>
                  </c:pt>
                  <c:pt idx="5">
                    <c:v>TOTAL</c:v>
                  </c:pt>
                  <c:pt idx="6">
                    <c:v>Masculin</c:v>
                  </c:pt>
                  <c:pt idx="7">
                    <c:v>Feminin</c:v>
                  </c:pt>
                  <c:pt idx="8">
                    <c:v>Urban</c:v>
                  </c:pt>
                  <c:pt idx="9">
                    <c:v>Rural</c:v>
                  </c:pt>
                </c:lvl>
                <c:lvl>
                  <c:pt idx="0">
                    <c:v>România</c:v>
                  </c:pt>
                  <c:pt idx="5">
                    <c:v>Regiunea Vest</c:v>
                  </c:pt>
                </c:lvl>
              </c:multiLvlStrCache>
            </c:multiLvlStrRef>
          </c:cat>
          <c:val>
            <c:numRef>
              <c:f>'3 a AMIGO'!$J$366:$J$375</c:f>
              <c:numCache>
                <c:formatCode>0.0%</c:formatCode>
                <c:ptCount val="10"/>
                <c:pt idx="0">
                  <c:v>0.2375679184497764</c:v>
                </c:pt>
                <c:pt idx="1">
                  <c:v>0.21745868553398873</c:v>
                </c:pt>
                <c:pt idx="2">
                  <c:v>0.27224337589296632</c:v>
                </c:pt>
                <c:pt idx="3">
                  <c:v>0.19804014450652982</c:v>
                </c:pt>
                <c:pt idx="4">
                  <c:v>0.28821436537625678</c:v>
                </c:pt>
                <c:pt idx="5">
                  <c:v>0.24871267980176751</c:v>
                </c:pt>
                <c:pt idx="6">
                  <c:v>0</c:v>
                </c:pt>
                <c:pt idx="7">
                  <c:v>0</c:v>
                </c:pt>
                <c:pt idx="8">
                  <c:v>0</c:v>
                </c:pt>
                <c:pt idx="9">
                  <c:v>0</c:v>
                </c:pt>
              </c:numCache>
            </c:numRef>
          </c:val>
          <c:extLst>
            <c:ext xmlns:c16="http://schemas.microsoft.com/office/drawing/2014/chart" uri="{C3380CC4-5D6E-409C-BE32-E72D297353CC}">
              <c16:uniqueId val="{00000007-1104-4003-B7A9-80AF5DBB4CCC}"/>
            </c:ext>
          </c:extLst>
        </c:ser>
        <c:dLbls>
          <c:showLegendKey val="0"/>
          <c:showVal val="0"/>
          <c:showCatName val="0"/>
          <c:showSerName val="0"/>
          <c:showPercent val="0"/>
          <c:showBubbleSize val="0"/>
        </c:dLbls>
        <c:gapWidth val="150"/>
        <c:axId val="120461184"/>
        <c:axId val="120462720"/>
      </c:barChart>
      <c:catAx>
        <c:axId val="120461184"/>
        <c:scaling>
          <c:orientation val="minMax"/>
        </c:scaling>
        <c:delete val="0"/>
        <c:axPos val="b"/>
        <c:numFmt formatCode="General" sourceLinked="1"/>
        <c:majorTickMark val="none"/>
        <c:minorTickMark val="none"/>
        <c:tickLblPos val="nextTo"/>
        <c:txPr>
          <a:bodyPr rot="0" vert="horz"/>
          <a:lstStyle/>
          <a:p>
            <a:pPr>
              <a:defRPr sz="1000" b="1" i="0" u="none" strike="noStrike" baseline="0">
                <a:solidFill>
                  <a:srgbClr val="000000"/>
                </a:solidFill>
                <a:latin typeface="Arial Narrow"/>
                <a:ea typeface="Arial Narrow"/>
                <a:cs typeface="Arial Narrow"/>
              </a:defRPr>
            </a:pPr>
            <a:endParaRPr lang="en-US"/>
          </a:p>
        </c:txPr>
        <c:crossAx val="120462720"/>
        <c:crosses val="autoZero"/>
        <c:auto val="1"/>
        <c:lblAlgn val="ctr"/>
        <c:lblOffset val="100"/>
        <c:noMultiLvlLbl val="0"/>
      </c:catAx>
      <c:valAx>
        <c:axId val="120462720"/>
        <c:scaling>
          <c:orientation val="minMax"/>
        </c:scaling>
        <c:delete val="0"/>
        <c:axPos val="l"/>
        <c:majorGridlines/>
        <c:numFmt formatCode="0.0%" sourceLinked="1"/>
        <c:majorTickMark val="none"/>
        <c:minorTickMark val="none"/>
        <c:tickLblPos val="nextTo"/>
        <c:txPr>
          <a:bodyPr rot="0" vert="horz"/>
          <a:lstStyle/>
          <a:p>
            <a:pPr>
              <a:defRPr sz="1000" b="1" i="0" u="none" strike="noStrike" baseline="0">
                <a:solidFill>
                  <a:srgbClr val="000000"/>
                </a:solidFill>
                <a:latin typeface="Arial Narrow"/>
                <a:ea typeface="Arial Narrow"/>
                <a:cs typeface="Arial Narrow"/>
              </a:defRPr>
            </a:pPr>
            <a:endParaRPr lang="en-US"/>
          </a:p>
        </c:txPr>
        <c:crossAx val="120461184"/>
        <c:crosses val="autoZero"/>
        <c:crossBetween val="between"/>
      </c:valAx>
    </c:plotArea>
    <c:legend>
      <c:legendPos val="r"/>
      <c:layout>
        <c:manualLayout>
          <c:xMode val="edge"/>
          <c:yMode val="edge"/>
          <c:x val="0.10791875653224506"/>
          <c:y val="0.8238336700059089"/>
          <c:w val="0.81056952015613437"/>
          <c:h val="6.2016405750699923E-2"/>
        </c:manualLayout>
      </c:layout>
      <c:overlay val="0"/>
      <c:txPr>
        <a:bodyPr/>
        <a:lstStyle/>
        <a:p>
          <a:pPr>
            <a:defRPr sz="920" b="1" i="0" u="none" strike="noStrike" baseline="0">
              <a:solidFill>
                <a:srgbClr val="000000"/>
              </a:solidFill>
              <a:latin typeface="Arial Narrow"/>
              <a:ea typeface="Arial Narrow"/>
              <a:cs typeface="Arial Narrow"/>
            </a:defRPr>
          </a:pPr>
          <a:endParaRPr lang="en-US"/>
        </a:p>
      </c:txPr>
    </c:legend>
    <c:plotVisOnly val="1"/>
    <c:dispBlanksAs val="gap"/>
    <c:showDLblsOverMax val="0"/>
  </c:chart>
  <c:txPr>
    <a:bodyPr/>
    <a:lstStyle/>
    <a:p>
      <a:pPr>
        <a:defRPr sz="1000" b="1" i="0" u="none" strike="noStrike" baseline="0">
          <a:solidFill>
            <a:srgbClr val="000000"/>
          </a:solidFill>
          <a:latin typeface="Arial Narrow"/>
          <a:ea typeface="Arial Narrow"/>
          <a:cs typeface="Arial Narrow"/>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sz="1100">
                <a:latin typeface="Arial" pitchFamily="34" charset="0"/>
                <a:cs typeface="Arial" pitchFamily="34" charset="0"/>
              </a:defRPr>
            </a:pPr>
            <a:r>
              <a:rPr lang="ro-RO" sz="1100">
                <a:latin typeface="Arial" pitchFamily="34" charset="0"/>
                <a:cs typeface="Arial" pitchFamily="34" charset="0"/>
              </a:rPr>
              <a:t>Evoluţia structurii populaţiei ocupate pe nivel de educaţie</a:t>
            </a:r>
          </a:p>
          <a:p>
            <a:pPr>
              <a:defRPr sz="1100">
                <a:latin typeface="Arial" pitchFamily="34" charset="0"/>
                <a:cs typeface="Arial" pitchFamily="34" charset="0"/>
              </a:defRPr>
            </a:pPr>
            <a:r>
              <a:rPr lang="ro-RO" sz="1100">
                <a:latin typeface="Arial" pitchFamily="34" charset="0"/>
                <a:cs typeface="Arial" pitchFamily="34" charset="0"/>
              </a:rPr>
              <a:t>- total-</a:t>
            </a:r>
          </a:p>
        </c:rich>
      </c:tx>
      <c:overlay val="0"/>
    </c:title>
    <c:autoTitleDeleted val="0"/>
    <c:plotArea>
      <c:layout/>
      <c:barChart>
        <c:barDir val="col"/>
        <c:grouping val="percentStacked"/>
        <c:varyColors val="0"/>
        <c:ser>
          <c:idx val="3"/>
          <c:order val="0"/>
          <c:tx>
            <c:strRef>
              <c:f>'3 a AMIGO nivel de educatie'!$A$74:$B$74</c:f>
              <c:strCache>
                <c:ptCount val="1"/>
                <c:pt idx="0">
                  <c:v>Superior</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'3 a AMIGO nivel de educatie'!$C$71:$J$72</c:f>
              <c:strCache>
                <c:ptCount val="8"/>
                <c:pt idx="0">
                  <c:v>2008</c:v>
                </c:pt>
                <c:pt idx="1">
                  <c:v>2009</c:v>
                </c:pt>
                <c:pt idx="2">
                  <c:v>2010</c:v>
                </c:pt>
                <c:pt idx="3">
                  <c:v>2011</c:v>
                </c:pt>
                <c:pt idx="4">
                  <c:v>2012</c:v>
                </c:pt>
                <c:pt idx="5">
                  <c:v>2013</c:v>
                </c:pt>
                <c:pt idx="6">
                  <c:v>2014</c:v>
                </c:pt>
                <c:pt idx="7">
                  <c:v>2015</c:v>
                </c:pt>
              </c:strCache>
            </c:strRef>
          </c:cat>
          <c:val>
            <c:numRef>
              <c:f>'3 a AMIGO nivel de educatie'!$C$74:$J$74</c:f>
              <c:numCache>
                <c:formatCode>0.0%</c:formatCode>
                <c:ptCount val="8"/>
                <c:pt idx="0">
                  <c:v>0.15719467956469171</c:v>
                </c:pt>
                <c:pt idx="1">
                  <c:v>0.1742331288343559</c:v>
                </c:pt>
                <c:pt idx="2">
                  <c:v>0.16645962732919253</c:v>
                </c:pt>
                <c:pt idx="3">
                  <c:v>0.1775585696670777</c:v>
                </c:pt>
                <c:pt idx="4">
                  <c:v>0.18596059113300875</c:v>
                </c:pt>
                <c:pt idx="5">
                  <c:v>0.17214191852825231</c:v>
                </c:pt>
                <c:pt idx="6">
                  <c:v>0.15906127770534945</c:v>
                </c:pt>
                <c:pt idx="7">
                  <c:v>0.20736210620136444</c:v>
                </c:pt>
              </c:numCache>
            </c:numRef>
          </c:val>
          <c:extLst>
            <c:ext xmlns:c16="http://schemas.microsoft.com/office/drawing/2014/chart" uri="{C3380CC4-5D6E-409C-BE32-E72D297353CC}">
              <c16:uniqueId val="{00000000-1DC1-435E-9D35-EAA50F442B2B}"/>
            </c:ext>
          </c:extLst>
        </c:ser>
        <c:ser>
          <c:idx val="5"/>
          <c:order val="1"/>
          <c:tx>
            <c:strRef>
              <c:f>'3 a AMIGO nivel de educatie'!$A$76:$B$76</c:f>
              <c:strCache>
                <c:ptCount val="1"/>
                <c:pt idx="0">
                  <c:v>Postliceal de specialitate sau tehnic de maiştri</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'3 a AMIGO nivel de educatie'!$C$71:$J$72</c:f>
              <c:strCache>
                <c:ptCount val="8"/>
                <c:pt idx="0">
                  <c:v>2008</c:v>
                </c:pt>
                <c:pt idx="1">
                  <c:v>2009</c:v>
                </c:pt>
                <c:pt idx="2">
                  <c:v>2010</c:v>
                </c:pt>
                <c:pt idx="3">
                  <c:v>2011</c:v>
                </c:pt>
                <c:pt idx="4">
                  <c:v>2012</c:v>
                </c:pt>
                <c:pt idx="5">
                  <c:v>2013</c:v>
                </c:pt>
                <c:pt idx="6">
                  <c:v>2014</c:v>
                </c:pt>
                <c:pt idx="7">
                  <c:v>2015</c:v>
                </c:pt>
              </c:strCache>
            </c:strRef>
          </c:cat>
          <c:val>
            <c:numRef>
              <c:f>'3 a AMIGO nivel de educatie'!$C$76:$J$76</c:f>
              <c:numCache>
                <c:formatCode>0.0%</c:formatCode>
                <c:ptCount val="8"/>
                <c:pt idx="0">
                  <c:v>3.0229746070133012E-2</c:v>
                </c:pt>
                <c:pt idx="1">
                  <c:v>3.6809815950921691E-2</c:v>
                </c:pt>
                <c:pt idx="2">
                  <c:v>4.4720496894412445E-2</c:v>
                </c:pt>
                <c:pt idx="3">
                  <c:v>4.4389642416769418E-2</c:v>
                </c:pt>
                <c:pt idx="4">
                  <c:v>4.0640394088669846E-2</c:v>
                </c:pt>
                <c:pt idx="5">
                  <c:v>2.6281208935611092E-2</c:v>
                </c:pt>
                <c:pt idx="6">
                  <c:v>2.2164276401564816E-2</c:v>
                </c:pt>
                <c:pt idx="7">
                  <c:v>1.6730314353296083E-2</c:v>
                </c:pt>
              </c:numCache>
            </c:numRef>
          </c:val>
          <c:extLst>
            <c:ext xmlns:c16="http://schemas.microsoft.com/office/drawing/2014/chart" uri="{C3380CC4-5D6E-409C-BE32-E72D297353CC}">
              <c16:uniqueId val="{00000001-1DC1-435E-9D35-EAA50F442B2B}"/>
            </c:ext>
          </c:extLst>
        </c:ser>
        <c:ser>
          <c:idx val="7"/>
          <c:order val="2"/>
          <c:tx>
            <c:strRef>
              <c:f>'3 a AMIGO nivel de educatie'!$A$77:$B$77</c:f>
              <c:strCache>
                <c:ptCount val="1"/>
                <c:pt idx="0">
                  <c:v>Liceal</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'3 a AMIGO nivel de educatie'!$C$71:$J$72</c:f>
              <c:strCache>
                <c:ptCount val="8"/>
                <c:pt idx="0">
                  <c:v>2008</c:v>
                </c:pt>
                <c:pt idx="1">
                  <c:v>2009</c:v>
                </c:pt>
                <c:pt idx="2">
                  <c:v>2010</c:v>
                </c:pt>
                <c:pt idx="3">
                  <c:v>2011</c:v>
                </c:pt>
                <c:pt idx="4">
                  <c:v>2012</c:v>
                </c:pt>
                <c:pt idx="5">
                  <c:v>2013</c:v>
                </c:pt>
                <c:pt idx="6">
                  <c:v>2014</c:v>
                </c:pt>
                <c:pt idx="7">
                  <c:v>2015</c:v>
                </c:pt>
              </c:strCache>
            </c:strRef>
          </c:cat>
          <c:val>
            <c:numRef>
              <c:f>'3 a AMIGO nivel de educatie'!$C$77:$J$77</c:f>
              <c:numCache>
                <c:formatCode>0.0%</c:formatCode>
                <c:ptCount val="8"/>
                <c:pt idx="0">
                  <c:v>0.37001209189843987</c:v>
                </c:pt>
                <c:pt idx="1">
                  <c:v>0.37668711656442427</c:v>
                </c:pt>
                <c:pt idx="2">
                  <c:v>0.39875776397516843</c:v>
                </c:pt>
                <c:pt idx="3">
                  <c:v>0.4106041923551173</c:v>
                </c:pt>
                <c:pt idx="4">
                  <c:v>0.39285714285715112</c:v>
                </c:pt>
                <c:pt idx="5">
                  <c:v>0.39684625492773501</c:v>
                </c:pt>
                <c:pt idx="6">
                  <c:v>0.44719687092568638</c:v>
                </c:pt>
                <c:pt idx="7">
                  <c:v>0.49629152240238023</c:v>
                </c:pt>
              </c:numCache>
            </c:numRef>
          </c:val>
          <c:extLst>
            <c:ext xmlns:c16="http://schemas.microsoft.com/office/drawing/2014/chart" uri="{C3380CC4-5D6E-409C-BE32-E72D297353CC}">
              <c16:uniqueId val="{00000002-1DC1-435E-9D35-EAA50F442B2B}"/>
            </c:ext>
          </c:extLst>
        </c:ser>
        <c:ser>
          <c:idx val="8"/>
          <c:order val="3"/>
          <c:tx>
            <c:strRef>
              <c:f>'3 a AMIGO nivel de educatie'!$A$78:$B$78</c:f>
              <c:strCache>
                <c:ptCount val="1"/>
                <c:pt idx="0">
                  <c:v>Profesional</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'3 a AMIGO nivel de educatie'!$C$71:$J$72</c:f>
              <c:strCache>
                <c:ptCount val="8"/>
                <c:pt idx="0">
                  <c:v>2008</c:v>
                </c:pt>
                <c:pt idx="1">
                  <c:v>2009</c:v>
                </c:pt>
                <c:pt idx="2">
                  <c:v>2010</c:v>
                </c:pt>
                <c:pt idx="3">
                  <c:v>2011</c:v>
                </c:pt>
                <c:pt idx="4">
                  <c:v>2012</c:v>
                </c:pt>
                <c:pt idx="5">
                  <c:v>2013</c:v>
                </c:pt>
                <c:pt idx="6">
                  <c:v>2014</c:v>
                </c:pt>
                <c:pt idx="7">
                  <c:v>2015</c:v>
                </c:pt>
              </c:strCache>
            </c:strRef>
          </c:cat>
          <c:val>
            <c:numRef>
              <c:f>'3 a AMIGO nivel de educatie'!$C$78:$J$78</c:f>
              <c:numCache>
                <c:formatCode>0.0%</c:formatCode>
                <c:ptCount val="8"/>
                <c:pt idx="0">
                  <c:v>0.25876662636033859</c:v>
                </c:pt>
                <c:pt idx="1">
                  <c:v>0.22944785276074045</c:v>
                </c:pt>
                <c:pt idx="2">
                  <c:v>0.21614906832298394</c:v>
                </c:pt>
                <c:pt idx="3">
                  <c:v>0.21208384710234773</c:v>
                </c:pt>
                <c:pt idx="4">
                  <c:v>0.21059113300493151</c:v>
                </c:pt>
                <c:pt idx="5">
                  <c:v>0.22339027595269381</c:v>
                </c:pt>
                <c:pt idx="6">
                  <c:v>0.18774445893090613</c:v>
                </c:pt>
                <c:pt idx="7">
                  <c:v>0.14276644612800882</c:v>
                </c:pt>
              </c:numCache>
            </c:numRef>
          </c:val>
          <c:extLst>
            <c:ext xmlns:c16="http://schemas.microsoft.com/office/drawing/2014/chart" uri="{C3380CC4-5D6E-409C-BE32-E72D297353CC}">
              <c16:uniqueId val="{00000003-1DC1-435E-9D35-EAA50F442B2B}"/>
            </c:ext>
          </c:extLst>
        </c:ser>
        <c:ser>
          <c:idx val="2"/>
          <c:order val="4"/>
          <c:tx>
            <c:strRef>
              <c:f>'3 a AMIGO nivel de educatie'!$A$80:$B$80</c:f>
              <c:strCache>
                <c:ptCount val="1"/>
                <c:pt idx="0">
                  <c:v>Gimnazial</c:v>
                </c:pt>
              </c:strCache>
            </c:strRef>
          </c:tx>
          <c:invertIfNegative val="0"/>
          <c:cat>
            <c:strRef>
              <c:f>'3 a AMIGO nivel de educatie'!$C$71:$J$72</c:f>
              <c:strCache>
                <c:ptCount val="8"/>
                <c:pt idx="0">
                  <c:v>2008</c:v>
                </c:pt>
                <c:pt idx="1">
                  <c:v>2009</c:v>
                </c:pt>
                <c:pt idx="2">
                  <c:v>2010</c:v>
                </c:pt>
                <c:pt idx="3">
                  <c:v>2011</c:v>
                </c:pt>
                <c:pt idx="4">
                  <c:v>2012</c:v>
                </c:pt>
                <c:pt idx="5">
                  <c:v>2013</c:v>
                </c:pt>
                <c:pt idx="6">
                  <c:v>2014</c:v>
                </c:pt>
                <c:pt idx="7">
                  <c:v>2015</c:v>
                </c:pt>
              </c:strCache>
            </c:strRef>
          </c:cat>
          <c:val>
            <c:numRef>
              <c:f>'3 a AMIGO nivel de educatie'!$C$80:$J$80</c:f>
              <c:numCache>
                <c:formatCode>0.0%</c:formatCode>
                <c:ptCount val="8"/>
                <c:pt idx="0">
                  <c:v>0.1559854897218948</c:v>
                </c:pt>
                <c:pt idx="1">
                  <c:v>0.1595092024539928</c:v>
                </c:pt>
                <c:pt idx="2">
                  <c:v>0.1515527950310559</c:v>
                </c:pt>
                <c:pt idx="3">
                  <c:v>0.14303329223181271</c:v>
                </c:pt>
                <c:pt idx="4">
                  <c:v>0.15270935960591517</c:v>
                </c:pt>
                <c:pt idx="5">
                  <c:v>0.15768725361366623</c:v>
                </c:pt>
                <c:pt idx="6">
                  <c:v>0.17209908735333046</c:v>
                </c:pt>
                <c:pt idx="7">
                  <c:v>0.12547530081245498</c:v>
                </c:pt>
              </c:numCache>
            </c:numRef>
          </c:val>
          <c:extLst>
            <c:ext xmlns:c16="http://schemas.microsoft.com/office/drawing/2014/chart" uri="{C3380CC4-5D6E-409C-BE32-E72D297353CC}">
              <c16:uniqueId val="{00000004-1DC1-435E-9D35-EAA50F442B2B}"/>
            </c:ext>
          </c:extLst>
        </c:ser>
        <c:ser>
          <c:idx val="6"/>
          <c:order val="5"/>
          <c:tx>
            <c:strRef>
              <c:f>'3 a AMIGO nivel de educatie'!$A$81:$B$81</c:f>
              <c:strCache>
                <c:ptCount val="1"/>
                <c:pt idx="0">
                  <c:v>Primar sau fără şcoală absolvită</c:v>
                </c:pt>
              </c:strCache>
            </c:strRef>
          </c:tx>
          <c:invertIfNegative val="0"/>
          <c:cat>
            <c:strRef>
              <c:f>'3 a AMIGO nivel de educatie'!$C$71:$J$72</c:f>
              <c:strCache>
                <c:ptCount val="8"/>
                <c:pt idx="0">
                  <c:v>2008</c:v>
                </c:pt>
                <c:pt idx="1">
                  <c:v>2009</c:v>
                </c:pt>
                <c:pt idx="2">
                  <c:v>2010</c:v>
                </c:pt>
                <c:pt idx="3">
                  <c:v>2011</c:v>
                </c:pt>
                <c:pt idx="4">
                  <c:v>2012</c:v>
                </c:pt>
                <c:pt idx="5">
                  <c:v>2013</c:v>
                </c:pt>
                <c:pt idx="6">
                  <c:v>2014</c:v>
                </c:pt>
                <c:pt idx="7">
                  <c:v>2015</c:v>
                </c:pt>
              </c:strCache>
            </c:strRef>
          </c:cat>
          <c:val>
            <c:numRef>
              <c:f>'3 a AMIGO nivel de educatie'!$C$81:$J$81</c:f>
              <c:numCache>
                <c:formatCode>0.0%</c:formatCode>
                <c:ptCount val="8"/>
                <c:pt idx="0">
                  <c:v>2.7811366384523691E-2</c:v>
                </c:pt>
                <c:pt idx="1">
                  <c:v>2.3312883435582767E-2</c:v>
                </c:pt>
                <c:pt idx="2">
                  <c:v>2.2360248447205296E-2</c:v>
                </c:pt>
                <c:pt idx="3">
                  <c:v>1.2330456226880403E-2</c:v>
                </c:pt>
                <c:pt idx="4">
                  <c:v>1.7241379310344827E-2</c:v>
                </c:pt>
                <c:pt idx="5">
                  <c:v>2.3653088042049936E-2</c:v>
                </c:pt>
                <c:pt idx="6">
                  <c:v>1.1734028683181583E-2</c:v>
                </c:pt>
                <c:pt idx="7">
                  <c:v>1.1374310102499058E-2</c:v>
                </c:pt>
              </c:numCache>
            </c:numRef>
          </c:val>
          <c:extLst>
            <c:ext xmlns:c16="http://schemas.microsoft.com/office/drawing/2014/chart" uri="{C3380CC4-5D6E-409C-BE32-E72D297353CC}">
              <c16:uniqueId val="{00000005-1DC1-435E-9D35-EAA50F442B2B}"/>
            </c:ext>
          </c:extLst>
        </c:ser>
        <c:dLbls>
          <c:showLegendKey val="0"/>
          <c:showVal val="0"/>
          <c:showCatName val="0"/>
          <c:showSerName val="0"/>
          <c:showPercent val="0"/>
          <c:showBubbleSize val="0"/>
        </c:dLbls>
        <c:gapWidth val="44"/>
        <c:overlap val="100"/>
        <c:axId val="120500992"/>
        <c:axId val="120502528"/>
      </c:barChart>
      <c:catAx>
        <c:axId val="120500992"/>
        <c:scaling>
          <c:orientation val="minMax"/>
        </c:scaling>
        <c:delete val="0"/>
        <c:axPos val="b"/>
        <c:numFmt formatCode="General" sourceLinked="1"/>
        <c:majorTickMark val="none"/>
        <c:minorTickMark val="none"/>
        <c:tickLblPos val="nextTo"/>
        <c:txPr>
          <a:bodyPr rot="0" vert="horz"/>
          <a:lstStyle/>
          <a:p>
            <a:pPr>
              <a:defRPr/>
            </a:pPr>
            <a:endParaRPr lang="en-US"/>
          </a:p>
        </c:txPr>
        <c:crossAx val="120502528"/>
        <c:crosses val="autoZero"/>
        <c:auto val="1"/>
        <c:lblAlgn val="ctr"/>
        <c:lblOffset val="100"/>
        <c:noMultiLvlLbl val="0"/>
      </c:catAx>
      <c:valAx>
        <c:axId val="120502528"/>
        <c:scaling>
          <c:orientation val="minMax"/>
        </c:scaling>
        <c:delete val="1"/>
        <c:axPos val="l"/>
        <c:numFmt formatCode="0%" sourceLinked="1"/>
        <c:majorTickMark val="out"/>
        <c:minorTickMark val="none"/>
        <c:tickLblPos val="none"/>
        <c:crossAx val="120500992"/>
        <c:crosses val="autoZero"/>
        <c:crossBetween val="between"/>
      </c:valAx>
    </c:plotArea>
    <c:legend>
      <c:legendPos val="r"/>
      <c:layout>
        <c:manualLayout>
          <c:xMode val="edge"/>
          <c:yMode val="edge"/>
          <c:x val="0.67914844291146814"/>
          <c:y val="0.22573327931334408"/>
          <c:w val="0.31845784858380138"/>
          <c:h val="0.75142261807816135"/>
        </c:manualLayout>
      </c:layout>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o-RO"/>
              <a:t>Prognoza numărului mediu de salariaţi în judeţele Regiunii </a:t>
            </a:r>
          </a:p>
          <a:p>
            <a:pPr>
              <a:defRPr/>
            </a:pPr>
            <a:r>
              <a:rPr lang="ro-RO" baseline="0"/>
              <a:t>Vest</a:t>
            </a:r>
            <a:endParaRPr lang="vi-VN"/>
          </a:p>
        </c:rich>
      </c:tx>
      <c:overlay val="0"/>
    </c:title>
    <c:autoTitleDeleted val="0"/>
    <c:plotArea>
      <c:layout/>
      <c:barChart>
        <c:barDir val="col"/>
        <c:grouping val="clustered"/>
        <c:varyColors val="0"/>
        <c:ser>
          <c:idx val="1"/>
          <c:order val="0"/>
          <c:tx>
            <c:strRef>
              <c:f>'Salariati - Regiuni, Judete'!$B$6</c:f>
              <c:strCache>
                <c:ptCount val="1"/>
                <c:pt idx="0">
                  <c:v>2014</c:v>
                </c:pt>
              </c:strCache>
            </c:strRef>
          </c:tx>
          <c:invertIfNegative val="0"/>
          <c:cat>
            <c:strRef>
              <c:f>'Salariati - Regiuni, Judete'!$A$37:$A$40</c:f>
              <c:strCache>
                <c:ptCount val="4"/>
                <c:pt idx="0">
                  <c:v>Arad</c:v>
                </c:pt>
                <c:pt idx="1">
                  <c:v>Caras Severin</c:v>
                </c:pt>
                <c:pt idx="2">
                  <c:v>Hunedoara</c:v>
                </c:pt>
                <c:pt idx="3">
                  <c:v>Timis</c:v>
                </c:pt>
              </c:strCache>
            </c:strRef>
          </c:cat>
          <c:val>
            <c:numRef>
              <c:f>'Salariati - Regiuni, Judete'!$B$37:$B$40</c:f>
              <c:numCache>
                <c:formatCode>General</c:formatCode>
                <c:ptCount val="4"/>
                <c:pt idx="0">
                  <c:v>119.3</c:v>
                </c:pt>
                <c:pt idx="1">
                  <c:v>50.9</c:v>
                </c:pt>
                <c:pt idx="2">
                  <c:v>106.9</c:v>
                </c:pt>
                <c:pt idx="3">
                  <c:v>209.2</c:v>
                </c:pt>
              </c:numCache>
            </c:numRef>
          </c:val>
          <c:extLst>
            <c:ext xmlns:c16="http://schemas.microsoft.com/office/drawing/2014/chart" uri="{C3380CC4-5D6E-409C-BE32-E72D297353CC}">
              <c16:uniqueId val="{00000000-B205-4FB0-B390-FC864AF6C7A8}"/>
            </c:ext>
          </c:extLst>
        </c:ser>
        <c:ser>
          <c:idx val="2"/>
          <c:order val="1"/>
          <c:tx>
            <c:strRef>
              <c:f>'Salariati - Regiuni, Judete'!$C$6</c:f>
              <c:strCache>
                <c:ptCount val="1"/>
                <c:pt idx="0">
                  <c:v>2015</c:v>
                </c:pt>
              </c:strCache>
            </c:strRef>
          </c:tx>
          <c:invertIfNegative val="0"/>
          <c:cat>
            <c:strRef>
              <c:f>'Salariati - Regiuni, Judete'!$A$37:$A$40</c:f>
              <c:strCache>
                <c:ptCount val="4"/>
                <c:pt idx="0">
                  <c:v>Arad</c:v>
                </c:pt>
                <c:pt idx="1">
                  <c:v>Caras Severin</c:v>
                </c:pt>
                <c:pt idx="2">
                  <c:v>Hunedoara</c:v>
                </c:pt>
                <c:pt idx="3">
                  <c:v>Timis</c:v>
                </c:pt>
              </c:strCache>
            </c:strRef>
          </c:cat>
          <c:val>
            <c:numRef>
              <c:f>'Salariati - Regiuni, Judete'!$C$37:$C$40</c:f>
              <c:numCache>
                <c:formatCode>General</c:formatCode>
                <c:ptCount val="4"/>
                <c:pt idx="0">
                  <c:v>122.7</c:v>
                </c:pt>
                <c:pt idx="1">
                  <c:v>52.7</c:v>
                </c:pt>
                <c:pt idx="2">
                  <c:v>109.8</c:v>
                </c:pt>
                <c:pt idx="3">
                  <c:v>216.1</c:v>
                </c:pt>
              </c:numCache>
            </c:numRef>
          </c:val>
          <c:extLst>
            <c:ext xmlns:c16="http://schemas.microsoft.com/office/drawing/2014/chart" uri="{C3380CC4-5D6E-409C-BE32-E72D297353CC}">
              <c16:uniqueId val="{00000001-B205-4FB0-B390-FC864AF6C7A8}"/>
            </c:ext>
          </c:extLst>
        </c:ser>
        <c:ser>
          <c:idx val="3"/>
          <c:order val="2"/>
          <c:tx>
            <c:strRef>
              <c:f>'Salariati - Regiuni, Judete'!$D$6</c:f>
              <c:strCache>
                <c:ptCount val="1"/>
                <c:pt idx="0">
                  <c:v>2016</c:v>
                </c:pt>
              </c:strCache>
            </c:strRef>
          </c:tx>
          <c:invertIfNegative val="0"/>
          <c:cat>
            <c:strRef>
              <c:f>'Salariati - Regiuni, Judete'!$A$37:$A$40</c:f>
              <c:strCache>
                <c:ptCount val="4"/>
                <c:pt idx="0">
                  <c:v>Arad</c:v>
                </c:pt>
                <c:pt idx="1">
                  <c:v>Caras Severin</c:v>
                </c:pt>
                <c:pt idx="2">
                  <c:v>Hunedoara</c:v>
                </c:pt>
                <c:pt idx="3">
                  <c:v>Timis</c:v>
                </c:pt>
              </c:strCache>
            </c:strRef>
          </c:cat>
          <c:val>
            <c:numRef>
              <c:f>'Salariati - Regiuni, Judete'!$D$37:$D$40</c:f>
              <c:numCache>
                <c:formatCode>General</c:formatCode>
                <c:ptCount val="4"/>
                <c:pt idx="0">
                  <c:v>126.4</c:v>
                </c:pt>
                <c:pt idx="1">
                  <c:v>54.7</c:v>
                </c:pt>
                <c:pt idx="2">
                  <c:v>112.7</c:v>
                </c:pt>
                <c:pt idx="3">
                  <c:v>223.5</c:v>
                </c:pt>
              </c:numCache>
            </c:numRef>
          </c:val>
          <c:extLst>
            <c:ext xmlns:c16="http://schemas.microsoft.com/office/drawing/2014/chart" uri="{C3380CC4-5D6E-409C-BE32-E72D297353CC}">
              <c16:uniqueId val="{00000002-B205-4FB0-B390-FC864AF6C7A8}"/>
            </c:ext>
          </c:extLst>
        </c:ser>
        <c:ser>
          <c:idx val="4"/>
          <c:order val="3"/>
          <c:tx>
            <c:strRef>
              <c:f>'Salariati - Regiuni, Judete'!$E$6</c:f>
              <c:strCache>
                <c:ptCount val="1"/>
                <c:pt idx="0">
                  <c:v>2017</c:v>
                </c:pt>
              </c:strCache>
            </c:strRef>
          </c:tx>
          <c:invertIfNegative val="0"/>
          <c:cat>
            <c:strRef>
              <c:f>'Salariati - Regiuni, Judete'!$A$37:$A$40</c:f>
              <c:strCache>
                <c:ptCount val="4"/>
                <c:pt idx="0">
                  <c:v>Arad</c:v>
                </c:pt>
                <c:pt idx="1">
                  <c:v>Caras Severin</c:v>
                </c:pt>
                <c:pt idx="2">
                  <c:v>Hunedoara</c:v>
                </c:pt>
                <c:pt idx="3">
                  <c:v>Timis</c:v>
                </c:pt>
              </c:strCache>
            </c:strRef>
          </c:cat>
          <c:val>
            <c:numRef>
              <c:f>'Salariati - Regiuni, Judete'!$E$37:$E$40</c:f>
              <c:numCache>
                <c:formatCode>General</c:formatCode>
                <c:ptCount val="4"/>
                <c:pt idx="0">
                  <c:v>130.6</c:v>
                </c:pt>
                <c:pt idx="1">
                  <c:v>56.6</c:v>
                </c:pt>
                <c:pt idx="2">
                  <c:v>115.9</c:v>
                </c:pt>
                <c:pt idx="3">
                  <c:v>231.3</c:v>
                </c:pt>
              </c:numCache>
            </c:numRef>
          </c:val>
          <c:extLst>
            <c:ext xmlns:c16="http://schemas.microsoft.com/office/drawing/2014/chart" uri="{C3380CC4-5D6E-409C-BE32-E72D297353CC}">
              <c16:uniqueId val="{00000003-B205-4FB0-B390-FC864AF6C7A8}"/>
            </c:ext>
          </c:extLst>
        </c:ser>
        <c:ser>
          <c:idx val="5"/>
          <c:order val="4"/>
          <c:tx>
            <c:strRef>
              <c:f>'Salariati - Regiuni, Judete'!$F$6</c:f>
              <c:strCache>
                <c:ptCount val="1"/>
                <c:pt idx="0">
                  <c:v>2018</c:v>
                </c:pt>
              </c:strCache>
            </c:strRef>
          </c:tx>
          <c:invertIfNegative val="0"/>
          <c:cat>
            <c:strRef>
              <c:f>'Salariati - Regiuni, Judete'!$A$37:$A$40</c:f>
              <c:strCache>
                <c:ptCount val="4"/>
                <c:pt idx="0">
                  <c:v>Arad</c:v>
                </c:pt>
                <c:pt idx="1">
                  <c:v>Caras Severin</c:v>
                </c:pt>
                <c:pt idx="2">
                  <c:v>Hunedoara</c:v>
                </c:pt>
                <c:pt idx="3">
                  <c:v>Timis</c:v>
                </c:pt>
              </c:strCache>
            </c:strRef>
          </c:cat>
          <c:val>
            <c:numRef>
              <c:f>'Salariati - Regiuni, Judete'!$F$37:$F$40</c:f>
              <c:numCache>
                <c:formatCode>General</c:formatCode>
                <c:ptCount val="4"/>
                <c:pt idx="0">
                  <c:v>134.80000000000001</c:v>
                </c:pt>
                <c:pt idx="1">
                  <c:v>58.7</c:v>
                </c:pt>
                <c:pt idx="2">
                  <c:v>119.1</c:v>
                </c:pt>
                <c:pt idx="3">
                  <c:v>239.1</c:v>
                </c:pt>
              </c:numCache>
            </c:numRef>
          </c:val>
          <c:extLst>
            <c:ext xmlns:c16="http://schemas.microsoft.com/office/drawing/2014/chart" uri="{C3380CC4-5D6E-409C-BE32-E72D297353CC}">
              <c16:uniqueId val="{00000004-B205-4FB0-B390-FC864AF6C7A8}"/>
            </c:ext>
          </c:extLst>
        </c:ser>
        <c:ser>
          <c:idx val="6"/>
          <c:order val="5"/>
          <c:tx>
            <c:strRef>
              <c:f>'Salariati - Regiuni, Judete'!$G$6</c:f>
              <c:strCache>
                <c:ptCount val="1"/>
                <c:pt idx="0">
                  <c:v>2019</c:v>
                </c:pt>
              </c:strCache>
            </c:strRef>
          </c:tx>
          <c:invertIfNegative val="0"/>
          <c:cat>
            <c:strRef>
              <c:f>'Salariati - Regiuni, Judete'!$A$37:$A$40</c:f>
              <c:strCache>
                <c:ptCount val="4"/>
                <c:pt idx="0">
                  <c:v>Arad</c:v>
                </c:pt>
                <c:pt idx="1">
                  <c:v>Caras Severin</c:v>
                </c:pt>
                <c:pt idx="2">
                  <c:v>Hunedoara</c:v>
                </c:pt>
                <c:pt idx="3">
                  <c:v>Timis</c:v>
                </c:pt>
              </c:strCache>
            </c:strRef>
          </c:cat>
          <c:val>
            <c:numRef>
              <c:f>'Salariati - Regiuni, Judete'!$G$37:$G$40</c:f>
              <c:numCache>
                <c:formatCode>General</c:formatCode>
                <c:ptCount val="4"/>
                <c:pt idx="0">
                  <c:v>138.80000000000001</c:v>
                </c:pt>
                <c:pt idx="1">
                  <c:v>60.6</c:v>
                </c:pt>
                <c:pt idx="2">
                  <c:v>122</c:v>
                </c:pt>
                <c:pt idx="3">
                  <c:v>246.7</c:v>
                </c:pt>
              </c:numCache>
            </c:numRef>
          </c:val>
          <c:extLst>
            <c:ext xmlns:c16="http://schemas.microsoft.com/office/drawing/2014/chart" uri="{C3380CC4-5D6E-409C-BE32-E72D297353CC}">
              <c16:uniqueId val="{00000005-B205-4FB0-B390-FC864AF6C7A8}"/>
            </c:ext>
          </c:extLst>
        </c:ser>
        <c:dLbls>
          <c:showLegendKey val="0"/>
          <c:showVal val="0"/>
          <c:showCatName val="0"/>
          <c:showSerName val="0"/>
          <c:showPercent val="0"/>
          <c:showBubbleSize val="0"/>
        </c:dLbls>
        <c:gapWidth val="150"/>
        <c:axId val="121796480"/>
        <c:axId val="121798016"/>
      </c:barChart>
      <c:catAx>
        <c:axId val="121796480"/>
        <c:scaling>
          <c:orientation val="minMax"/>
        </c:scaling>
        <c:delete val="0"/>
        <c:axPos val="b"/>
        <c:numFmt formatCode="General" sourceLinked="1"/>
        <c:majorTickMark val="none"/>
        <c:minorTickMark val="none"/>
        <c:tickLblPos val="nextTo"/>
        <c:crossAx val="121798016"/>
        <c:crosses val="autoZero"/>
        <c:auto val="1"/>
        <c:lblAlgn val="ctr"/>
        <c:lblOffset val="100"/>
        <c:noMultiLvlLbl val="0"/>
      </c:catAx>
      <c:valAx>
        <c:axId val="121798016"/>
        <c:scaling>
          <c:orientation val="minMax"/>
        </c:scaling>
        <c:delete val="0"/>
        <c:axPos val="l"/>
        <c:majorGridlines/>
        <c:title>
          <c:tx>
            <c:rich>
              <a:bodyPr/>
              <a:lstStyle/>
              <a:p>
                <a:pPr>
                  <a:defRPr/>
                </a:pPr>
                <a:r>
                  <a:rPr lang="ro-RO"/>
                  <a:t>M</a:t>
                </a:r>
                <a:r>
                  <a:rPr lang="en-US"/>
                  <a:t>ii persoane</a:t>
                </a:r>
              </a:p>
            </c:rich>
          </c:tx>
          <c:overlay val="0"/>
        </c:title>
        <c:numFmt formatCode="General" sourceLinked="1"/>
        <c:majorTickMark val="none"/>
        <c:minorTickMark val="none"/>
        <c:tickLblPos val="nextTo"/>
        <c:crossAx val="121796480"/>
        <c:crosses val="autoZero"/>
        <c:crossBetween val="between"/>
      </c:valAx>
      <c:dTable>
        <c:showHorzBorder val="1"/>
        <c:showVertBorder val="1"/>
        <c:showOutline val="1"/>
        <c:showKeys val="1"/>
        <c:txPr>
          <a:bodyPr/>
          <a:lstStyle/>
          <a:p>
            <a:pPr rtl="0">
              <a:defRPr b="1"/>
            </a:pPr>
            <a:endParaRPr lang="en-US"/>
          </a:p>
        </c:txPr>
      </c:dTable>
    </c:plotArea>
    <c:plotVisOnly val="1"/>
    <c:dispBlanksAs val="gap"/>
    <c:showDLblsOverMax val="0"/>
  </c:chart>
  <c:txPr>
    <a:bodyPr/>
    <a:lstStyle/>
    <a:p>
      <a:pPr>
        <a:defRPr sz="800">
          <a:latin typeface="Arial" panose="020B0604020202020204" pitchFamily="34" charset="0"/>
          <a:cs typeface="Arial" panose="020B0604020202020204" pitchFamily="34" charset="0"/>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o-RO"/>
              <a:t>Proiecţia numărului de şomeri înregistraţi</a:t>
            </a:r>
            <a:endParaRPr lang="vi-VN"/>
          </a:p>
        </c:rich>
      </c:tx>
      <c:overlay val="0"/>
    </c:title>
    <c:autoTitleDeleted val="0"/>
    <c:plotArea>
      <c:layout/>
      <c:barChart>
        <c:barDir val="col"/>
        <c:grouping val="clustered"/>
        <c:varyColors val="0"/>
        <c:ser>
          <c:idx val="0"/>
          <c:order val="0"/>
          <c:tx>
            <c:strRef>
              <c:f>'Salariati, someri -Regiuni'!$B$4</c:f>
              <c:strCache>
                <c:ptCount val="1"/>
                <c:pt idx="0">
                  <c:v>2014</c:v>
                </c:pt>
              </c:strCache>
            </c:strRef>
          </c:tx>
          <c:invertIfNegative val="0"/>
          <c:cat>
            <c:strRef>
              <c:f>'Salariati, someri -Regiuni'!$A$17:$A$24</c:f>
              <c:strCache>
                <c:ptCount val="8"/>
                <c:pt idx="0">
                  <c:v>NORD - EST</c:v>
                </c:pt>
                <c:pt idx="1">
                  <c:v>SUD - EST</c:v>
                </c:pt>
                <c:pt idx="2">
                  <c:v>SUD MUNTENIA</c:v>
                </c:pt>
                <c:pt idx="3">
                  <c:v>SUD – VEST OLTENIA</c:v>
                </c:pt>
                <c:pt idx="4">
                  <c:v>VEST</c:v>
                </c:pt>
                <c:pt idx="5">
                  <c:v>NORD - VEST</c:v>
                </c:pt>
                <c:pt idx="6">
                  <c:v>CENTRU</c:v>
                </c:pt>
                <c:pt idx="7">
                  <c:v>BUCURESTI - ILFOV</c:v>
                </c:pt>
              </c:strCache>
            </c:strRef>
          </c:cat>
          <c:val>
            <c:numRef>
              <c:f>'Salariati, someri -Regiuni'!$B$17:$B$24</c:f>
              <c:numCache>
                <c:formatCode>0.0</c:formatCode>
                <c:ptCount val="8"/>
                <c:pt idx="0">
                  <c:v>83</c:v>
                </c:pt>
                <c:pt idx="1">
                  <c:v>72.7</c:v>
                </c:pt>
                <c:pt idx="2">
                  <c:v>89.8</c:v>
                </c:pt>
                <c:pt idx="3">
                  <c:v>72.8</c:v>
                </c:pt>
                <c:pt idx="4">
                  <c:v>29.2</c:v>
                </c:pt>
                <c:pt idx="5">
                  <c:v>46.2</c:v>
                </c:pt>
                <c:pt idx="6">
                  <c:v>60.3</c:v>
                </c:pt>
                <c:pt idx="7">
                  <c:v>24.3</c:v>
                </c:pt>
              </c:numCache>
            </c:numRef>
          </c:val>
          <c:extLst>
            <c:ext xmlns:c16="http://schemas.microsoft.com/office/drawing/2014/chart" uri="{C3380CC4-5D6E-409C-BE32-E72D297353CC}">
              <c16:uniqueId val="{00000000-F1F9-4F87-BFFE-7B39BB80E788}"/>
            </c:ext>
          </c:extLst>
        </c:ser>
        <c:ser>
          <c:idx val="1"/>
          <c:order val="1"/>
          <c:tx>
            <c:strRef>
              <c:f>'Salariati, someri -Regiuni'!$C$4</c:f>
              <c:strCache>
                <c:ptCount val="1"/>
                <c:pt idx="0">
                  <c:v>2015</c:v>
                </c:pt>
              </c:strCache>
            </c:strRef>
          </c:tx>
          <c:invertIfNegative val="0"/>
          <c:cat>
            <c:strRef>
              <c:f>'Salariati, someri -Regiuni'!$A$17:$A$24</c:f>
              <c:strCache>
                <c:ptCount val="8"/>
                <c:pt idx="0">
                  <c:v>NORD - EST</c:v>
                </c:pt>
                <c:pt idx="1">
                  <c:v>SUD - EST</c:v>
                </c:pt>
                <c:pt idx="2">
                  <c:v>SUD MUNTENIA</c:v>
                </c:pt>
                <c:pt idx="3">
                  <c:v>SUD – VEST OLTENIA</c:v>
                </c:pt>
                <c:pt idx="4">
                  <c:v>VEST</c:v>
                </c:pt>
                <c:pt idx="5">
                  <c:v>NORD - VEST</c:v>
                </c:pt>
                <c:pt idx="6">
                  <c:v>CENTRU</c:v>
                </c:pt>
                <c:pt idx="7">
                  <c:v>BUCURESTI - ILFOV</c:v>
                </c:pt>
              </c:strCache>
            </c:strRef>
          </c:cat>
          <c:val>
            <c:numRef>
              <c:f>'Salariati, someri -Regiuni'!$C$17:$C$24</c:f>
              <c:numCache>
                <c:formatCode>0</c:formatCode>
                <c:ptCount val="8"/>
                <c:pt idx="0">
                  <c:v>77.8</c:v>
                </c:pt>
                <c:pt idx="1">
                  <c:v>68.900000000000006</c:v>
                </c:pt>
                <c:pt idx="2">
                  <c:v>79.3</c:v>
                </c:pt>
                <c:pt idx="3">
                  <c:v>70.400000000000006</c:v>
                </c:pt>
                <c:pt idx="4">
                  <c:v>25.6</c:v>
                </c:pt>
                <c:pt idx="5">
                  <c:v>41</c:v>
                </c:pt>
                <c:pt idx="6">
                  <c:v>50.2</c:v>
                </c:pt>
                <c:pt idx="7">
                  <c:v>23</c:v>
                </c:pt>
              </c:numCache>
            </c:numRef>
          </c:val>
          <c:extLst>
            <c:ext xmlns:c16="http://schemas.microsoft.com/office/drawing/2014/chart" uri="{C3380CC4-5D6E-409C-BE32-E72D297353CC}">
              <c16:uniqueId val="{00000001-F1F9-4F87-BFFE-7B39BB80E788}"/>
            </c:ext>
          </c:extLst>
        </c:ser>
        <c:ser>
          <c:idx val="2"/>
          <c:order val="2"/>
          <c:tx>
            <c:strRef>
              <c:f>'Salariati, someri -Regiuni'!$D$4</c:f>
              <c:strCache>
                <c:ptCount val="1"/>
                <c:pt idx="0">
                  <c:v>2016</c:v>
                </c:pt>
              </c:strCache>
            </c:strRef>
          </c:tx>
          <c:invertIfNegative val="0"/>
          <c:cat>
            <c:strRef>
              <c:f>'Salariati, someri -Regiuni'!$A$17:$A$24</c:f>
              <c:strCache>
                <c:ptCount val="8"/>
                <c:pt idx="0">
                  <c:v>NORD - EST</c:v>
                </c:pt>
                <c:pt idx="1">
                  <c:v>SUD - EST</c:v>
                </c:pt>
                <c:pt idx="2">
                  <c:v>SUD MUNTENIA</c:v>
                </c:pt>
                <c:pt idx="3">
                  <c:v>SUD – VEST OLTENIA</c:v>
                </c:pt>
                <c:pt idx="4">
                  <c:v>VEST</c:v>
                </c:pt>
                <c:pt idx="5">
                  <c:v>NORD - VEST</c:v>
                </c:pt>
                <c:pt idx="6">
                  <c:v>CENTRU</c:v>
                </c:pt>
                <c:pt idx="7">
                  <c:v>BUCURESTI - ILFOV</c:v>
                </c:pt>
              </c:strCache>
            </c:strRef>
          </c:cat>
          <c:val>
            <c:numRef>
              <c:f>'Salariati, someri -Regiuni'!$D$17:$D$24</c:f>
              <c:numCache>
                <c:formatCode>0</c:formatCode>
                <c:ptCount val="8"/>
                <c:pt idx="0">
                  <c:v>78</c:v>
                </c:pt>
                <c:pt idx="1">
                  <c:v>69</c:v>
                </c:pt>
                <c:pt idx="2">
                  <c:v>86</c:v>
                </c:pt>
                <c:pt idx="3">
                  <c:v>72</c:v>
                </c:pt>
                <c:pt idx="4">
                  <c:v>28</c:v>
                </c:pt>
                <c:pt idx="5">
                  <c:v>45</c:v>
                </c:pt>
                <c:pt idx="6">
                  <c:v>53</c:v>
                </c:pt>
                <c:pt idx="7">
                  <c:v>23</c:v>
                </c:pt>
              </c:numCache>
            </c:numRef>
          </c:val>
          <c:extLst>
            <c:ext xmlns:c16="http://schemas.microsoft.com/office/drawing/2014/chart" uri="{C3380CC4-5D6E-409C-BE32-E72D297353CC}">
              <c16:uniqueId val="{00000002-F1F9-4F87-BFFE-7B39BB80E788}"/>
            </c:ext>
          </c:extLst>
        </c:ser>
        <c:ser>
          <c:idx val="3"/>
          <c:order val="3"/>
          <c:tx>
            <c:strRef>
              <c:f>'Salariati, someri -Regiuni'!$E$4</c:f>
              <c:strCache>
                <c:ptCount val="1"/>
                <c:pt idx="0">
                  <c:v>2017</c:v>
                </c:pt>
              </c:strCache>
            </c:strRef>
          </c:tx>
          <c:invertIfNegative val="0"/>
          <c:cat>
            <c:strRef>
              <c:f>'Salariati, someri -Regiuni'!$A$17:$A$24</c:f>
              <c:strCache>
                <c:ptCount val="8"/>
                <c:pt idx="0">
                  <c:v>NORD - EST</c:v>
                </c:pt>
                <c:pt idx="1">
                  <c:v>SUD - EST</c:v>
                </c:pt>
                <c:pt idx="2">
                  <c:v>SUD MUNTENIA</c:v>
                </c:pt>
                <c:pt idx="3">
                  <c:v>SUD – VEST OLTENIA</c:v>
                </c:pt>
                <c:pt idx="4">
                  <c:v>VEST</c:v>
                </c:pt>
                <c:pt idx="5">
                  <c:v>NORD - VEST</c:v>
                </c:pt>
                <c:pt idx="6">
                  <c:v>CENTRU</c:v>
                </c:pt>
                <c:pt idx="7">
                  <c:v>BUCURESTI - ILFOV</c:v>
                </c:pt>
              </c:strCache>
            </c:strRef>
          </c:cat>
          <c:val>
            <c:numRef>
              <c:f>'Salariati, someri -Regiuni'!$E$17:$E$24</c:f>
              <c:numCache>
                <c:formatCode>0</c:formatCode>
                <c:ptCount val="8"/>
                <c:pt idx="0">
                  <c:v>74</c:v>
                </c:pt>
                <c:pt idx="1">
                  <c:v>61</c:v>
                </c:pt>
                <c:pt idx="2">
                  <c:v>82</c:v>
                </c:pt>
                <c:pt idx="3">
                  <c:v>68</c:v>
                </c:pt>
                <c:pt idx="4">
                  <c:v>26</c:v>
                </c:pt>
                <c:pt idx="5">
                  <c:v>43</c:v>
                </c:pt>
                <c:pt idx="6">
                  <c:v>57</c:v>
                </c:pt>
                <c:pt idx="7">
                  <c:v>20</c:v>
                </c:pt>
              </c:numCache>
            </c:numRef>
          </c:val>
          <c:extLst>
            <c:ext xmlns:c16="http://schemas.microsoft.com/office/drawing/2014/chart" uri="{C3380CC4-5D6E-409C-BE32-E72D297353CC}">
              <c16:uniqueId val="{00000003-F1F9-4F87-BFFE-7B39BB80E788}"/>
            </c:ext>
          </c:extLst>
        </c:ser>
        <c:ser>
          <c:idx val="4"/>
          <c:order val="4"/>
          <c:tx>
            <c:strRef>
              <c:f>'Salariati, someri -Regiuni'!$F$4</c:f>
              <c:strCache>
                <c:ptCount val="1"/>
                <c:pt idx="0">
                  <c:v>2018</c:v>
                </c:pt>
              </c:strCache>
            </c:strRef>
          </c:tx>
          <c:invertIfNegative val="0"/>
          <c:cat>
            <c:strRef>
              <c:f>'Salariati, someri -Regiuni'!$A$17:$A$24</c:f>
              <c:strCache>
                <c:ptCount val="8"/>
                <c:pt idx="0">
                  <c:v>NORD - EST</c:v>
                </c:pt>
                <c:pt idx="1">
                  <c:v>SUD - EST</c:v>
                </c:pt>
                <c:pt idx="2">
                  <c:v>SUD MUNTENIA</c:v>
                </c:pt>
                <c:pt idx="3">
                  <c:v>SUD – VEST OLTENIA</c:v>
                </c:pt>
                <c:pt idx="4">
                  <c:v>VEST</c:v>
                </c:pt>
                <c:pt idx="5">
                  <c:v>NORD - VEST</c:v>
                </c:pt>
                <c:pt idx="6">
                  <c:v>CENTRU</c:v>
                </c:pt>
                <c:pt idx="7">
                  <c:v>BUCURESTI - ILFOV</c:v>
                </c:pt>
              </c:strCache>
            </c:strRef>
          </c:cat>
          <c:val>
            <c:numRef>
              <c:f>'Salariati, someri -Regiuni'!$F$17:$F$24</c:f>
              <c:numCache>
                <c:formatCode>0</c:formatCode>
                <c:ptCount val="8"/>
                <c:pt idx="0">
                  <c:v>72</c:v>
                </c:pt>
                <c:pt idx="1">
                  <c:v>58</c:v>
                </c:pt>
                <c:pt idx="2">
                  <c:v>80</c:v>
                </c:pt>
                <c:pt idx="3">
                  <c:v>65</c:v>
                </c:pt>
                <c:pt idx="4">
                  <c:v>24</c:v>
                </c:pt>
                <c:pt idx="5">
                  <c:v>40</c:v>
                </c:pt>
                <c:pt idx="6">
                  <c:v>52</c:v>
                </c:pt>
                <c:pt idx="7">
                  <c:v>20</c:v>
                </c:pt>
              </c:numCache>
            </c:numRef>
          </c:val>
          <c:extLst>
            <c:ext xmlns:c16="http://schemas.microsoft.com/office/drawing/2014/chart" uri="{C3380CC4-5D6E-409C-BE32-E72D297353CC}">
              <c16:uniqueId val="{00000004-F1F9-4F87-BFFE-7B39BB80E788}"/>
            </c:ext>
          </c:extLst>
        </c:ser>
        <c:ser>
          <c:idx val="5"/>
          <c:order val="5"/>
          <c:tx>
            <c:strRef>
              <c:f>'Salariati, someri -Regiuni'!$G$4</c:f>
              <c:strCache>
                <c:ptCount val="1"/>
                <c:pt idx="0">
                  <c:v>2019</c:v>
                </c:pt>
              </c:strCache>
            </c:strRef>
          </c:tx>
          <c:invertIfNegative val="0"/>
          <c:cat>
            <c:strRef>
              <c:f>'Salariati, someri -Regiuni'!$A$17:$A$24</c:f>
              <c:strCache>
                <c:ptCount val="8"/>
                <c:pt idx="0">
                  <c:v>NORD - EST</c:v>
                </c:pt>
                <c:pt idx="1">
                  <c:v>SUD - EST</c:v>
                </c:pt>
                <c:pt idx="2">
                  <c:v>SUD MUNTENIA</c:v>
                </c:pt>
                <c:pt idx="3">
                  <c:v>SUD – VEST OLTENIA</c:v>
                </c:pt>
                <c:pt idx="4">
                  <c:v>VEST</c:v>
                </c:pt>
                <c:pt idx="5">
                  <c:v>NORD - VEST</c:v>
                </c:pt>
                <c:pt idx="6">
                  <c:v>CENTRU</c:v>
                </c:pt>
                <c:pt idx="7">
                  <c:v>BUCURESTI - ILFOV</c:v>
                </c:pt>
              </c:strCache>
            </c:strRef>
          </c:cat>
          <c:val>
            <c:numRef>
              <c:f>'Salariati, someri -Regiuni'!$G$17:$G$24</c:f>
              <c:numCache>
                <c:formatCode>0</c:formatCode>
                <c:ptCount val="8"/>
                <c:pt idx="0">
                  <c:v>71</c:v>
                </c:pt>
                <c:pt idx="1">
                  <c:v>58</c:v>
                </c:pt>
                <c:pt idx="2">
                  <c:v>79</c:v>
                </c:pt>
                <c:pt idx="3">
                  <c:v>64</c:v>
                </c:pt>
                <c:pt idx="4">
                  <c:v>24</c:v>
                </c:pt>
                <c:pt idx="5">
                  <c:v>39</c:v>
                </c:pt>
                <c:pt idx="6">
                  <c:v>51</c:v>
                </c:pt>
                <c:pt idx="7">
                  <c:v>19</c:v>
                </c:pt>
              </c:numCache>
            </c:numRef>
          </c:val>
          <c:extLst>
            <c:ext xmlns:c16="http://schemas.microsoft.com/office/drawing/2014/chart" uri="{C3380CC4-5D6E-409C-BE32-E72D297353CC}">
              <c16:uniqueId val="{00000005-F1F9-4F87-BFFE-7B39BB80E788}"/>
            </c:ext>
          </c:extLst>
        </c:ser>
        <c:dLbls>
          <c:showLegendKey val="0"/>
          <c:showVal val="0"/>
          <c:showCatName val="0"/>
          <c:showSerName val="0"/>
          <c:showPercent val="0"/>
          <c:showBubbleSize val="0"/>
        </c:dLbls>
        <c:gapWidth val="150"/>
        <c:axId val="121860864"/>
        <c:axId val="121862400"/>
      </c:barChart>
      <c:catAx>
        <c:axId val="121860864"/>
        <c:scaling>
          <c:orientation val="minMax"/>
        </c:scaling>
        <c:delete val="0"/>
        <c:axPos val="b"/>
        <c:numFmt formatCode="General" sourceLinked="1"/>
        <c:majorTickMark val="none"/>
        <c:minorTickMark val="none"/>
        <c:tickLblPos val="nextTo"/>
        <c:crossAx val="121862400"/>
        <c:crosses val="autoZero"/>
        <c:auto val="1"/>
        <c:lblAlgn val="ctr"/>
        <c:lblOffset val="100"/>
        <c:noMultiLvlLbl val="0"/>
      </c:catAx>
      <c:valAx>
        <c:axId val="121862400"/>
        <c:scaling>
          <c:orientation val="minMax"/>
        </c:scaling>
        <c:delete val="0"/>
        <c:axPos val="l"/>
        <c:majorGridlines/>
        <c:title>
          <c:tx>
            <c:rich>
              <a:bodyPr/>
              <a:lstStyle/>
              <a:p>
                <a:pPr>
                  <a:defRPr/>
                </a:pPr>
                <a:r>
                  <a:rPr lang="en-US"/>
                  <a:t>Mii persoane</a:t>
                </a:r>
              </a:p>
            </c:rich>
          </c:tx>
          <c:overlay val="0"/>
        </c:title>
        <c:numFmt formatCode="0.0" sourceLinked="1"/>
        <c:majorTickMark val="none"/>
        <c:minorTickMark val="none"/>
        <c:tickLblPos val="nextTo"/>
        <c:crossAx val="121860864"/>
        <c:crosses val="autoZero"/>
        <c:crossBetween val="between"/>
      </c:valAx>
      <c:dTable>
        <c:showHorzBorder val="1"/>
        <c:showVertBorder val="1"/>
        <c:showOutline val="1"/>
        <c:showKeys val="1"/>
        <c:txPr>
          <a:bodyPr/>
          <a:lstStyle/>
          <a:p>
            <a:pPr rtl="0">
              <a:defRPr sz="600" baseline="0">
                <a:latin typeface="Arial" pitchFamily="34" charset="0"/>
                <a:cs typeface="Arial" pitchFamily="34" charset="0"/>
              </a:defRPr>
            </a:pPr>
            <a:endParaRPr lang="en-US"/>
          </a:p>
        </c:txPr>
      </c:dTable>
    </c:plotArea>
    <c:plotVisOnly val="1"/>
    <c:dispBlanksAs val="gap"/>
    <c:showDLblsOverMax val="0"/>
  </c:chart>
  <c:txPr>
    <a:bodyPr/>
    <a:lstStyle/>
    <a:p>
      <a:pPr>
        <a:defRPr sz="800">
          <a:latin typeface="Arial" panose="020B0604020202020204" pitchFamily="34" charset="0"/>
          <a:cs typeface="Arial" panose="020B0604020202020204" pitchFamily="34" charset="0"/>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o-RO"/>
              <a:t>Proiecţia ratei şomajului înregistrat la nivelul Regiunii </a:t>
            </a:r>
          </a:p>
          <a:p>
            <a:pPr>
              <a:defRPr/>
            </a:pPr>
            <a:r>
              <a:rPr lang="ro-RO"/>
              <a:t>Vest</a:t>
            </a:r>
            <a:endParaRPr lang="vi-VN"/>
          </a:p>
        </c:rich>
      </c:tx>
      <c:overlay val="0"/>
    </c:title>
    <c:autoTitleDeleted val="0"/>
    <c:plotArea>
      <c:layout/>
      <c:barChart>
        <c:barDir val="col"/>
        <c:grouping val="clustered"/>
        <c:varyColors val="0"/>
        <c:ser>
          <c:idx val="0"/>
          <c:order val="0"/>
          <c:tx>
            <c:strRef>
              <c:f>'Rata somajului - Reg., Jud.'!$B$6</c:f>
              <c:strCache>
                <c:ptCount val="1"/>
                <c:pt idx="0">
                  <c:v>2014</c:v>
                </c:pt>
              </c:strCache>
            </c:strRef>
          </c:tx>
          <c:invertIfNegative val="0"/>
          <c:cat>
            <c:strRef>
              <c:f>'Rata somajului - Reg., Jud.'!$A$36:$A$40</c:f>
              <c:strCache>
                <c:ptCount val="5"/>
                <c:pt idx="0">
                  <c:v>VEST</c:v>
                </c:pt>
                <c:pt idx="1">
                  <c:v>Arad</c:v>
                </c:pt>
                <c:pt idx="2">
                  <c:v>Caras Severin</c:v>
                </c:pt>
                <c:pt idx="3">
                  <c:v>Hunedoara</c:v>
                </c:pt>
                <c:pt idx="4">
                  <c:v>Timis</c:v>
                </c:pt>
              </c:strCache>
            </c:strRef>
          </c:cat>
          <c:val>
            <c:numRef>
              <c:f>'Rata somajului - Reg., Jud.'!$B$36:$B$40</c:f>
              <c:numCache>
                <c:formatCode>0.0</c:formatCode>
                <c:ptCount val="5"/>
                <c:pt idx="0">
                  <c:v>3.4</c:v>
                </c:pt>
                <c:pt idx="1">
                  <c:v>2.8</c:v>
                </c:pt>
                <c:pt idx="2">
                  <c:v>4.5</c:v>
                </c:pt>
                <c:pt idx="3">
                  <c:v>6.6</c:v>
                </c:pt>
                <c:pt idx="4">
                  <c:v>1.6</c:v>
                </c:pt>
              </c:numCache>
            </c:numRef>
          </c:val>
          <c:extLst>
            <c:ext xmlns:c16="http://schemas.microsoft.com/office/drawing/2014/chart" uri="{C3380CC4-5D6E-409C-BE32-E72D297353CC}">
              <c16:uniqueId val="{00000000-43CC-48F4-BD7F-C48434A6AC56}"/>
            </c:ext>
          </c:extLst>
        </c:ser>
        <c:ser>
          <c:idx val="1"/>
          <c:order val="1"/>
          <c:tx>
            <c:strRef>
              <c:f>'Rata somajului - Reg., Jud.'!$C$6</c:f>
              <c:strCache>
                <c:ptCount val="1"/>
                <c:pt idx="0">
                  <c:v>2015</c:v>
                </c:pt>
              </c:strCache>
            </c:strRef>
          </c:tx>
          <c:invertIfNegative val="0"/>
          <c:cat>
            <c:strRef>
              <c:f>'Rata somajului - Reg., Jud.'!$A$36:$A$40</c:f>
              <c:strCache>
                <c:ptCount val="5"/>
                <c:pt idx="0">
                  <c:v>VEST</c:v>
                </c:pt>
                <c:pt idx="1">
                  <c:v>Arad</c:v>
                </c:pt>
                <c:pt idx="2">
                  <c:v>Caras Severin</c:v>
                </c:pt>
                <c:pt idx="3">
                  <c:v>Hunedoara</c:v>
                </c:pt>
                <c:pt idx="4">
                  <c:v>Timis</c:v>
                </c:pt>
              </c:strCache>
            </c:strRef>
          </c:cat>
          <c:val>
            <c:numRef>
              <c:f>'Rata somajului - Reg., Jud.'!$C$36:$C$40</c:f>
              <c:numCache>
                <c:formatCode>0.0</c:formatCode>
                <c:ptCount val="5"/>
                <c:pt idx="0">
                  <c:v>3</c:v>
                </c:pt>
                <c:pt idx="1">
                  <c:v>2.2999999999999998</c:v>
                </c:pt>
                <c:pt idx="2">
                  <c:v>4.2</c:v>
                </c:pt>
                <c:pt idx="3">
                  <c:v>6</c:v>
                </c:pt>
                <c:pt idx="4">
                  <c:v>1.3</c:v>
                </c:pt>
              </c:numCache>
            </c:numRef>
          </c:val>
          <c:extLst>
            <c:ext xmlns:c16="http://schemas.microsoft.com/office/drawing/2014/chart" uri="{C3380CC4-5D6E-409C-BE32-E72D297353CC}">
              <c16:uniqueId val="{00000001-43CC-48F4-BD7F-C48434A6AC56}"/>
            </c:ext>
          </c:extLst>
        </c:ser>
        <c:ser>
          <c:idx val="2"/>
          <c:order val="2"/>
          <c:tx>
            <c:strRef>
              <c:f>'Rata somajului - Reg., Jud.'!$D$6</c:f>
              <c:strCache>
                <c:ptCount val="1"/>
                <c:pt idx="0">
                  <c:v>2016</c:v>
                </c:pt>
              </c:strCache>
            </c:strRef>
          </c:tx>
          <c:invertIfNegative val="0"/>
          <c:cat>
            <c:strRef>
              <c:f>'Rata somajului - Reg., Jud.'!$A$36:$A$40</c:f>
              <c:strCache>
                <c:ptCount val="5"/>
                <c:pt idx="0">
                  <c:v>VEST</c:v>
                </c:pt>
                <c:pt idx="1">
                  <c:v>Arad</c:v>
                </c:pt>
                <c:pt idx="2">
                  <c:v>Caras Severin</c:v>
                </c:pt>
                <c:pt idx="3">
                  <c:v>Hunedoara</c:v>
                </c:pt>
                <c:pt idx="4">
                  <c:v>Timis</c:v>
                </c:pt>
              </c:strCache>
            </c:strRef>
          </c:cat>
          <c:val>
            <c:numRef>
              <c:f>'Rata somajului - Reg., Jud.'!$D$36:$D$40</c:f>
              <c:numCache>
                <c:formatCode>0.0</c:formatCode>
                <c:ptCount val="5"/>
                <c:pt idx="0">
                  <c:v>3.2</c:v>
                </c:pt>
                <c:pt idx="1">
                  <c:v>2.4</c:v>
                </c:pt>
                <c:pt idx="2">
                  <c:v>4.5</c:v>
                </c:pt>
                <c:pt idx="3">
                  <c:v>6.2</c:v>
                </c:pt>
                <c:pt idx="4">
                  <c:v>1.4</c:v>
                </c:pt>
              </c:numCache>
            </c:numRef>
          </c:val>
          <c:extLst>
            <c:ext xmlns:c16="http://schemas.microsoft.com/office/drawing/2014/chart" uri="{C3380CC4-5D6E-409C-BE32-E72D297353CC}">
              <c16:uniqueId val="{00000002-43CC-48F4-BD7F-C48434A6AC56}"/>
            </c:ext>
          </c:extLst>
        </c:ser>
        <c:ser>
          <c:idx val="3"/>
          <c:order val="3"/>
          <c:tx>
            <c:strRef>
              <c:f>'Rata somajului - Reg., Jud.'!$E$6</c:f>
              <c:strCache>
                <c:ptCount val="1"/>
                <c:pt idx="0">
                  <c:v>2017</c:v>
                </c:pt>
              </c:strCache>
            </c:strRef>
          </c:tx>
          <c:invertIfNegative val="0"/>
          <c:cat>
            <c:strRef>
              <c:f>'Rata somajului - Reg., Jud.'!$A$36:$A$40</c:f>
              <c:strCache>
                <c:ptCount val="5"/>
                <c:pt idx="0">
                  <c:v>VEST</c:v>
                </c:pt>
                <c:pt idx="1">
                  <c:v>Arad</c:v>
                </c:pt>
                <c:pt idx="2">
                  <c:v>Caras Severin</c:v>
                </c:pt>
                <c:pt idx="3">
                  <c:v>Hunedoara</c:v>
                </c:pt>
                <c:pt idx="4">
                  <c:v>Timis</c:v>
                </c:pt>
              </c:strCache>
            </c:strRef>
          </c:cat>
          <c:val>
            <c:numRef>
              <c:f>'Rata somajului - Reg., Jud.'!$E$36:$E$40</c:f>
              <c:numCache>
                <c:formatCode>0.0</c:formatCode>
                <c:ptCount val="5"/>
                <c:pt idx="0">
                  <c:v>2.8</c:v>
                </c:pt>
                <c:pt idx="1">
                  <c:v>2.1</c:v>
                </c:pt>
                <c:pt idx="2">
                  <c:v>4.0999999999999996</c:v>
                </c:pt>
                <c:pt idx="3">
                  <c:v>6</c:v>
                </c:pt>
                <c:pt idx="4">
                  <c:v>1.3</c:v>
                </c:pt>
              </c:numCache>
            </c:numRef>
          </c:val>
          <c:extLst>
            <c:ext xmlns:c16="http://schemas.microsoft.com/office/drawing/2014/chart" uri="{C3380CC4-5D6E-409C-BE32-E72D297353CC}">
              <c16:uniqueId val="{00000003-43CC-48F4-BD7F-C48434A6AC56}"/>
            </c:ext>
          </c:extLst>
        </c:ser>
        <c:ser>
          <c:idx val="4"/>
          <c:order val="4"/>
          <c:tx>
            <c:strRef>
              <c:f>'Rata somajului - Reg., Jud.'!$F$6</c:f>
              <c:strCache>
                <c:ptCount val="1"/>
                <c:pt idx="0">
                  <c:v>2018</c:v>
                </c:pt>
              </c:strCache>
            </c:strRef>
          </c:tx>
          <c:invertIfNegative val="0"/>
          <c:cat>
            <c:strRef>
              <c:f>'Rata somajului - Reg., Jud.'!$A$36:$A$40</c:f>
              <c:strCache>
                <c:ptCount val="5"/>
                <c:pt idx="0">
                  <c:v>VEST</c:v>
                </c:pt>
                <c:pt idx="1">
                  <c:v>Arad</c:v>
                </c:pt>
                <c:pt idx="2">
                  <c:v>Caras Severin</c:v>
                </c:pt>
                <c:pt idx="3">
                  <c:v>Hunedoara</c:v>
                </c:pt>
                <c:pt idx="4">
                  <c:v>Timis</c:v>
                </c:pt>
              </c:strCache>
            </c:strRef>
          </c:cat>
          <c:val>
            <c:numRef>
              <c:f>'Rata somajului - Reg., Jud.'!$F$36:$F$40</c:f>
              <c:numCache>
                <c:formatCode>0.0</c:formatCode>
                <c:ptCount val="5"/>
                <c:pt idx="0">
                  <c:v>2.6</c:v>
                </c:pt>
                <c:pt idx="1">
                  <c:v>2</c:v>
                </c:pt>
                <c:pt idx="2">
                  <c:v>4</c:v>
                </c:pt>
                <c:pt idx="3">
                  <c:v>5.8</c:v>
                </c:pt>
                <c:pt idx="4">
                  <c:v>1.2</c:v>
                </c:pt>
              </c:numCache>
            </c:numRef>
          </c:val>
          <c:extLst>
            <c:ext xmlns:c16="http://schemas.microsoft.com/office/drawing/2014/chart" uri="{C3380CC4-5D6E-409C-BE32-E72D297353CC}">
              <c16:uniqueId val="{00000004-43CC-48F4-BD7F-C48434A6AC56}"/>
            </c:ext>
          </c:extLst>
        </c:ser>
        <c:ser>
          <c:idx val="5"/>
          <c:order val="5"/>
          <c:tx>
            <c:strRef>
              <c:f>'Rata somajului - Reg., Jud.'!$G$6</c:f>
              <c:strCache>
                <c:ptCount val="1"/>
                <c:pt idx="0">
                  <c:v>2019</c:v>
                </c:pt>
              </c:strCache>
            </c:strRef>
          </c:tx>
          <c:invertIfNegative val="0"/>
          <c:cat>
            <c:strRef>
              <c:f>'Rata somajului - Reg., Jud.'!$A$36:$A$40</c:f>
              <c:strCache>
                <c:ptCount val="5"/>
                <c:pt idx="0">
                  <c:v>VEST</c:v>
                </c:pt>
                <c:pt idx="1">
                  <c:v>Arad</c:v>
                </c:pt>
                <c:pt idx="2">
                  <c:v>Caras Severin</c:v>
                </c:pt>
                <c:pt idx="3">
                  <c:v>Hunedoara</c:v>
                </c:pt>
                <c:pt idx="4">
                  <c:v>Timis</c:v>
                </c:pt>
              </c:strCache>
            </c:strRef>
          </c:cat>
          <c:val>
            <c:numRef>
              <c:f>'Rata somajului - Reg., Jud.'!$G$36:$G$40</c:f>
              <c:numCache>
                <c:formatCode>0.0</c:formatCode>
                <c:ptCount val="5"/>
                <c:pt idx="0">
                  <c:v>2.6</c:v>
                </c:pt>
                <c:pt idx="1">
                  <c:v>2</c:v>
                </c:pt>
                <c:pt idx="2">
                  <c:v>3.9</c:v>
                </c:pt>
                <c:pt idx="3">
                  <c:v>5.7</c:v>
                </c:pt>
                <c:pt idx="4">
                  <c:v>1.2</c:v>
                </c:pt>
              </c:numCache>
            </c:numRef>
          </c:val>
          <c:extLst>
            <c:ext xmlns:c16="http://schemas.microsoft.com/office/drawing/2014/chart" uri="{C3380CC4-5D6E-409C-BE32-E72D297353CC}">
              <c16:uniqueId val="{00000005-43CC-48F4-BD7F-C48434A6AC56}"/>
            </c:ext>
          </c:extLst>
        </c:ser>
        <c:dLbls>
          <c:showLegendKey val="0"/>
          <c:showVal val="0"/>
          <c:showCatName val="0"/>
          <c:showSerName val="0"/>
          <c:showPercent val="0"/>
          <c:showBubbleSize val="0"/>
        </c:dLbls>
        <c:gapWidth val="150"/>
        <c:axId val="122097024"/>
        <c:axId val="122123392"/>
      </c:barChart>
      <c:catAx>
        <c:axId val="122097024"/>
        <c:scaling>
          <c:orientation val="minMax"/>
        </c:scaling>
        <c:delete val="0"/>
        <c:axPos val="b"/>
        <c:numFmt formatCode="General" sourceLinked="1"/>
        <c:majorTickMark val="none"/>
        <c:minorTickMark val="none"/>
        <c:tickLblPos val="nextTo"/>
        <c:crossAx val="122123392"/>
        <c:crosses val="autoZero"/>
        <c:auto val="1"/>
        <c:lblAlgn val="ctr"/>
        <c:lblOffset val="100"/>
        <c:noMultiLvlLbl val="0"/>
      </c:catAx>
      <c:valAx>
        <c:axId val="122123392"/>
        <c:scaling>
          <c:orientation val="minMax"/>
        </c:scaling>
        <c:delete val="0"/>
        <c:axPos val="l"/>
        <c:majorGridlines/>
        <c:title>
          <c:tx>
            <c:rich>
              <a:bodyPr/>
              <a:lstStyle/>
              <a:p>
                <a:pPr>
                  <a:defRPr/>
                </a:pPr>
                <a:r>
                  <a:rPr lang="en-US"/>
                  <a:t>%</a:t>
                </a:r>
              </a:p>
            </c:rich>
          </c:tx>
          <c:overlay val="0"/>
        </c:title>
        <c:numFmt formatCode="0.0" sourceLinked="1"/>
        <c:majorTickMark val="none"/>
        <c:minorTickMark val="none"/>
        <c:tickLblPos val="nextTo"/>
        <c:crossAx val="122097024"/>
        <c:crosses val="autoZero"/>
        <c:crossBetween val="between"/>
      </c:valAx>
      <c:dTable>
        <c:showHorzBorder val="1"/>
        <c:showVertBorder val="1"/>
        <c:showOutline val="1"/>
        <c:showKeys val="1"/>
      </c:dTable>
    </c:plotArea>
    <c:plotVisOnly val="1"/>
    <c:dispBlanksAs val="gap"/>
    <c:showDLblsOverMax val="0"/>
  </c:chart>
  <c:txPr>
    <a:bodyPr/>
    <a:lstStyle/>
    <a:p>
      <a:pPr>
        <a:defRPr sz="800">
          <a:latin typeface="Arial" panose="020B0604020202020204" pitchFamily="34" charset="0"/>
          <a:cs typeface="Arial" panose="020B0604020202020204" pitchFamily="34" charset="0"/>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latin typeface="Arial" panose="020B0604020202020204" pitchFamily="34" charset="0"/>
                <a:cs typeface="Arial" panose="020B0604020202020204" pitchFamily="34" charset="0"/>
              </a:defRPr>
            </a:pPr>
            <a:r>
              <a:rPr lang="ro-RO" sz="800">
                <a:latin typeface="Arial" panose="020B0604020202020204" pitchFamily="34" charset="0"/>
                <a:cs typeface="Arial" panose="020B0604020202020204" pitchFamily="34" charset="0"/>
              </a:rPr>
              <a:t>Proiecţia</a:t>
            </a:r>
            <a:r>
              <a:rPr lang="ro-RO" sz="800" baseline="0">
                <a:latin typeface="Arial" panose="020B0604020202020204" pitchFamily="34" charset="0"/>
                <a:cs typeface="Arial" panose="020B0604020202020204" pitchFamily="34" charset="0"/>
              </a:rPr>
              <a:t> s</a:t>
            </a:r>
            <a:r>
              <a:rPr lang="ro-RO" sz="800">
                <a:latin typeface="Arial" panose="020B0604020202020204" pitchFamily="34" charset="0"/>
                <a:cs typeface="Arial" panose="020B0604020202020204" pitchFamily="34" charset="0"/>
              </a:rPr>
              <a:t>tructurii numărului mediu de salariaţi</a:t>
            </a:r>
            <a:r>
              <a:rPr lang="ro-RO" sz="800" baseline="0">
                <a:latin typeface="Arial" panose="020B0604020202020204" pitchFamily="34" charset="0"/>
                <a:cs typeface="Arial" panose="020B0604020202020204" pitchFamily="34" charset="0"/>
              </a:rPr>
              <a:t> </a:t>
            </a:r>
          </a:p>
          <a:p>
            <a:pPr>
              <a:defRPr sz="1000">
                <a:latin typeface="Arial" panose="020B0604020202020204" pitchFamily="34" charset="0"/>
                <a:cs typeface="Arial" panose="020B0604020202020204" pitchFamily="34" charset="0"/>
              </a:defRPr>
            </a:pPr>
            <a:r>
              <a:rPr lang="ro-RO" sz="800" baseline="0">
                <a:latin typeface="Arial" panose="020B0604020202020204" pitchFamily="34" charset="0"/>
                <a:cs typeface="Arial" panose="020B0604020202020204" pitchFamily="34" charset="0"/>
              </a:rPr>
              <a:t>în anul 2019</a:t>
            </a:r>
            <a:endParaRPr lang="vi-VN" sz="800">
              <a:latin typeface="Arial" panose="020B0604020202020204" pitchFamily="34" charset="0"/>
              <a:cs typeface="Arial" panose="020B0604020202020204" pitchFamily="34" charset="0"/>
            </a:endParaRPr>
          </a:p>
        </c:rich>
      </c:tx>
      <c:layout>
        <c:manualLayout>
          <c:xMode val="edge"/>
          <c:yMode val="edge"/>
          <c:x val="9.7625915242955524E-2"/>
          <c:y val="7.782265938000737E-4"/>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11549854581122702"/>
          <c:y val="0.23729849141406836"/>
          <c:w val="0.4631382452520903"/>
          <c:h val="0.56339363467499648"/>
        </c:manualLayout>
      </c:layout>
      <c:pie3DChart>
        <c:varyColors val="1"/>
        <c:ser>
          <c:idx val="0"/>
          <c:order val="0"/>
          <c:explosion val="25"/>
          <c:dLbls>
            <c:spPr>
              <a:noFill/>
              <a:ln>
                <a:noFill/>
              </a:ln>
              <a:effectLst/>
            </c:spPr>
            <c:txPr>
              <a:bodyPr/>
              <a:lstStyle/>
              <a:p>
                <a:pPr>
                  <a:defRPr b="1">
                    <a:latin typeface="Arial" panose="020B0604020202020204" pitchFamily="34" charset="0"/>
                    <a:cs typeface="Arial" panose="020B0604020202020204" pitchFamily="34" charset="0"/>
                  </a:defRPr>
                </a:pPr>
                <a:endParaRPr lang="en-US"/>
              </a:p>
            </c:txPr>
            <c:showLegendKey val="0"/>
            <c:showVal val="0"/>
            <c:showCatName val="0"/>
            <c:showSerName val="0"/>
            <c:showPercent val="1"/>
            <c:showBubbleSize val="0"/>
            <c:showLeaderLines val="1"/>
            <c:extLst>
              <c:ext xmlns:c15="http://schemas.microsoft.com/office/drawing/2012/chart" uri="{CE6537A1-D6FC-4f65-9D91-7224C49458BB}"/>
            </c:extLst>
          </c:dLbls>
          <c:cat>
            <c:strRef>
              <c:f>'Structura slariati, someri'!$A$8:$A$15</c:f>
              <c:strCache>
                <c:ptCount val="8"/>
                <c:pt idx="0">
                  <c:v>NORD - EST</c:v>
                </c:pt>
                <c:pt idx="1">
                  <c:v>SUD - EST</c:v>
                </c:pt>
                <c:pt idx="2">
                  <c:v>SUD MUNTENIA</c:v>
                </c:pt>
                <c:pt idx="3">
                  <c:v>SUD – VEST OLTENIA</c:v>
                </c:pt>
                <c:pt idx="4">
                  <c:v>VEST</c:v>
                </c:pt>
                <c:pt idx="5">
                  <c:v>NORD - VEST</c:v>
                </c:pt>
                <c:pt idx="6">
                  <c:v>CENTRU</c:v>
                </c:pt>
                <c:pt idx="7">
                  <c:v>BUCURESTI - ILFOV</c:v>
                </c:pt>
              </c:strCache>
            </c:strRef>
          </c:cat>
          <c:val>
            <c:numRef>
              <c:f>'Structura slariati, someri'!$G$8:$G$15</c:f>
              <c:numCache>
                <c:formatCode>0.0</c:formatCode>
                <c:ptCount val="8"/>
                <c:pt idx="0">
                  <c:v>11.2</c:v>
                </c:pt>
                <c:pt idx="1">
                  <c:v>11.1</c:v>
                </c:pt>
                <c:pt idx="2">
                  <c:v>11.6</c:v>
                </c:pt>
                <c:pt idx="3">
                  <c:v>7.9</c:v>
                </c:pt>
                <c:pt idx="4">
                  <c:v>10.9</c:v>
                </c:pt>
                <c:pt idx="5">
                  <c:v>13.9</c:v>
                </c:pt>
                <c:pt idx="6">
                  <c:v>13.2</c:v>
                </c:pt>
                <c:pt idx="7">
                  <c:v>20.2</c:v>
                </c:pt>
              </c:numCache>
            </c:numRef>
          </c:val>
          <c:extLst>
            <c:ext xmlns:c16="http://schemas.microsoft.com/office/drawing/2014/chart" uri="{C3380CC4-5D6E-409C-BE32-E72D297353CC}">
              <c16:uniqueId val="{00000000-DE91-405E-B5AC-B8F3B37B7F3A}"/>
            </c:ext>
          </c:extLst>
        </c:ser>
        <c:dLbls>
          <c:showLegendKey val="0"/>
          <c:showVal val="0"/>
          <c:showCatName val="0"/>
          <c:showSerName val="0"/>
          <c:showPercent val="0"/>
          <c:showBubbleSize val="0"/>
          <c:showLeaderLines val="1"/>
        </c:dLbls>
      </c:pie3DChart>
      <c:spPr>
        <a:noFill/>
        <a:ln w="25400">
          <a:noFill/>
        </a:ln>
      </c:spPr>
    </c:plotArea>
    <c:legend>
      <c:legendPos val="r"/>
      <c:layout>
        <c:manualLayout>
          <c:xMode val="edge"/>
          <c:yMode val="edge"/>
          <c:x val="0.19431410468910629"/>
          <c:y val="0.75469870659261429"/>
          <c:w val="0.78113745611805463"/>
          <c:h val="0.24413279785349776"/>
        </c:manualLayout>
      </c:layout>
      <c:overlay val="0"/>
      <c:txPr>
        <a:bodyPr/>
        <a:lstStyle/>
        <a:p>
          <a:pPr>
            <a:defRPr sz="800" b="0" i="0">
              <a:latin typeface="Arial" panose="020B0604020202020204" pitchFamily="34" charset="0"/>
              <a:cs typeface="Arial" panose="020B0604020202020204" pitchFamily="34" charset="0"/>
            </a:defRPr>
          </a:pPr>
          <a:endParaRPr lang="en-US"/>
        </a:p>
      </c:txPr>
    </c:legend>
    <c:plotVisOnly val="1"/>
    <c:dispBlanksAs val="zero"/>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latin typeface="Arial" panose="020B0604020202020204" pitchFamily="34" charset="0"/>
                <a:cs typeface="Arial" panose="020B0604020202020204" pitchFamily="34" charset="0"/>
              </a:defRPr>
            </a:pPr>
            <a:r>
              <a:rPr lang="ro-RO" sz="800">
                <a:latin typeface="Arial" panose="020B0604020202020204" pitchFamily="34" charset="0"/>
                <a:cs typeface="Arial" panose="020B0604020202020204" pitchFamily="34" charset="0"/>
              </a:rPr>
              <a:t>Proiecţia</a:t>
            </a:r>
            <a:r>
              <a:rPr lang="ro-RO" sz="800" baseline="0">
                <a:latin typeface="Arial" panose="020B0604020202020204" pitchFamily="34" charset="0"/>
                <a:cs typeface="Arial" panose="020B0604020202020204" pitchFamily="34" charset="0"/>
              </a:rPr>
              <a:t> s</a:t>
            </a:r>
            <a:r>
              <a:rPr lang="ro-RO" sz="800">
                <a:latin typeface="Arial" panose="020B0604020202020204" pitchFamily="34" charset="0"/>
                <a:cs typeface="Arial" panose="020B0604020202020204" pitchFamily="34" charset="0"/>
              </a:rPr>
              <a:t>tructurii numărului de şomeri înregistraţi</a:t>
            </a:r>
            <a:endParaRPr lang="ro-RO" sz="800" baseline="0">
              <a:latin typeface="Arial" panose="020B0604020202020204" pitchFamily="34" charset="0"/>
              <a:cs typeface="Arial" panose="020B0604020202020204" pitchFamily="34" charset="0"/>
            </a:endParaRPr>
          </a:p>
          <a:p>
            <a:pPr>
              <a:defRPr sz="1000">
                <a:latin typeface="Arial" panose="020B0604020202020204" pitchFamily="34" charset="0"/>
                <a:cs typeface="Arial" panose="020B0604020202020204" pitchFamily="34" charset="0"/>
              </a:defRPr>
            </a:pPr>
            <a:r>
              <a:rPr lang="ro-RO" sz="800" baseline="0">
                <a:latin typeface="Arial" panose="020B0604020202020204" pitchFamily="34" charset="0"/>
                <a:cs typeface="Arial" panose="020B0604020202020204" pitchFamily="34" charset="0"/>
              </a:rPr>
              <a:t>în anul 2019</a:t>
            </a:r>
            <a:endParaRPr lang="vi-VN" sz="800">
              <a:latin typeface="Arial" panose="020B0604020202020204" pitchFamily="34" charset="0"/>
              <a:cs typeface="Arial" panose="020B0604020202020204" pitchFamily="34" charset="0"/>
            </a:endParaRPr>
          </a:p>
        </c:rich>
      </c:tx>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10475621774044062"/>
          <c:y val="0.24955651644924953"/>
          <c:w val="0.4554365834382228"/>
          <c:h val="0.56219030255383406"/>
        </c:manualLayout>
      </c:layout>
      <c:pie3DChart>
        <c:varyColors val="1"/>
        <c:ser>
          <c:idx val="0"/>
          <c:order val="0"/>
          <c:explosion val="25"/>
          <c:dLbls>
            <c:spPr>
              <a:noFill/>
              <a:ln>
                <a:noFill/>
              </a:ln>
              <a:effectLst/>
            </c:spPr>
            <c:txPr>
              <a:bodyPr/>
              <a:lstStyle/>
              <a:p>
                <a:pPr>
                  <a:defRPr b="1">
                    <a:latin typeface="Arial" panose="020B0604020202020204" pitchFamily="34" charset="0"/>
                    <a:cs typeface="Arial" panose="020B0604020202020204" pitchFamily="34" charset="0"/>
                  </a:defRPr>
                </a:pPr>
                <a:endParaRPr lang="en-US"/>
              </a:p>
            </c:txPr>
            <c:showLegendKey val="0"/>
            <c:showVal val="0"/>
            <c:showCatName val="0"/>
            <c:showSerName val="0"/>
            <c:showPercent val="1"/>
            <c:showBubbleSize val="0"/>
            <c:showLeaderLines val="1"/>
            <c:extLst>
              <c:ext xmlns:c15="http://schemas.microsoft.com/office/drawing/2012/chart" uri="{CE6537A1-D6FC-4f65-9D91-7224C49458BB}"/>
            </c:extLst>
          </c:dLbls>
          <c:cat>
            <c:strRef>
              <c:f>'Structura slariati, someri'!$A$22:$A$29</c:f>
              <c:strCache>
                <c:ptCount val="8"/>
                <c:pt idx="0">
                  <c:v>NORD - EST</c:v>
                </c:pt>
                <c:pt idx="1">
                  <c:v>SUD - EST</c:v>
                </c:pt>
                <c:pt idx="2">
                  <c:v>SUD MUNTENIA</c:v>
                </c:pt>
                <c:pt idx="3">
                  <c:v>SUD – VEST OLTENIA</c:v>
                </c:pt>
                <c:pt idx="4">
                  <c:v>VEST</c:v>
                </c:pt>
                <c:pt idx="5">
                  <c:v>NORD - VEST</c:v>
                </c:pt>
                <c:pt idx="6">
                  <c:v>CENTRU</c:v>
                </c:pt>
                <c:pt idx="7">
                  <c:v>BUCURESTI - ILFOV</c:v>
                </c:pt>
              </c:strCache>
            </c:strRef>
          </c:cat>
          <c:val>
            <c:numRef>
              <c:f>'Structura slariati, someri'!$G$22:$G$29</c:f>
              <c:numCache>
                <c:formatCode>0.0</c:formatCode>
                <c:ptCount val="8"/>
                <c:pt idx="0">
                  <c:v>17.5</c:v>
                </c:pt>
                <c:pt idx="1">
                  <c:v>14.2</c:v>
                </c:pt>
                <c:pt idx="2">
                  <c:v>19.5</c:v>
                </c:pt>
                <c:pt idx="3">
                  <c:v>15.8</c:v>
                </c:pt>
                <c:pt idx="4">
                  <c:v>5.9</c:v>
                </c:pt>
                <c:pt idx="5">
                  <c:v>9.7000000000000011</c:v>
                </c:pt>
                <c:pt idx="6">
                  <c:v>12.6</c:v>
                </c:pt>
                <c:pt idx="7">
                  <c:v>4.8</c:v>
                </c:pt>
              </c:numCache>
            </c:numRef>
          </c:val>
          <c:extLst>
            <c:ext xmlns:c16="http://schemas.microsoft.com/office/drawing/2014/chart" uri="{C3380CC4-5D6E-409C-BE32-E72D297353CC}">
              <c16:uniqueId val="{00000000-3361-4758-8904-F6DDED19CF4F}"/>
            </c:ext>
          </c:extLst>
        </c:ser>
        <c:dLbls>
          <c:showLegendKey val="0"/>
          <c:showVal val="0"/>
          <c:showCatName val="0"/>
          <c:showSerName val="0"/>
          <c:showPercent val="0"/>
          <c:showBubbleSize val="0"/>
          <c:showLeaderLines val="1"/>
        </c:dLbls>
      </c:pie3DChart>
      <c:spPr>
        <a:noFill/>
        <a:ln w="25400">
          <a:noFill/>
        </a:ln>
      </c:spPr>
    </c:plotArea>
    <c:legend>
      <c:legendPos val="r"/>
      <c:layout>
        <c:manualLayout>
          <c:xMode val="edge"/>
          <c:yMode val="edge"/>
          <c:x val="2.4830171000234252E-2"/>
          <c:y val="0.72376378675213149"/>
          <c:w val="0.97516982899976579"/>
          <c:h val="0.17298321010038994"/>
        </c:manualLayout>
      </c:layout>
      <c:overlay val="0"/>
      <c:txPr>
        <a:bodyPr/>
        <a:lstStyle/>
        <a:p>
          <a:pPr rtl="0">
            <a:defRPr sz="800" b="0" i="0">
              <a:latin typeface="Arial" panose="020B0604020202020204" pitchFamily="34" charset="0"/>
              <a:cs typeface="Arial" panose="020B0604020202020204" pitchFamily="34" charset="0"/>
            </a:defRPr>
          </a:pPr>
          <a:endParaRPr lang="en-US"/>
        </a:p>
      </c:txPr>
    </c:legend>
    <c:plotVisOnly val="1"/>
    <c:dispBlanksAs val="zero"/>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vi-VN" sz="1050" b="0"/>
              <a:t>Gradul de cuprindere în învăţământ a populaţiei din grupa de vârstă</a:t>
            </a:r>
            <a:r>
              <a:rPr lang="ro-RO" sz="1050" b="0"/>
              <a:t> </a:t>
            </a:r>
          </a:p>
          <a:p>
            <a:pPr>
              <a:defRPr/>
            </a:pPr>
            <a:r>
              <a:rPr lang="vi-VN" sz="1050" b="0"/>
              <a:t>15-18 ani</a:t>
            </a:r>
            <a:endParaRPr lang="ro-RO" sz="1050" b="0"/>
          </a:p>
        </c:rich>
      </c:tx>
      <c:layout>
        <c:manualLayout>
          <c:xMode val="edge"/>
          <c:yMode val="edge"/>
          <c:x val="0.1226544796442996"/>
          <c:y val="0"/>
        </c:manualLayout>
      </c:layout>
      <c:overlay val="0"/>
    </c:title>
    <c:autoTitleDeleted val="0"/>
    <c:plotArea>
      <c:layout/>
      <c:barChart>
        <c:barDir val="col"/>
        <c:grouping val="clustered"/>
        <c:varyColors val="0"/>
        <c:ser>
          <c:idx val="0"/>
          <c:order val="0"/>
          <c:tx>
            <c:strRef>
              <c:f>'Regiune si judete 1'!$B$74:$F$74</c:f>
              <c:strCache>
                <c:ptCount val="1"/>
                <c:pt idx="0">
                  <c:v>2007 2008</c:v>
                </c:pt>
              </c:strCache>
            </c:strRef>
          </c:tx>
          <c:invertIfNegative val="0"/>
          <c:cat>
            <c:strRef>
              <c:f>'Regiune si judete 1'!$A$76:$A$88</c:f>
              <c:strCache>
                <c:ptCount val="13"/>
                <c:pt idx="0">
                  <c:v>România</c:v>
                </c:pt>
                <c:pt idx="1">
                  <c:v>Vest </c:v>
                </c:pt>
                <c:pt idx="2">
                  <c:v>Arad</c:v>
                </c:pt>
                <c:pt idx="3">
                  <c:v>Caraş-Severin</c:v>
                </c:pt>
                <c:pt idx="4">
                  <c:v>Hunedoara</c:v>
                </c:pt>
                <c:pt idx="5">
                  <c:v>Timiş</c:v>
                </c:pt>
                <c:pt idx="6">
                  <c:v>Sud - Est </c:v>
                </c:pt>
                <c:pt idx="7">
                  <c:v>Sud - Muntenia</c:v>
                </c:pt>
                <c:pt idx="8">
                  <c:v>Sud - Vest Oltenia</c:v>
                </c:pt>
                <c:pt idx="9">
                  <c:v>Nord - Est </c:v>
                </c:pt>
                <c:pt idx="10">
                  <c:v>Nord - Vest </c:v>
                </c:pt>
                <c:pt idx="11">
                  <c:v>Centru </c:v>
                </c:pt>
                <c:pt idx="12">
                  <c:v>Bucureşti - Ilfov</c:v>
                </c:pt>
              </c:strCache>
            </c:strRef>
          </c:cat>
          <c:val>
            <c:numRef>
              <c:f>'Regiune si judete 1'!$B$76:$B$88</c:f>
              <c:numCache>
                <c:formatCode>General</c:formatCode>
                <c:ptCount val="13"/>
                <c:pt idx="0">
                  <c:v>77.400000000000006</c:v>
                </c:pt>
                <c:pt idx="1">
                  <c:v>80.099999999999994</c:v>
                </c:pt>
                <c:pt idx="2">
                  <c:v>75.7</c:v>
                </c:pt>
                <c:pt idx="3">
                  <c:v>70.8</c:v>
                </c:pt>
                <c:pt idx="4">
                  <c:v>81.400000000000006</c:v>
                </c:pt>
                <c:pt idx="5">
                  <c:v>86.5</c:v>
                </c:pt>
                <c:pt idx="6">
                  <c:v>72.400000000000006</c:v>
                </c:pt>
                <c:pt idx="7">
                  <c:v>71.8</c:v>
                </c:pt>
                <c:pt idx="8">
                  <c:v>76.099999999999994</c:v>
                </c:pt>
                <c:pt idx="9">
                  <c:v>69.400000000000006</c:v>
                </c:pt>
                <c:pt idx="10">
                  <c:v>75.7</c:v>
                </c:pt>
                <c:pt idx="11">
                  <c:v>74.8</c:v>
                </c:pt>
                <c:pt idx="12">
                  <c:v>117.1</c:v>
                </c:pt>
              </c:numCache>
            </c:numRef>
          </c:val>
          <c:extLst>
            <c:ext xmlns:c16="http://schemas.microsoft.com/office/drawing/2014/chart" uri="{C3380CC4-5D6E-409C-BE32-E72D297353CC}">
              <c16:uniqueId val="{00000000-62E3-443E-A17E-F88102320624}"/>
            </c:ext>
          </c:extLst>
        </c:ser>
        <c:ser>
          <c:idx val="1"/>
          <c:order val="1"/>
          <c:tx>
            <c:strRef>
              <c:f>'Regiune si judete 1'!$G$74:$K$74</c:f>
              <c:strCache>
                <c:ptCount val="1"/>
                <c:pt idx="0">
                  <c:v>2008 2009</c:v>
                </c:pt>
              </c:strCache>
            </c:strRef>
          </c:tx>
          <c:invertIfNegative val="0"/>
          <c:cat>
            <c:strRef>
              <c:f>'Regiune si judete 1'!$A$76:$A$88</c:f>
              <c:strCache>
                <c:ptCount val="13"/>
                <c:pt idx="0">
                  <c:v>România</c:v>
                </c:pt>
                <c:pt idx="1">
                  <c:v>Vest </c:v>
                </c:pt>
                <c:pt idx="2">
                  <c:v>Arad</c:v>
                </c:pt>
                <c:pt idx="3">
                  <c:v>Caraş-Severin</c:v>
                </c:pt>
                <c:pt idx="4">
                  <c:v>Hunedoara</c:v>
                </c:pt>
                <c:pt idx="5">
                  <c:v>Timiş</c:v>
                </c:pt>
                <c:pt idx="6">
                  <c:v>Sud - Est </c:v>
                </c:pt>
                <c:pt idx="7">
                  <c:v>Sud - Muntenia</c:v>
                </c:pt>
                <c:pt idx="8">
                  <c:v>Sud - Vest Oltenia</c:v>
                </c:pt>
                <c:pt idx="9">
                  <c:v>Nord - Est </c:v>
                </c:pt>
                <c:pt idx="10">
                  <c:v>Nord - Vest </c:v>
                </c:pt>
                <c:pt idx="11">
                  <c:v>Centru </c:v>
                </c:pt>
                <c:pt idx="12">
                  <c:v>Bucureşti - Ilfov</c:v>
                </c:pt>
              </c:strCache>
            </c:strRef>
          </c:cat>
          <c:val>
            <c:numRef>
              <c:f>'Regiune si judete 1'!$G$76:$G$88</c:f>
              <c:numCache>
                <c:formatCode>General</c:formatCode>
                <c:ptCount val="13"/>
                <c:pt idx="0">
                  <c:v>79.2</c:v>
                </c:pt>
                <c:pt idx="1">
                  <c:v>81.8</c:v>
                </c:pt>
                <c:pt idx="2">
                  <c:v>79.8</c:v>
                </c:pt>
                <c:pt idx="3">
                  <c:v>72.5</c:v>
                </c:pt>
                <c:pt idx="4">
                  <c:v>84.1</c:v>
                </c:pt>
                <c:pt idx="5">
                  <c:v>86</c:v>
                </c:pt>
                <c:pt idx="6">
                  <c:v>73.599999999999994</c:v>
                </c:pt>
                <c:pt idx="7">
                  <c:v>73.8</c:v>
                </c:pt>
                <c:pt idx="8">
                  <c:v>77.400000000000006</c:v>
                </c:pt>
                <c:pt idx="9">
                  <c:v>70.400000000000006</c:v>
                </c:pt>
                <c:pt idx="10">
                  <c:v>77.099999999999994</c:v>
                </c:pt>
                <c:pt idx="11">
                  <c:v>75.599999999999994</c:v>
                </c:pt>
                <c:pt idx="12">
                  <c:v>126.9</c:v>
                </c:pt>
              </c:numCache>
            </c:numRef>
          </c:val>
          <c:extLst>
            <c:ext xmlns:c16="http://schemas.microsoft.com/office/drawing/2014/chart" uri="{C3380CC4-5D6E-409C-BE32-E72D297353CC}">
              <c16:uniqueId val="{00000001-62E3-443E-A17E-F88102320624}"/>
            </c:ext>
          </c:extLst>
        </c:ser>
        <c:ser>
          <c:idx val="2"/>
          <c:order val="2"/>
          <c:tx>
            <c:strRef>
              <c:f>'Regiune si judete 1'!$L$74:$P$74</c:f>
              <c:strCache>
                <c:ptCount val="1"/>
                <c:pt idx="0">
                  <c:v>2009 2010</c:v>
                </c:pt>
              </c:strCache>
            </c:strRef>
          </c:tx>
          <c:invertIfNegative val="0"/>
          <c:cat>
            <c:strRef>
              <c:f>'Regiune si judete 1'!$A$76:$A$88</c:f>
              <c:strCache>
                <c:ptCount val="13"/>
                <c:pt idx="0">
                  <c:v>România</c:v>
                </c:pt>
                <c:pt idx="1">
                  <c:v>Vest </c:v>
                </c:pt>
                <c:pt idx="2">
                  <c:v>Arad</c:v>
                </c:pt>
                <c:pt idx="3">
                  <c:v>Caraş-Severin</c:v>
                </c:pt>
                <c:pt idx="4">
                  <c:v>Hunedoara</c:v>
                </c:pt>
                <c:pt idx="5">
                  <c:v>Timiş</c:v>
                </c:pt>
                <c:pt idx="6">
                  <c:v>Sud - Est </c:v>
                </c:pt>
                <c:pt idx="7">
                  <c:v>Sud - Muntenia</c:v>
                </c:pt>
                <c:pt idx="8">
                  <c:v>Sud - Vest Oltenia</c:v>
                </c:pt>
                <c:pt idx="9">
                  <c:v>Nord - Est </c:v>
                </c:pt>
                <c:pt idx="10">
                  <c:v>Nord - Vest </c:v>
                </c:pt>
                <c:pt idx="11">
                  <c:v>Centru </c:v>
                </c:pt>
                <c:pt idx="12">
                  <c:v>Bucureşti - Ilfov</c:v>
                </c:pt>
              </c:strCache>
            </c:strRef>
          </c:cat>
          <c:val>
            <c:numRef>
              <c:f>'Regiune si judete 1'!$L$76:$L$88</c:f>
              <c:numCache>
                <c:formatCode>General</c:formatCode>
                <c:ptCount val="13"/>
                <c:pt idx="0">
                  <c:v>81.3</c:v>
                </c:pt>
                <c:pt idx="1">
                  <c:v>85.8</c:v>
                </c:pt>
                <c:pt idx="2">
                  <c:v>82.4</c:v>
                </c:pt>
                <c:pt idx="3">
                  <c:v>75.3</c:v>
                </c:pt>
                <c:pt idx="4">
                  <c:v>86.3</c:v>
                </c:pt>
                <c:pt idx="5">
                  <c:v>92.9</c:v>
                </c:pt>
                <c:pt idx="6">
                  <c:v>78.2</c:v>
                </c:pt>
                <c:pt idx="7">
                  <c:v>78.400000000000006</c:v>
                </c:pt>
                <c:pt idx="8">
                  <c:v>80</c:v>
                </c:pt>
                <c:pt idx="9">
                  <c:v>73.8</c:v>
                </c:pt>
                <c:pt idx="10">
                  <c:v>81.099999999999994</c:v>
                </c:pt>
                <c:pt idx="11">
                  <c:v>79.8</c:v>
                </c:pt>
                <c:pt idx="12">
                  <c:v>110.5</c:v>
                </c:pt>
              </c:numCache>
            </c:numRef>
          </c:val>
          <c:extLst>
            <c:ext xmlns:c16="http://schemas.microsoft.com/office/drawing/2014/chart" uri="{C3380CC4-5D6E-409C-BE32-E72D297353CC}">
              <c16:uniqueId val="{00000002-62E3-443E-A17E-F88102320624}"/>
            </c:ext>
          </c:extLst>
        </c:ser>
        <c:ser>
          <c:idx val="3"/>
          <c:order val="3"/>
          <c:tx>
            <c:strRef>
              <c:f>'Regiune si judete 1'!$Q$74:$U$74</c:f>
              <c:strCache>
                <c:ptCount val="1"/>
                <c:pt idx="0">
                  <c:v>2010 2011</c:v>
                </c:pt>
              </c:strCache>
            </c:strRef>
          </c:tx>
          <c:invertIfNegative val="0"/>
          <c:cat>
            <c:strRef>
              <c:f>'Regiune si judete 1'!$A$76:$A$88</c:f>
              <c:strCache>
                <c:ptCount val="13"/>
                <c:pt idx="0">
                  <c:v>România</c:v>
                </c:pt>
                <c:pt idx="1">
                  <c:v>Vest </c:v>
                </c:pt>
                <c:pt idx="2">
                  <c:v>Arad</c:v>
                </c:pt>
                <c:pt idx="3">
                  <c:v>Caraş-Severin</c:v>
                </c:pt>
                <c:pt idx="4">
                  <c:v>Hunedoara</c:v>
                </c:pt>
                <c:pt idx="5">
                  <c:v>Timiş</c:v>
                </c:pt>
                <c:pt idx="6">
                  <c:v>Sud - Est </c:v>
                </c:pt>
                <c:pt idx="7">
                  <c:v>Sud - Muntenia</c:v>
                </c:pt>
                <c:pt idx="8">
                  <c:v>Sud - Vest Oltenia</c:v>
                </c:pt>
                <c:pt idx="9">
                  <c:v>Nord - Est </c:v>
                </c:pt>
                <c:pt idx="10">
                  <c:v>Nord - Vest </c:v>
                </c:pt>
                <c:pt idx="11">
                  <c:v>Centru </c:v>
                </c:pt>
                <c:pt idx="12">
                  <c:v>Bucureşti - Ilfov</c:v>
                </c:pt>
              </c:strCache>
            </c:strRef>
          </c:cat>
          <c:val>
            <c:numRef>
              <c:f>'Regiune si judete 1'!$Q$76:$Q$88</c:f>
              <c:numCache>
                <c:formatCode>General</c:formatCode>
                <c:ptCount val="13"/>
                <c:pt idx="0">
                  <c:v>80.8</c:v>
                </c:pt>
                <c:pt idx="1">
                  <c:v>85.9</c:v>
                </c:pt>
                <c:pt idx="2">
                  <c:v>86.4</c:v>
                </c:pt>
                <c:pt idx="3">
                  <c:v>76</c:v>
                </c:pt>
                <c:pt idx="4">
                  <c:v>86.4</c:v>
                </c:pt>
                <c:pt idx="5">
                  <c:v>90.1</c:v>
                </c:pt>
                <c:pt idx="6">
                  <c:v>76.8</c:v>
                </c:pt>
                <c:pt idx="7">
                  <c:v>76.7</c:v>
                </c:pt>
                <c:pt idx="8">
                  <c:v>79.7</c:v>
                </c:pt>
                <c:pt idx="9">
                  <c:v>73.8</c:v>
                </c:pt>
                <c:pt idx="10">
                  <c:v>81.2</c:v>
                </c:pt>
                <c:pt idx="11">
                  <c:v>79.2</c:v>
                </c:pt>
                <c:pt idx="12">
                  <c:v>111.9</c:v>
                </c:pt>
              </c:numCache>
            </c:numRef>
          </c:val>
          <c:extLst>
            <c:ext xmlns:c16="http://schemas.microsoft.com/office/drawing/2014/chart" uri="{C3380CC4-5D6E-409C-BE32-E72D297353CC}">
              <c16:uniqueId val="{00000003-62E3-443E-A17E-F88102320624}"/>
            </c:ext>
          </c:extLst>
        </c:ser>
        <c:ser>
          <c:idx val="4"/>
          <c:order val="4"/>
          <c:tx>
            <c:strRef>
              <c:f>'Regiune si judete 1'!$V$74:$Z$74</c:f>
              <c:strCache>
                <c:ptCount val="1"/>
                <c:pt idx="0">
                  <c:v>2011 2012</c:v>
                </c:pt>
              </c:strCache>
            </c:strRef>
          </c:tx>
          <c:invertIfNegative val="0"/>
          <c:cat>
            <c:strRef>
              <c:f>'Regiune si judete 1'!$A$76:$A$88</c:f>
              <c:strCache>
                <c:ptCount val="13"/>
                <c:pt idx="0">
                  <c:v>România</c:v>
                </c:pt>
                <c:pt idx="1">
                  <c:v>Vest </c:v>
                </c:pt>
                <c:pt idx="2">
                  <c:v>Arad</c:v>
                </c:pt>
                <c:pt idx="3">
                  <c:v>Caraş-Severin</c:v>
                </c:pt>
                <c:pt idx="4">
                  <c:v>Hunedoara</c:v>
                </c:pt>
                <c:pt idx="5">
                  <c:v>Timiş</c:v>
                </c:pt>
                <c:pt idx="6">
                  <c:v>Sud - Est </c:v>
                </c:pt>
                <c:pt idx="7">
                  <c:v>Sud - Muntenia</c:v>
                </c:pt>
                <c:pt idx="8">
                  <c:v>Sud - Vest Oltenia</c:v>
                </c:pt>
                <c:pt idx="9">
                  <c:v>Nord - Est </c:v>
                </c:pt>
                <c:pt idx="10">
                  <c:v>Nord - Vest </c:v>
                </c:pt>
                <c:pt idx="11">
                  <c:v>Centru </c:v>
                </c:pt>
                <c:pt idx="12">
                  <c:v>Bucureşti - Ilfov</c:v>
                </c:pt>
              </c:strCache>
            </c:strRef>
          </c:cat>
          <c:val>
            <c:numRef>
              <c:f>'Regiune si judete 1'!$V$76:$V$88</c:f>
              <c:numCache>
                <c:formatCode>General</c:formatCode>
                <c:ptCount val="13"/>
                <c:pt idx="0">
                  <c:v>79.3</c:v>
                </c:pt>
                <c:pt idx="1">
                  <c:v>82.3</c:v>
                </c:pt>
                <c:pt idx="2">
                  <c:v>80.400000000000006</c:v>
                </c:pt>
                <c:pt idx="3">
                  <c:v>74.2</c:v>
                </c:pt>
                <c:pt idx="4">
                  <c:v>83</c:v>
                </c:pt>
                <c:pt idx="5">
                  <c:v>87.1</c:v>
                </c:pt>
                <c:pt idx="6">
                  <c:v>76.3</c:v>
                </c:pt>
                <c:pt idx="7">
                  <c:v>75.2</c:v>
                </c:pt>
                <c:pt idx="8">
                  <c:v>79</c:v>
                </c:pt>
                <c:pt idx="9">
                  <c:v>73</c:v>
                </c:pt>
                <c:pt idx="10">
                  <c:v>79.5</c:v>
                </c:pt>
                <c:pt idx="11">
                  <c:v>77.5</c:v>
                </c:pt>
                <c:pt idx="12">
                  <c:v>109.7</c:v>
                </c:pt>
              </c:numCache>
            </c:numRef>
          </c:val>
          <c:extLst>
            <c:ext xmlns:c16="http://schemas.microsoft.com/office/drawing/2014/chart" uri="{C3380CC4-5D6E-409C-BE32-E72D297353CC}">
              <c16:uniqueId val="{00000004-62E3-443E-A17E-F88102320624}"/>
            </c:ext>
          </c:extLst>
        </c:ser>
        <c:ser>
          <c:idx val="5"/>
          <c:order val="5"/>
          <c:tx>
            <c:strRef>
              <c:f>'Regiune si judete 1'!$AA$74:$AE$74</c:f>
              <c:strCache>
                <c:ptCount val="1"/>
                <c:pt idx="0">
                  <c:v>2012 2013</c:v>
                </c:pt>
              </c:strCache>
            </c:strRef>
          </c:tx>
          <c:invertIfNegative val="0"/>
          <c:cat>
            <c:strRef>
              <c:f>'Regiune si judete 1'!$A$76:$A$88</c:f>
              <c:strCache>
                <c:ptCount val="13"/>
                <c:pt idx="0">
                  <c:v>România</c:v>
                </c:pt>
                <c:pt idx="1">
                  <c:v>Vest </c:v>
                </c:pt>
                <c:pt idx="2">
                  <c:v>Arad</c:v>
                </c:pt>
                <c:pt idx="3">
                  <c:v>Caraş-Severin</c:v>
                </c:pt>
                <c:pt idx="4">
                  <c:v>Hunedoara</c:v>
                </c:pt>
                <c:pt idx="5">
                  <c:v>Timiş</c:v>
                </c:pt>
                <c:pt idx="6">
                  <c:v>Sud - Est </c:v>
                </c:pt>
                <c:pt idx="7">
                  <c:v>Sud - Muntenia</c:v>
                </c:pt>
                <c:pt idx="8">
                  <c:v>Sud - Vest Oltenia</c:v>
                </c:pt>
                <c:pt idx="9">
                  <c:v>Nord - Est </c:v>
                </c:pt>
                <c:pt idx="10">
                  <c:v>Nord - Vest </c:v>
                </c:pt>
                <c:pt idx="11">
                  <c:v>Centru </c:v>
                </c:pt>
                <c:pt idx="12">
                  <c:v>Bucureşti - Ilfov</c:v>
                </c:pt>
              </c:strCache>
            </c:strRef>
          </c:cat>
          <c:val>
            <c:numRef>
              <c:f>'Regiune si judete 1'!$AA$76:$AA$88</c:f>
              <c:numCache>
                <c:formatCode>General</c:formatCode>
                <c:ptCount val="13"/>
                <c:pt idx="0">
                  <c:v>80.400000000000006</c:v>
                </c:pt>
                <c:pt idx="1">
                  <c:v>83.6</c:v>
                </c:pt>
                <c:pt idx="2">
                  <c:v>80.7</c:v>
                </c:pt>
                <c:pt idx="3">
                  <c:v>76.400000000000006</c:v>
                </c:pt>
                <c:pt idx="4">
                  <c:v>86.1</c:v>
                </c:pt>
                <c:pt idx="5">
                  <c:v>87.3</c:v>
                </c:pt>
                <c:pt idx="6">
                  <c:v>77.5</c:v>
                </c:pt>
                <c:pt idx="7">
                  <c:v>75.7</c:v>
                </c:pt>
                <c:pt idx="8">
                  <c:v>79.8</c:v>
                </c:pt>
                <c:pt idx="9">
                  <c:v>74.099999999999994</c:v>
                </c:pt>
                <c:pt idx="10">
                  <c:v>80.2</c:v>
                </c:pt>
                <c:pt idx="11">
                  <c:v>78.900000000000006</c:v>
                </c:pt>
                <c:pt idx="12">
                  <c:v>112.8</c:v>
                </c:pt>
              </c:numCache>
            </c:numRef>
          </c:val>
          <c:extLst>
            <c:ext xmlns:c16="http://schemas.microsoft.com/office/drawing/2014/chart" uri="{C3380CC4-5D6E-409C-BE32-E72D297353CC}">
              <c16:uniqueId val="{00000005-62E3-443E-A17E-F88102320624}"/>
            </c:ext>
          </c:extLst>
        </c:ser>
        <c:ser>
          <c:idx val="6"/>
          <c:order val="6"/>
          <c:tx>
            <c:strRef>
              <c:f>'Regiune si judete 1'!$AF$74:$AJ$74</c:f>
              <c:strCache>
                <c:ptCount val="1"/>
                <c:pt idx="0">
                  <c:v>2013 2014</c:v>
                </c:pt>
              </c:strCache>
            </c:strRef>
          </c:tx>
          <c:invertIfNegative val="0"/>
          <c:cat>
            <c:strRef>
              <c:f>'Regiune si judete 1'!$A$76:$A$88</c:f>
              <c:strCache>
                <c:ptCount val="13"/>
                <c:pt idx="0">
                  <c:v>România</c:v>
                </c:pt>
                <c:pt idx="1">
                  <c:v>Vest </c:v>
                </c:pt>
                <c:pt idx="2">
                  <c:v>Arad</c:v>
                </c:pt>
                <c:pt idx="3">
                  <c:v>Caraş-Severin</c:v>
                </c:pt>
                <c:pt idx="4">
                  <c:v>Hunedoara</c:v>
                </c:pt>
                <c:pt idx="5">
                  <c:v>Timiş</c:v>
                </c:pt>
                <c:pt idx="6">
                  <c:v>Sud - Est </c:v>
                </c:pt>
                <c:pt idx="7">
                  <c:v>Sud - Muntenia</c:v>
                </c:pt>
                <c:pt idx="8">
                  <c:v>Sud - Vest Oltenia</c:v>
                </c:pt>
                <c:pt idx="9">
                  <c:v>Nord - Est </c:v>
                </c:pt>
                <c:pt idx="10">
                  <c:v>Nord - Vest </c:v>
                </c:pt>
                <c:pt idx="11">
                  <c:v>Centru </c:v>
                </c:pt>
                <c:pt idx="12">
                  <c:v>Bucureşti - Ilfov</c:v>
                </c:pt>
              </c:strCache>
            </c:strRef>
          </c:cat>
          <c:val>
            <c:numRef>
              <c:f>'Regiune si judete 1'!$AF$76:$AF$88</c:f>
              <c:numCache>
                <c:formatCode>General</c:formatCode>
                <c:ptCount val="13"/>
                <c:pt idx="0">
                  <c:v>80.3</c:v>
                </c:pt>
                <c:pt idx="1">
                  <c:v>83.5</c:v>
                </c:pt>
                <c:pt idx="2">
                  <c:v>77.8</c:v>
                </c:pt>
                <c:pt idx="3">
                  <c:v>77.5</c:v>
                </c:pt>
                <c:pt idx="4">
                  <c:v>86.7</c:v>
                </c:pt>
                <c:pt idx="5">
                  <c:v>88.3</c:v>
                </c:pt>
                <c:pt idx="6">
                  <c:v>76.599999999999994</c:v>
                </c:pt>
                <c:pt idx="7">
                  <c:v>75.599999999999994</c:v>
                </c:pt>
                <c:pt idx="8">
                  <c:v>80.2</c:v>
                </c:pt>
                <c:pt idx="9">
                  <c:v>74.099999999999994</c:v>
                </c:pt>
                <c:pt idx="10">
                  <c:v>81.099999999999994</c:v>
                </c:pt>
                <c:pt idx="11">
                  <c:v>78.5</c:v>
                </c:pt>
                <c:pt idx="12">
                  <c:v>110.8</c:v>
                </c:pt>
              </c:numCache>
            </c:numRef>
          </c:val>
          <c:extLst>
            <c:ext xmlns:c16="http://schemas.microsoft.com/office/drawing/2014/chart" uri="{C3380CC4-5D6E-409C-BE32-E72D297353CC}">
              <c16:uniqueId val="{00000006-62E3-443E-A17E-F88102320624}"/>
            </c:ext>
          </c:extLst>
        </c:ser>
        <c:ser>
          <c:idx val="7"/>
          <c:order val="7"/>
          <c:tx>
            <c:strRef>
              <c:f>'Regiune si judete 1'!$AK$74:$AO$74</c:f>
              <c:strCache>
                <c:ptCount val="1"/>
                <c:pt idx="0">
                  <c:v>2014 2015</c:v>
                </c:pt>
              </c:strCache>
            </c:strRef>
          </c:tx>
          <c:invertIfNegative val="0"/>
          <c:cat>
            <c:strRef>
              <c:f>'Regiune si judete 1'!$A$76:$A$88</c:f>
              <c:strCache>
                <c:ptCount val="13"/>
                <c:pt idx="0">
                  <c:v>România</c:v>
                </c:pt>
                <c:pt idx="1">
                  <c:v>Vest </c:v>
                </c:pt>
                <c:pt idx="2">
                  <c:v>Arad</c:v>
                </c:pt>
                <c:pt idx="3">
                  <c:v>Caraş-Severin</c:v>
                </c:pt>
                <c:pt idx="4">
                  <c:v>Hunedoara</c:v>
                </c:pt>
                <c:pt idx="5">
                  <c:v>Timiş</c:v>
                </c:pt>
                <c:pt idx="6">
                  <c:v>Sud - Est </c:v>
                </c:pt>
                <c:pt idx="7">
                  <c:v>Sud - Muntenia</c:v>
                </c:pt>
                <c:pt idx="8">
                  <c:v>Sud - Vest Oltenia</c:v>
                </c:pt>
                <c:pt idx="9">
                  <c:v>Nord - Est </c:v>
                </c:pt>
                <c:pt idx="10">
                  <c:v>Nord - Vest </c:v>
                </c:pt>
                <c:pt idx="11">
                  <c:v>Centru </c:v>
                </c:pt>
                <c:pt idx="12">
                  <c:v>Bucureşti - Ilfov</c:v>
                </c:pt>
              </c:strCache>
            </c:strRef>
          </c:cat>
          <c:val>
            <c:numRef>
              <c:f>'Regiune si judete 1'!$AK$76:$AK$88</c:f>
              <c:numCache>
                <c:formatCode>General</c:formatCode>
                <c:ptCount val="13"/>
                <c:pt idx="0">
                  <c:v>80.2</c:v>
                </c:pt>
                <c:pt idx="1">
                  <c:v>83.9</c:v>
                </c:pt>
                <c:pt idx="2">
                  <c:v>77.400000000000006</c:v>
                </c:pt>
                <c:pt idx="3">
                  <c:v>76.599999999999994</c:v>
                </c:pt>
                <c:pt idx="4">
                  <c:v>87.7</c:v>
                </c:pt>
                <c:pt idx="5">
                  <c:v>89.6</c:v>
                </c:pt>
                <c:pt idx="6">
                  <c:v>77</c:v>
                </c:pt>
                <c:pt idx="7">
                  <c:v>74.7</c:v>
                </c:pt>
                <c:pt idx="8">
                  <c:v>80.8</c:v>
                </c:pt>
                <c:pt idx="9">
                  <c:v>76.7</c:v>
                </c:pt>
                <c:pt idx="10">
                  <c:v>79.2</c:v>
                </c:pt>
                <c:pt idx="11">
                  <c:v>78.099999999999994</c:v>
                </c:pt>
                <c:pt idx="12">
                  <c:v>105.7</c:v>
                </c:pt>
              </c:numCache>
            </c:numRef>
          </c:val>
          <c:extLst>
            <c:ext xmlns:c16="http://schemas.microsoft.com/office/drawing/2014/chart" uri="{C3380CC4-5D6E-409C-BE32-E72D297353CC}">
              <c16:uniqueId val="{00000007-62E3-443E-A17E-F88102320624}"/>
            </c:ext>
          </c:extLst>
        </c:ser>
        <c:ser>
          <c:idx val="8"/>
          <c:order val="8"/>
          <c:tx>
            <c:strRef>
              <c:f>'Regiune si judete 1'!$AP$74:$AT$74</c:f>
              <c:strCache>
                <c:ptCount val="1"/>
                <c:pt idx="0">
                  <c:v>2015 2016</c:v>
                </c:pt>
              </c:strCache>
            </c:strRef>
          </c:tx>
          <c:invertIfNegative val="0"/>
          <c:cat>
            <c:strRef>
              <c:f>'Regiune si judete 1'!$A$76:$A$88</c:f>
              <c:strCache>
                <c:ptCount val="13"/>
                <c:pt idx="0">
                  <c:v>România</c:v>
                </c:pt>
                <c:pt idx="1">
                  <c:v>Vest </c:v>
                </c:pt>
                <c:pt idx="2">
                  <c:v>Arad</c:v>
                </c:pt>
                <c:pt idx="3">
                  <c:v>Caraş-Severin</c:v>
                </c:pt>
                <c:pt idx="4">
                  <c:v>Hunedoara</c:v>
                </c:pt>
                <c:pt idx="5">
                  <c:v>Timiş</c:v>
                </c:pt>
                <c:pt idx="6">
                  <c:v>Sud - Est </c:v>
                </c:pt>
                <c:pt idx="7">
                  <c:v>Sud - Muntenia</c:v>
                </c:pt>
                <c:pt idx="8">
                  <c:v>Sud - Vest Oltenia</c:v>
                </c:pt>
                <c:pt idx="9">
                  <c:v>Nord - Est </c:v>
                </c:pt>
                <c:pt idx="10">
                  <c:v>Nord - Vest </c:v>
                </c:pt>
                <c:pt idx="11">
                  <c:v>Centru </c:v>
                </c:pt>
                <c:pt idx="12">
                  <c:v>Bucureşti - Ilfov</c:v>
                </c:pt>
              </c:strCache>
            </c:strRef>
          </c:cat>
          <c:val>
            <c:numRef>
              <c:f>'Regiune si judete 1'!$AP$76:$AP$88</c:f>
              <c:numCache>
                <c:formatCode>General</c:formatCode>
                <c:ptCount val="13"/>
                <c:pt idx="0">
                  <c:v>78.2</c:v>
                </c:pt>
                <c:pt idx="1">
                  <c:v>79.900000000000006</c:v>
                </c:pt>
                <c:pt idx="2">
                  <c:v>73.7</c:v>
                </c:pt>
                <c:pt idx="3">
                  <c:v>71.3</c:v>
                </c:pt>
                <c:pt idx="4">
                  <c:v>85.2</c:v>
                </c:pt>
                <c:pt idx="5">
                  <c:v>85.3</c:v>
                </c:pt>
                <c:pt idx="6">
                  <c:v>75.099999999999994</c:v>
                </c:pt>
                <c:pt idx="7">
                  <c:v>71.099999999999994</c:v>
                </c:pt>
                <c:pt idx="8">
                  <c:v>77.3</c:v>
                </c:pt>
                <c:pt idx="9">
                  <c:v>74.599999999999994</c:v>
                </c:pt>
                <c:pt idx="10">
                  <c:v>78.5</c:v>
                </c:pt>
                <c:pt idx="11">
                  <c:v>77.3</c:v>
                </c:pt>
                <c:pt idx="12">
                  <c:v>106.6</c:v>
                </c:pt>
              </c:numCache>
            </c:numRef>
          </c:val>
          <c:extLst>
            <c:ext xmlns:c16="http://schemas.microsoft.com/office/drawing/2014/chart" uri="{C3380CC4-5D6E-409C-BE32-E72D297353CC}">
              <c16:uniqueId val="{00000008-62E3-443E-A17E-F88102320624}"/>
            </c:ext>
          </c:extLst>
        </c:ser>
        <c:dLbls>
          <c:showLegendKey val="0"/>
          <c:showVal val="0"/>
          <c:showCatName val="0"/>
          <c:showSerName val="0"/>
          <c:showPercent val="0"/>
          <c:showBubbleSize val="0"/>
        </c:dLbls>
        <c:gapWidth val="150"/>
        <c:axId val="135185920"/>
        <c:axId val="135187456"/>
      </c:barChart>
      <c:catAx>
        <c:axId val="135185920"/>
        <c:scaling>
          <c:orientation val="minMax"/>
        </c:scaling>
        <c:delete val="0"/>
        <c:axPos val="b"/>
        <c:numFmt formatCode="General" sourceLinked="1"/>
        <c:majorTickMark val="none"/>
        <c:minorTickMark val="none"/>
        <c:tickLblPos val="nextTo"/>
        <c:txPr>
          <a:bodyPr/>
          <a:lstStyle/>
          <a:p>
            <a:pPr>
              <a:defRPr sz="800"/>
            </a:pPr>
            <a:endParaRPr lang="en-US"/>
          </a:p>
        </c:txPr>
        <c:crossAx val="135187456"/>
        <c:crosses val="autoZero"/>
        <c:auto val="1"/>
        <c:lblAlgn val="ctr"/>
        <c:lblOffset val="100"/>
        <c:noMultiLvlLbl val="0"/>
      </c:catAx>
      <c:valAx>
        <c:axId val="135187456"/>
        <c:scaling>
          <c:orientation val="minMax"/>
        </c:scaling>
        <c:delete val="0"/>
        <c:axPos val="l"/>
        <c:majorGridlines/>
        <c:numFmt formatCode="General" sourceLinked="1"/>
        <c:majorTickMark val="none"/>
        <c:minorTickMark val="none"/>
        <c:tickLblPos val="nextTo"/>
        <c:crossAx val="135185920"/>
        <c:crosses val="autoZero"/>
        <c:crossBetween val="between"/>
      </c:valAx>
    </c:plotArea>
    <c:legend>
      <c:legendPos val="r"/>
      <c:overlay val="0"/>
      <c:txPr>
        <a:bodyPr/>
        <a:lstStyle/>
        <a:p>
          <a:pPr>
            <a:defRPr sz="800"/>
          </a:pPr>
          <a:endParaRPr lang="en-US"/>
        </a:p>
      </c:txPr>
    </c:legend>
    <c:plotVisOnly val="1"/>
    <c:dispBlanksAs val="gap"/>
    <c:showDLblsOverMax val="0"/>
  </c:chart>
  <c:spPr>
    <a:ln>
      <a:solidFill>
        <a:schemeClr val="accent1"/>
      </a:solidFill>
    </a:ln>
  </c:sp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sz="1100">
                <a:latin typeface="Arial" pitchFamily="34" charset="0"/>
                <a:cs typeface="Arial" pitchFamily="34" charset="0"/>
              </a:defRPr>
            </a:pPr>
            <a:r>
              <a:rPr lang="ro-RO" sz="1100">
                <a:latin typeface="Arial" pitchFamily="34" charset="0"/>
                <a:cs typeface="Arial" pitchFamily="34" charset="0"/>
              </a:rPr>
              <a:t>Evoluţia Ratei de cuprindere în învăţământul obligatoriu</a:t>
            </a:r>
          </a:p>
          <a:p>
            <a:pPr>
              <a:defRPr sz="1100">
                <a:latin typeface="Arial" pitchFamily="34" charset="0"/>
                <a:cs typeface="Arial" pitchFamily="34" charset="0"/>
              </a:defRPr>
            </a:pPr>
            <a:r>
              <a:rPr lang="ro-RO" sz="1100">
                <a:latin typeface="Arial" pitchFamily="34" charset="0"/>
                <a:cs typeface="Arial" pitchFamily="34" charset="0"/>
              </a:rPr>
              <a:t>total</a:t>
            </a:r>
            <a:endParaRPr lang="vi-VN" sz="1100">
              <a:latin typeface="Arial" pitchFamily="34" charset="0"/>
              <a:cs typeface="Arial" pitchFamily="34" charset="0"/>
            </a:endParaRPr>
          </a:p>
        </c:rich>
      </c:tx>
      <c:overlay val="0"/>
    </c:title>
    <c:autoTitleDeleted val="0"/>
    <c:plotArea>
      <c:layout/>
      <c:barChart>
        <c:barDir val="col"/>
        <c:grouping val="clustered"/>
        <c:varyColors val="0"/>
        <c:ser>
          <c:idx val="0"/>
          <c:order val="0"/>
          <c:tx>
            <c:strRef>
              <c:f>Regiuni!$B$34:$F$34</c:f>
              <c:strCache>
                <c:ptCount val="1"/>
                <c:pt idx="0">
                  <c:v>2007 2008</c:v>
                </c:pt>
              </c:strCache>
            </c:strRef>
          </c:tx>
          <c:invertIfNegative val="0"/>
          <c:cat>
            <c:strRef>
              <c:f>Regiuni!$A$36:$A$44</c:f>
              <c:strCache>
                <c:ptCount val="9"/>
                <c:pt idx="0">
                  <c:v>România</c:v>
                </c:pt>
                <c:pt idx="1">
                  <c:v>Nord - Est </c:v>
                </c:pt>
                <c:pt idx="2">
                  <c:v>Sud - Est </c:v>
                </c:pt>
                <c:pt idx="3">
                  <c:v>Sud - Muntenia</c:v>
                </c:pt>
                <c:pt idx="4">
                  <c:v>Sud - Vest Oltenia</c:v>
                </c:pt>
                <c:pt idx="5">
                  <c:v>Vest </c:v>
                </c:pt>
                <c:pt idx="6">
                  <c:v>Nord - Vest </c:v>
                </c:pt>
                <c:pt idx="7">
                  <c:v>Centru </c:v>
                </c:pt>
                <c:pt idx="8">
                  <c:v>Bucureşti - Ilfov</c:v>
                </c:pt>
              </c:strCache>
            </c:strRef>
          </c:cat>
          <c:val>
            <c:numRef>
              <c:f>Regiuni!$B$36:$B$44</c:f>
              <c:numCache>
                <c:formatCode>General</c:formatCode>
                <c:ptCount val="9"/>
                <c:pt idx="0">
                  <c:v>84.9</c:v>
                </c:pt>
                <c:pt idx="1">
                  <c:v>83.7</c:v>
                </c:pt>
                <c:pt idx="2">
                  <c:v>84.3</c:v>
                </c:pt>
                <c:pt idx="3">
                  <c:v>86.5</c:v>
                </c:pt>
                <c:pt idx="4">
                  <c:v>85.6</c:v>
                </c:pt>
                <c:pt idx="5">
                  <c:v>83.7</c:v>
                </c:pt>
                <c:pt idx="6">
                  <c:v>83.4</c:v>
                </c:pt>
                <c:pt idx="7">
                  <c:v>82.9</c:v>
                </c:pt>
                <c:pt idx="8">
                  <c:v>91.3</c:v>
                </c:pt>
              </c:numCache>
            </c:numRef>
          </c:val>
          <c:extLst>
            <c:ext xmlns:c16="http://schemas.microsoft.com/office/drawing/2014/chart" uri="{C3380CC4-5D6E-409C-BE32-E72D297353CC}">
              <c16:uniqueId val="{00000000-C05F-4916-BA9E-99328AEB386D}"/>
            </c:ext>
          </c:extLst>
        </c:ser>
        <c:ser>
          <c:idx val="1"/>
          <c:order val="1"/>
          <c:tx>
            <c:strRef>
              <c:f>Regiuni!$G$34:$K$34</c:f>
              <c:strCache>
                <c:ptCount val="1"/>
                <c:pt idx="0">
                  <c:v>2008 2009</c:v>
                </c:pt>
              </c:strCache>
            </c:strRef>
          </c:tx>
          <c:invertIfNegative val="0"/>
          <c:cat>
            <c:strRef>
              <c:f>Regiuni!$A$36:$A$44</c:f>
              <c:strCache>
                <c:ptCount val="9"/>
                <c:pt idx="0">
                  <c:v>România</c:v>
                </c:pt>
                <c:pt idx="1">
                  <c:v>Nord - Est </c:v>
                </c:pt>
                <c:pt idx="2">
                  <c:v>Sud - Est </c:v>
                </c:pt>
                <c:pt idx="3">
                  <c:v>Sud - Muntenia</c:v>
                </c:pt>
                <c:pt idx="4">
                  <c:v>Sud - Vest Oltenia</c:v>
                </c:pt>
                <c:pt idx="5">
                  <c:v>Vest </c:v>
                </c:pt>
                <c:pt idx="6">
                  <c:v>Nord - Vest </c:v>
                </c:pt>
                <c:pt idx="7">
                  <c:v>Centru </c:v>
                </c:pt>
                <c:pt idx="8">
                  <c:v>Bucureşti - Ilfov</c:v>
                </c:pt>
              </c:strCache>
            </c:strRef>
          </c:cat>
          <c:val>
            <c:numRef>
              <c:f>Regiuni!$G$36:$G$44</c:f>
              <c:numCache>
                <c:formatCode>General</c:formatCode>
                <c:ptCount val="9"/>
                <c:pt idx="0">
                  <c:v>84.7</c:v>
                </c:pt>
                <c:pt idx="1">
                  <c:v>83.3</c:v>
                </c:pt>
                <c:pt idx="2">
                  <c:v>84</c:v>
                </c:pt>
                <c:pt idx="3">
                  <c:v>85.9</c:v>
                </c:pt>
                <c:pt idx="4">
                  <c:v>85.2</c:v>
                </c:pt>
                <c:pt idx="5">
                  <c:v>84.1</c:v>
                </c:pt>
                <c:pt idx="6">
                  <c:v>84</c:v>
                </c:pt>
                <c:pt idx="7">
                  <c:v>83</c:v>
                </c:pt>
                <c:pt idx="8">
                  <c:v>91.3</c:v>
                </c:pt>
              </c:numCache>
            </c:numRef>
          </c:val>
          <c:extLst>
            <c:ext xmlns:c16="http://schemas.microsoft.com/office/drawing/2014/chart" uri="{C3380CC4-5D6E-409C-BE32-E72D297353CC}">
              <c16:uniqueId val="{00000001-C05F-4916-BA9E-99328AEB386D}"/>
            </c:ext>
          </c:extLst>
        </c:ser>
        <c:ser>
          <c:idx val="2"/>
          <c:order val="2"/>
          <c:tx>
            <c:strRef>
              <c:f>Regiuni!$L$34:$P$34</c:f>
              <c:strCache>
                <c:ptCount val="1"/>
                <c:pt idx="0">
                  <c:v>2009 2010</c:v>
                </c:pt>
              </c:strCache>
            </c:strRef>
          </c:tx>
          <c:invertIfNegative val="0"/>
          <c:cat>
            <c:strRef>
              <c:f>Regiuni!$A$36:$A$44</c:f>
              <c:strCache>
                <c:ptCount val="9"/>
                <c:pt idx="0">
                  <c:v>România</c:v>
                </c:pt>
                <c:pt idx="1">
                  <c:v>Nord - Est </c:v>
                </c:pt>
                <c:pt idx="2">
                  <c:v>Sud - Est </c:v>
                </c:pt>
                <c:pt idx="3">
                  <c:v>Sud - Muntenia</c:v>
                </c:pt>
                <c:pt idx="4">
                  <c:v>Sud - Vest Oltenia</c:v>
                </c:pt>
                <c:pt idx="5">
                  <c:v>Vest </c:v>
                </c:pt>
                <c:pt idx="6">
                  <c:v>Nord - Vest </c:v>
                </c:pt>
                <c:pt idx="7">
                  <c:v>Centru </c:v>
                </c:pt>
                <c:pt idx="8">
                  <c:v>Bucureşti - Ilfov</c:v>
                </c:pt>
              </c:strCache>
            </c:strRef>
          </c:cat>
          <c:val>
            <c:numRef>
              <c:f>Regiuni!$L$36:$L$44</c:f>
              <c:numCache>
                <c:formatCode>General</c:formatCode>
                <c:ptCount val="9"/>
                <c:pt idx="0">
                  <c:v>85</c:v>
                </c:pt>
                <c:pt idx="1">
                  <c:v>83.2</c:v>
                </c:pt>
                <c:pt idx="2">
                  <c:v>84.4</c:v>
                </c:pt>
                <c:pt idx="3">
                  <c:v>86</c:v>
                </c:pt>
                <c:pt idx="4">
                  <c:v>85.2</c:v>
                </c:pt>
                <c:pt idx="5">
                  <c:v>84.9</c:v>
                </c:pt>
                <c:pt idx="6">
                  <c:v>84.6</c:v>
                </c:pt>
                <c:pt idx="7">
                  <c:v>83.5</c:v>
                </c:pt>
                <c:pt idx="8">
                  <c:v>92.4</c:v>
                </c:pt>
              </c:numCache>
            </c:numRef>
          </c:val>
          <c:extLst>
            <c:ext xmlns:c16="http://schemas.microsoft.com/office/drawing/2014/chart" uri="{C3380CC4-5D6E-409C-BE32-E72D297353CC}">
              <c16:uniqueId val="{00000002-C05F-4916-BA9E-99328AEB386D}"/>
            </c:ext>
          </c:extLst>
        </c:ser>
        <c:ser>
          <c:idx val="3"/>
          <c:order val="3"/>
          <c:tx>
            <c:strRef>
              <c:f>Regiuni!$Q$34:$U$34</c:f>
              <c:strCache>
                <c:ptCount val="1"/>
                <c:pt idx="0">
                  <c:v>2010 2011</c:v>
                </c:pt>
              </c:strCache>
            </c:strRef>
          </c:tx>
          <c:invertIfNegative val="0"/>
          <c:cat>
            <c:strRef>
              <c:f>Regiuni!$A$36:$A$44</c:f>
              <c:strCache>
                <c:ptCount val="9"/>
                <c:pt idx="0">
                  <c:v>România</c:v>
                </c:pt>
                <c:pt idx="1">
                  <c:v>Nord - Est </c:v>
                </c:pt>
                <c:pt idx="2">
                  <c:v>Sud - Est </c:v>
                </c:pt>
                <c:pt idx="3">
                  <c:v>Sud - Muntenia</c:v>
                </c:pt>
                <c:pt idx="4">
                  <c:v>Sud - Vest Oltenia</c:v>
                </c:pt>
                <c:pt idx="5">
                  <c:v>Vest </c:v>
                </c:pt>
                <c:pt idx="6">
                  <c:v>Nord - Vest </c:v>
                </c:pt>
                <c:pt idx="7">
                  <c:v>Centru </c:v>
                </c:pt>
                <c:pt idx="8">
                  <c:v>Bucureşti - Ilfov</c:v>
                </c:pt>
              </c:strCache>
            </c:strRef>
          </c:cat>
          <c:val>
            <c:numRef>
              <c:f>Regiuni!$Q$36:$Q$44</c:f>
              <c:numCache>
                <c:formatCode>General</c:formatCode>
                <c:ptCount val="9"/>
                <c:pt idx="0">
                  <c:v>85</c:v>
                </c:pt>
                <c:pt idx="1">
                  <c:v>82.4</c:v>
                </c:pt>
                <c:pt idx="2">
                  <c:v>84.1</c:v>
                </c:pt>
                <c:pt idx="3">
                  <c:v>85.7</c:v>
                </c:pt>
                <c:pt idx="4">
                  <c:v>85.5</c:v>
                </c:pt>
                <c:pt idx="5">
                  <c:v>86</c:v>
                </c:pt>
                <c:pt idx="6">
                  <c:v>84.3</c:v>
                </c:pt>
                <c:pt idx="7">
                  <c:v>84.1</c:v>
                </c:pt>
                <c:pt idx="8">
                  <c:v>93.2</c:v>
                </c:pt>
              </c:numCache>
            </c:numRef>
          </c:val>
          <c:extLst>
            <c:ext xmlns:c16="http://schemas.microsoft.com/office/drawing/2014/chart" uri="{C3380CC4-5D6E-409C-BE32-E72D297353CC}">
              <c16:uniqueId val="{00000003-C05F-4916-BA9E-99328AEB386D}"/>
            </c:ext>
          </c:extLst>
        </c:ser>
        <c:ser>
          <c:idx val="4"/>
          <c:order val="4"/>
          <c:tx>
            <c:strRef>
              <c:f>Regiuni!$V$34:$Z$34</c:f>
              <c:strCache>
                <c:ptCount val="1"/>
                <c:pt idx="0">
                  <c:v>2011 2012</c:v>
                </c:pt>
              </c:strCache>
            </c:strRef>
          </c:tx>
          <c:invertIfNegative val="0"/>
          <c:cat>
            <c:strRef>
              <c:f>Regiuni!$A$36:$A$44</c:f>
              <c:strCache>
                <c:ptCount val="9"/>
                <c:pt idx="0">
                  <c:v>România</c:v>
                </c:pt>
                <c:pt idx="1">
                  <c:v>Nord - Est </c:v>
                </c:pt>
                <c:pt idx="2">
                  <c:v>Sud - Est </c:v>
                </c:pt>
                <c:pt idx="3">
                  <c:v>Sud - Muntenia</c:v>
                </c:pt>
                <c:pt idx="4">
                  <c:v>Sud - Vest Oltenia</c:v>
                </c:pt>
                <c:pt idx="5">
                  <c:v>Vest </c:v>
                </c:pt>
                <c:pt idx="6">
                  <c:v>Nord - Vest </c:v>
                </c:pt>
                <c:pt idx="7">
                  <c:v>Centru </c:v>
                </c:pt>
                <c:pt idx="8">
                  <c:v>Bucureşti - Ilfov</c:v>
                </c:pt>
              </c:strCache>
            </c:strRef>
          </c:cat>
          <c:val>
            <c:numRef>
              <c:f>Regiuni!$V$36:$V$44</c:f>
              <c:numCache>
                <c:formatCode>General</c:formatCode>
                <c:ptCount val="9"/>
                <c:pt idx="0">
                  <c:v>82.6</c:v>
                </c:pt>
                <c:pt idx="1">
                  <c:v>79.599999999999994</c:v>
                </c:pt>
                <c:pt idx="2">
                  <c:v>81.7</c:v>
                </c:pt>
                <c:pt idx="3">
                  <c:v>82.8</c:v>
                </c:pt>
                <c:pt idx="4">
                  <c:v>82.7</c:v>
                </c:pt>
                <c:pt idx="5">
                  <c:v>83.3</c:v>
                </c:pt>
                <c:pt idx="6">
                  <c:v>82.3</c:v>
                </c:pt>
                <c:pt idx="7">
                  <c:v>82.5</c:v>
                </c:pt>
                <c:pt idx="8">
                  <c:v>92</c:v>
                </c:pt>
              </c:numCache>
            </c:numRef>
          </c:val>
          <c:extLst>
            <c:ext xmlns:c16="http://schemas.microsoft.com/office/drawing/2014/chart" uri="{C3380CC4-5D6E-409C-BE32-E72D297353CC}">
              <c16:uniqueId val="{00000004-C05F-4916-BA9E-99328AEB386D}"/>
            </c:ext>
          </c:extLst>
        </c:ser>
        <c:ser>
          <c:idx val="5"/>
          <c:order val="5"/>
          <c:tx>
            <c:strRef>
              <c:f>Regiuni!$AA$34:$AE$34</c:f>
              <c:strCache>
                <c:ptCount val="1"/>
                <c:pt idx="0">
                  <c:v>2012 2013</c:v>
                </c:pt>
              </c:strCache>
            </c:strRef>
          </c:tx>
          <c:invertIfNegative val="0"/>
          <c:cat>
            <c:strRef>
              <c:f>Regiuni!$A$36:$A$44</c:f>
              <c:strCache>
                <c:ptCount val="9"/>
                <c:pt idx="0">
                  <c:v>România</c:v>
                </c:pt>
                <c:pt idx="1">
                  <c:v>Nord - Est </c:v>
                </c:pt>
                <c:pt idx="2">
                  <c:v>Sud - Est </c:v>
                </c:pt>
                <c:pt idx="3">
                  <c:v>Sud - Muntenia</c:v>
                </c:pt>
                <c:pt idx="4">
                  <c:v>Sud - Vest Oltenia</c:v>
                </c:pt>
                <c:pt idx="5">
                  <c:v>Vest </c:v>
                </c:pt>
                <c:pt idx="6">
                  <c:v>Nord - Vest </c:v>
                </c:pt>
                <c:pt idx="7">
                  <c:v>Centru </c:v>
                </c:pt>
                <c:pt idx="8">
                  <c:v>Bucureşti - Ilfov</c:v>
                </c:pt>
              </c:strCache>
            </c:strRef>
          </c:cat>
          <c:val>
            <c:numRef>
              <c:f>Regiuni!$AA$36:$AA$44</c:f>
              <c:numCache>
                <c:formatCode>General</c:formatCode>
                <c:ptCount val="9"/>
                <c:pt idx="0">
                  <c:v>83.4</c:v>
                </c:pt>
                <c:pt idx="1">
                  <c:v>80.5</c:v>
                </c:pt>
                <c:pt idx="2">
                  <c:v>82.5</c:v>
                </c:pt>
                <c:pt idx="3">
                  <c:v>84</c:v>
                </c:pt>
                <c:pt idx="4">
                  <c:v>83.3</c:v>
                </c:pt>
                <c:pt idx="5">
                  <c:v>84.1</c:v>
                </c:pt>
                <c:pt idx="6">
                  <c:v>83</c:v>
                </c:pt>
                <c:pt idx="7">
                  <c:v>82.9</c:v>
                </c:pt>
                <c:pt idx="8">
                  <c:v>91.7</c:v>
                </c:pt>
              </c:numCache>
            </c:numRef>
          </c:val>
          <c:extLst>
            <c:ext xmlns:c16="http://schemas.microsoft.com/office/drawing/2014/chart" uri="{C3380CC4-5D6E-409C-BE32-E72D297353CC}">
              <c16:uniqueId val="{00000005-C05F-4916-BA9E-99328AEB386D}"/>
            </c:ext>
          </c:extLst>
        </c:ser>
        <c:ser>
          <c:idx val="6"/>
          <c:order val="6"/>
          <c:tx>
            <c:strRef>
              <c:f>Regiuni!$AF$34:$AJ$34</c:f>
              <c:strCache>
                <c:ptCount val="1"/>
                <c:pt idx="0">
                  <c:v>2013 2014</c:v>
                </c:pt>
              </c:strCache>
            </c:strRef>
          </c:tx>
          <c:invertIfNegative val="0"/>
          <c:cat>
            <c:strRef>
              <c:f>Regiuni!$A$36:$A$44</c:f>
              <c:strCache>
                <c:ptCount val="9"/>
                <c:pt idx="0">
                  <c:v>România</c:v>
                </c:pt>
                <c:pt idx="1">
                  <c:v>Nord - Est </c:v>
                </c:pt>
                <c:pt idx="2">
                  <c:v>Sud - Est </c:v>
                </c:pt>
                <c:pt idx="3">
                  <c:v>Sud - Muntenia</c:v>
                </c:pt>
                <c:pt idx="4">
                  <c:v>Sud - Vest Oltenia</c:v>
                </c:pt>
                <c:pt idx="5">
                  <c:v>Vest </c:v>
                </c:pt>
                <c:pt idx="6">
                  <c:v>Nord - Vest </c:v>
                </c:pt>
                <c:pt idx="7">
                  <c:v>Centru </c:v>
                </c:pt>
                <c:pt idx="8">
                  <c:v>Bucureşti - Ilfov</c:v>
                </c:pt>
              </c:strCache>
            </c:strRef>
          </c:cat>
          <c:val>
            <c:numRef>
              <c:f>Regiuni!$AF$36:$AF$44</c:f>
              <c:numCache>
                <c:formatCode>General</c:formatCode>
                <c:ptCount val="9"/>
                <c:pt idx="0">
                  <c:v>81.900000000000006</c:v>
                </c:pt>
                <c:pt idx="1">
                  <c:v>78.7</c:v>
                </c:pt>
                <c:pt idx="2">
                  <c:v>80.7</c:v>
                </c:pt>
                <c:pt idx="3">
                  <c:v>82.9</c:v>
                </c:pt>
                <c:pt idx="4">
                  <c:v>81.7</c:v>
                </c:pt>
                <c:pt idx="5">
                  <c:v>81.900000000000006</c:v>
                </c:pt>
                <c:pt idx="6">
                  <c:v>81.3</c:v>
                </c:pt>
                <c:pt idx="7">
                  <c:v>81.900000000000006</c:v>
                </c:pt>
                <c:pt idx="8">
                  <c:v>90.8</c:v>
                </c:pt>
              </c:numCache>
            </c:numRef>
          </c:val>
          <c:extLst>
            <c:ext xmlns:c16="http://schemas.microsoft.com/office/drawing/2014/chart" uri="{C3380CC4-5D6E-409C-BE32-E72D297353CC}">
              <c16:uniqueId val="{00000006-C05F-4916-BA9E-99328AEB386D}"/>
            </c:ext>
          </c:extLst>
        </c:ser>
        <c:ser>
          <c:idx val="7"/>
          <c:order val="7"/>
          <c:tx>
            <c:strRef>
              <c:f>Regiuni!$AK$34:$AO$34</c:f>
              <c:strCache>
                <c:ptCount val="1"/>
                <c:pt idx="0">
                  <c:v>2014 2015</c:v>
                </c:pt>
              </c:strCache>
            </c:strRef>
          </c:tx>
          <c:invertIfNegative val="0"/>
          <c:val>
            <c:numRef>
              <c:f>Regiuni!$AK$36:$AK$44</c:f>
              <c:numCache>
                <c:formatCode>General</c:formatCode>
                <c:ptCount val="9"/>
                <c:pt idx="0">
                  <c:v>81.3</c:v>
                </c:pt>
                <c:pt idx="1">
                  <c:v>80.7</c:v>
                </c:pt>
                <c:pt idx="2">
                  <c:v>81.2</c:v>
                </c:pt>
                <c:pt idx="3">
                  <c:v>79.5</c:v>
                </c:pt>
                <c:pt idx="4">
                  <c:v>81.099999999999994</c:v>
                </c:pt>
                <c:pt idx="5">
                  <c:v>80.8</c:v>
                </c:pt>
                <c:pt idx="6">
                  <c:v>80.099999999999994</c:v>
                </c:pt>
                <c:pt idx="7">
                  <c:v>81.2</c:v>
                </c:pt>
                <c:pt idx="8">
                  <c:v>88.3</c:v>
                </c:pt>
              </c:numCache>
            </c:numRef>
          </c:val>
          <c:extLst>
            <c:ext xmlns:c16="http://schemas.microsoft.com/office/drawing/2014/chart" uri="{C3380CC4-5D6E-409C-BE32-E72D297353CC}">
              <c16:uniqueId val="{00000007-C05F-4916-BA9E-99328AEB386D}"/>
            </c:ext>
          </c:extLst>
        </c:ser>
        <c:ser>
          <c:idx val="8"/>
          <c:order val="8"/>
          <c:tx>
            <c:strRef>
              <c:f>Regiuni!$AP$34:$AT$34</c:f>
              <c:strCache>
                <c:ptCount val="1"/>
                <c:pt idx="0">
                  <c:v>2015 2016</c:v>
                </c:pt>
              </c:strCache>
            </c:strRef>
          </c:tx>
          <c:invertIfNegative val="0"/>
          <c:val>
            <c:numRef>
              <c:f>Regiuni!$AP$36:$AP$44</c:f>
              <c:numCache>
                <c:formatCode>General</c:formatCode>
                <c:ptCount val="9"/>
                <c:pt idx="0">
                  <c:v>80.599999999999994</c:v>
                </c:pt>
                <c:pt idx="1">
                  <c:v>79.900000000000006</c:v>
                </c:pt>
                <c:pt idx="2">
                  <c:v>80.7</c:v>
                </c:pt>
                <c:pt idx="3">
                  <c:v>78.5</c:v>
                </c:pt>
                <c:pt idx="4">
                  <c:v>80.5</c:v>
                </c:pt>
                <c:pt idx="5">
                  <c:v>79.400000000000006</c:v>
                </c:pt>
                <c:pt idx="6">
                  <c:v>79.3</c:v>
                </c:pt>
                <c:pt idx="7">
                  <c:v>80.5</c:v>
                </c:pt>
                <c:pt idx="8">
                  <c:v>88.6</c:v>
                </c:pt>
              </c:numCache>
            </c:numRef>
          </c:val>
          <c:extLst>
            <c:ext xmlns:c16="http://schemas.microsoft.com/office/drawing/2014/chart" uri="{C3380CC4-5D6E-409C-BE32-E72D297353CC}">
              <c16:uniqueId val="{00000008-C05F-4916-BA9E-99328AEB386D}"/>
            </c:ext>
          </c:extLst>
        </c:ser>
        <c:dLbls>
          <c:showLegendKey val="0"/>
          <c:showVal val="0"/>
          <c:showCatName val="0"/>
          <c:showSerName val="0"/>
          <c:showPercent val="0"/>
          <c:showBubbleSize val="0"/>
        </c:dLbls>
        <c:gapWidth val="150"/>
        <c:axId val="150695936"/>
        <c:axId val="150697472"/>
      </c:barChart>
      <c:catAx>
        <c:axId val="150695936"/>
        <c:scaling>
          <c:orientation val="minMax"/>
        </c:scaling>
        <c:delete val="0"/>
        <c:axPos val="b"/>
        <c:numFmt formatCode="General" sourceLinked="1"/>
        <c:majorTickMark val="none"/>
        <c:minorTickMark val="none"/>
        <c:tickLblPos val="nextTo"/>
        <c:crossAx val="150697472"/>
        <c:crosses val="autoZero"/>
        <c:auto val="1"/>
        <c:lblAlgn val="ctr"/>
        <c:lblOffset val="100"/>
        <c:noMultiLvlLbl val="0"/>
      </c:catAx>
      <c:valAx>
        <c:axId val="150697472"/>
        <c:scaling>
          <c:orientation val="minMax"/>
        </c:scaling>
        <c:delete val="0"/>
        <c:axPos val="l"/>
        <c:majorGridlines/>
        <c:numFmt formatCode="General" sourceLinked="1"/>
        <c:majorTickMark val="none"/>
        <c:minorTickMark val="none"/>
        <c:tickLblPos val="nextTo"/>
        <c:crossAx val="150695936"/>
        <c:crosses val="autoZero"/>
        <c:crossBetween val="between"/>
      </c:valAx>
    </c:plotArea>
    <c:legend>
      <c:legendPos val="r"/>
      <c:layout>
        <c:manualLayout>
          <c:xMode val="edge"/>
          <c:yMode val="edge"/>
          <c:x val="0.86476371612970326"/>
          <c:y val="0.11433673249860229"/>
          <c:w val="0.12290548222535012"/>
          <c:h val="0.82145432640592053"/>
        </c:manualLayout>
      </c:layout>
      <c:overlay val="0"/>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sz="1100" b="0">
                <a:latin typeface="Arial" pitchFamily="34" charset="0"/>
                <a:cs typeface="Arial" pitchFamily="34" charset="0"/>
              </a:defRPr>
            </a:pPr>
            <a:r>
              <a:rPr lang="ro-RO" sz="1100" b="0">
                <a:latin typeface="Arial" pitchFamily="34" charset="0"/>
                <a:cs typeface="Arial" pitchFamily="34" charset="0"/>
              </a:rPr>
              <a:t>Rata netă de cuprindere în învăţământul obligatoriu</a:t>
            </a:r>
          </a:p>
          <a:p>
            <a:pPr>
              <a:defRPr sz="1100" b="0">
                <a:latin typeface="Arial" pitchFamily="34" charset="0"/>
                <a:cs typeface="Arial" pitchFamily="34" charset="0"/>
              </a:defRPr>
            </a:pPr>
            <a:r>
              <a:rPr lang="ro-RO" sz="1100" b="0">
                <a:latin typeface="Arial" pitchFamily="34" charset="0"/>
                <a:cs typeface="Arial" pitchFamily="34" charset="0"/>
              </a:rPr>
              <a:t>-total-</a:t>
            </a:r>
            <a:endParaRPr lang="vi-VN" sz="1100" b="0">
              <a:latin typeface="Arial" pitchFamily="34" charset="0"/>
              <a:cs typeface="Arial" pitchFamily="34" charset="0"/>
            </a:endParaRPr>
          </a:p>
        </c:rich>
      </c:tx>
      <c:overlay val="0"/>
    </c:title>
    <c:autoTitleDeleted val="0"/>
    <c:plotArea>
      <c:layout/>
      <c:barChart>
        <c:barDir val="col"/>
        <c:grouping val="clustered"/>
        <c:varyColors val="0"/>
        <c:ser>
          <c:idx val="0"/>
          <c:order val="0"/>
          <c:tx>
            <c:strRef>
              <c:f>'Regiune si judete '!$C$24:$C$25</c:f>
              <c:strCache>
                <c:ptCount val="1"/>
                <c:pt idx="0">
                  <c:v>2007 2008 Total</c:v>
                </c:pt>
              </c:strCache>
            </c:strRef>
          </c:tx>
          <c:invertIfNegative val="0"/>
          <c:cat>
            <c:strRef>
              <c:f>'Regiune si judete '!$B$26:$B$31</c:f>
              <c:strCache>
                <c:ptCount val="6"/>
                <c:pt idx="0">
                  <c:v>România</c:v>
                </c:pt>
                <c:pt idx="1">
                  <c:v>Vest </c:v>
                </c:pt>
                <c:pt idx="2">
                  <c:v>Arad</c:v>
                </c:pt>
                <c:pt idx="3">
                  <c:v>Caraş-Severin</c:v>
                </c:pt>
                <c:pt idx="4">
                  <c:v>Hunedoara</c:v>
                </c:pt>
                <c:pt idx="5">
                  <c:v>Timiş</c:v>
                </c:pt>
              </c:strCache>
            </c:strRef>
          </c:cat>
          <c:val>
            <c:numRef>
              <c:f>'Regiune si judete '!$C$26:$C$31</c:f>
              <c:numCache>
                <c:formatCode>General</c:formatCode>
                <c:ptCount val="6"/>
                <c:pt idx="0">
                  <c:v>84.9</c:v>
                </c:pt>
                <c:pt idx="1">
                  <c:v>83.7</c:v>
                </c:pt>
                <c:pt idx="2">
                  <c:v>82.8</c:v>
                </c:pt>
                <c:pt idx="3">
                  <c:v>80.900000000000006</c:v>
                </c:pt>
                <c:pt idx="4">
                  <c:v>84.4</c:v>
                </c:pt>
                <c:pt idx="5">
                  <c:v>85.3</c:v>
                </c:pt>
              </c:numCache>
            </c:numRef>
          </c:val>
          <c:extLst>
            <c:ext xmlns:c16="http://schemas.microsoft.com/office/drawing/2014/chart" uri="{C3380CC4-5D6E-409C-BE32-E72D297353CC}">
              <c16:uniqueId val="{00000000-D68E-409A-ACC3-87EC44D6EFF8}"/>
            </c:ext>
          </c:extLst>
        </c:ser>
        <c:ser>
          <c:idx val="5"/>
          <c:order val="1"/>
          <c:tx>
            <c:strRef>
              <c:f>'Regiune si judete '!$H$24:$H$25</c:f>
              <c:strCache>
                <c:ptCount val="1"/>
                <c:pt idx="0">
                  <c:v>2008 2009 Total</c:v>
                </c:pt>
              </c:strCache>
            </c:strRef>
          </c:tx>
          <c:invertIfNegative val="0"/>
          <c:cat>
            <c:strRef>
              <c:f>'Regiune si judete '!$B$26:$B$31</c:f>
              <c:strCache>
                <c:ptCount val="6"/>
                <c:pt idx="0">
                  <c:v>România</c:v>
                </c:pt>
                <c:pt idx="1">
                  <c:v>Vest </c:v>
                </c:pt>
                <c:pt idx="2">
                  <c:v>Arad</c:v>
                </c:pt>
                <c:pt idx="3">
                  <c:v>Caraş-Severin</c:v>
                </c:pt>
                <c:pt idx="4">
                  <c:v>Hunedoara</c:v>
                </c:pt>
                <c:pt idx="5">
                  <c:v>Timiş</c:v>
                </c:pt>
              </c:strCache>
            </c:strRef>
          </c:cat>
          <c:val>
            <c:numRef>
              <c:f>'Regiune si judete '!$H$26:$H$31</c:f>
              <c:numCache>
                <c:formatCode>General</c:formatCode>
                <c:ptCount val="6"/>
                <c:pt idx="0">
                  <c:v>84.7</c:v>
                </c:pt>
                <c:pt idx="1">
                  <c:v>84.1</c:v>
                </c:pt>
                <c:pt idx="2">
                  <c:v>83.1</c:v>
                </c:pt>
                <c:pt idx="3">
                  <c:v>81.3</c:v>
                </c:pt>
                <c:pt idx="4">
                  <c:v>84.4</c:v>
                </c:pt>
                <c:pt idx="5">
                  <c:v>85.9</c:v>
                </c:pt>
              </c:numCache>
            </c:numRef>
          </c:val>
          <c:extLst>
            <c:ext xmlns:c16="http://schemas.microsoft.com/office/drawing/2014/chart" uri="{C3380CC4-5D6E-409C-BE32-E72D297353CC}">
              <c16:uniqueId val="{00000001-D68E-409A-ACC3-87EC44D6EFF8}"/>
            </c:ext>
          </c:extLst>
        </c:ser>
        <c:ser>
          <c:idx val="10"/>
          <c:order val="2"/>
          <c:tx>
            <c:strRef>
              <c:f>'Regiune si judete '!$M$24:$M$25</c:f>
              <c:strCache>
                <c:ptCount val="1"/>
                <c:pt idx="0">
                  <c:v>2009 2010 Total</c:v>
                </c:pt>
              </c:strCache>
            </c:strRef>
          </c:tx>
          <c:invertIfNegative val="0"/>
          <c:cat>
            <c:strRef>
              <c:f>'Regiune si judete '!$B$26:$B$31</c:f>
              <c:strCache>
                <c:ptCount val="6"/>
                <c:pt idx="0">
                  <c:v>România</c:v>
                </c:pt>
                <c:pt idx="1">
                  <c:v>Vest </c:v>
                </c:pt>
                <c:pt idx="2">
                  <c:v>Arad</c:v>
                </c:pt>
                <c:pt idx="3">
                  <c:v>Caraş-Severin</c:v>
                </c:pt>
                <c:pt idx="4">
                  <c:v>Hunedoara</c:v>
                </c:pt>
                <c:pt idx="5">
                  <c:v>Timiş</c:v>
                </c:pt>
              </c:strCache>
            </c:strRef>
          </c:cat>
          <c:val>
            <c:numRef>
              <c:f>'Regiune si judete '!$M$26:$M$31</c:f>
              <c:numCache>
                <c:formatCode>General</c:formatCode>
                <c:ptCount val="6"/>
                <c:pt idx="0">
                  <c:v>85</c:v>
                </c:pt>
                <c:pt idx="1">
                  <c:v>84.9</c:v>
                </c:pt>
                <c:pt idx="2">
                  <c:v>83.9</c:v>
                </c:pt>
                <c:pt idx="3">
                  <c:v>82.9</c:v>
                </c:pt>
                <c:pt idx="4">
                  <c:v>85.6</c:v>
                </c:pt>
                <c:pt idx="5">
                  <c:v>86</c:v>
                </c:pt>
              </c:numCache>
            </c:numRef>
          </c:val>
          <c:extLst>
            <c:ext xmlns:c16="http://schemas.microsoft.com/office/drawing/2014/chart" uri="{C3380CC4-5D6E-409C-BE32-E72D297353CC}">
              <c16:uniqueId val="{00000002-D68E-409A-ACC3-87EC44D6EFF8}"/>
            </c:ext>
          </c:extLst>
        </c:ser>
        <c:ser>
          <c:idx val="15"/>
          <c:order val="3"/>
          <c:tx>
            <c:strRef>
              <c:f>'Regiune si judete '!$R$24:$R$25</c:f>
              <c:strCache>
                <c:ptCount val="1"/>
                <c:pt idx="0">
                  <c:v>2010 2011 Total</c:v>
                </c:pt>
              </c:strCache>
            </c:strRef>
          </c:tx>
          <c:invertIfNegative val="0"/>
          <c:cat>
            <c:strRef>
              <c:f>'Regiune si judete '!$B$26:$B$31</c:f>
              <c:strCache>
                <c:ptCount val="6"/>
                <c:pt idx="0">
                  <c:v>România</c:v>
                </c:pt>
                <c:pt idx="1">
                  <c:v>Vest </c:v>
                </c:pt>
                <c:pt idx="2">
                  <c:v>Arad</c:v>
                </c:pt>
                <c:pt idx="3">
                  <c:v>Caraş-Severin</c:v>
                </c:pt>
                <c:pt idx="4">
                  <c:v>Hunedoara</c:v>
                </c:pt>
                <c:pt idx="5">
                  <c:v>Timiş</c:v>
                </c:pt>
              </c:strCache>
            </c:strRef>
          </c:cat>
          <c:val>
            <c:numRef>
              <c:f>'Regiune si judete '!$R$26:$R$31</c:f>
              <c:numCache>
                <c:formatCode>General</c:formatCode>
                <c:ptCount val="6"/>
                <c:pt idx="0">
                  <c:v>85</c:v>
                </c:pt>
                <c:pt idx="1">
                  <c:v>86</c:v>
                </c:pt>
                <c:pt idx="2">
                  <c:v>85.1</c:v>
                </c:pt>
                <c:pt idx="3">
                  <c:v>83.6</c:v>
                </c:pt>
                <c:pt idx="4">
                  <c:v>87</c:v>
                </c:pt>
                <c:pt idx="5">
                  <c:v>87.1</c:v>
                </c:pt>
              </c:numCache>
            </c:numRef>
          </c:val>
          <c:extLst>
            <c:ext xmlns:c16="http://schemas.microsoft.com/office/drawing/2014/chart" uri="{C3380CC4-5D6E-409C-BE32-E72D297353CC}">
              <c16:uniqueId val="{00000003-D68E-409A-ACC3-87EC44D6EFF8}"/>
            </c:ext>
          </c:extLst>
        </c:ser>
        <c:ser>
          <c:idx val="20"/>
          <c:order val="4"/>
          <c:tx>
            <c:strRef>
              <c:f>'Regiune si judete '!$W$24:$W$25</c:f>
              <c:strCache>
                <c:ptCount val="1"/>
                <c:pt idx="0">
                  <c:v>2011 2012 Total</c:v>
                </c:pt>
              </c:strCache>
            </c:strRef>
          </c:tx>
          <c:invertIfNegative val="0"/>
          <c:cat>
            <c:strRef>
              <c:f>'Regiune si judete '!$B$26:$B$31</c:f>
              <c:strCache>
                <c:ptCount val="6"/>
                <c:pt idx="0">
                  <c:v>România</c:v>
                </c:pt>
                <c:pt idx="1">
                  <c:v>Vest </c:v>
                </c:pt>
                <c:pt idx="2">
                  <c:v>Arad</c:v>
                </c:pt>
                <c:pt idx="3">
                  <c:v>Caraş-Severin</c:v>
                </c:pt>
                <c:pt idx="4">
                  <c:v>Hunedoara</c:v>
                </c:pt>
                <c:pt idx="5">
                  <c:v>Timiş</c:v>
                </c:pt>
              </c:strCache>
            </c:strRef>
          </c:cat>
          <c:val>
            <c:numRef>
              <c:f>'Regiune si judete '!$W$26:$W$31</c:f>
              <c:numCache>
                <c:formatCode>General</c:formatCode>
                <c:ptCount val="6"/>
                <c:pt idx="0">
                  <c:v>82.6</c:v>
                </c:pt>
                <c:pt idx="1">
                  <c:v>83.3</c:v>
                </c:pt>
                <c:pt idx="2">
                  <c:v>81.599999999999994</c:v>
                </c:pt>
                <c:pt idx="3">
                  <c:v>80.900000000000006</c:v>
                </c:pt>
                <c:pt idx="4">
                  <c:v>81.099999999999994</c:v>
                </c:pt>
                <c:pt idx="5">
                  <c:v>87.2</c:v>
                </c:pt>
              </c:numCache>
            </c:numRef>
          </c:val>
          <c:extLst>
            <c:ext xmlns:c16="http://schemas.microsoft.com/office/drawing/2014/chart" uri="{C3380CC4-5D6E-409C-BE32-E72D297353CC}">
              <c16:uniqueId val="{00000004-D68E-409A-ACC3-87EC44D6EFF8}"/>
            </c:ext>
          </c:extLst>
        </c:ser>
        <c:ser>
          <c:idx val="25"/>
          <c:order val="5"/>
          <c:tx>
            <c:strRef>
              <c:f>'Regiune si judete '!$AB$24:$AB$25</c:f>
              <c:strCache>
                <c:ptCount val="1"/>
                <c:pt idx="0">
                  <c:v>2012 2013 Total</c:v>
                </c:pt>
              </c:strCache>
            </c:strRef>
          </c:tx>
          <c:invertIfNegative val="0"/>
          <c:cat>
            <c:strRef>
              <c:f>'Regiune si judete '!$B$26:$B$31</c:f>
              <c:strCache>
                <c:ptCount val="6"/>
                <c:pt idx="0">
                  <c:v>România</c:v>
                </c:pt>
                <c:pt idx="1">
                  <c:v>Vest </c:v>
                </c:pt>
                <c:pt idx="2">
                  <c:v>Arad</c:v>
                </c:pt>
                <c:pt idx="3">
                  <c:v>Caraş-Severin</c:v>
                </c:pt>
                <c:pt idx="4">
                  <c:v>Hunedoara</c:v>
                </c:pt>
                <c:pt idx="5">
                  <c:v>Timiş</c:v>
                </c:pt>
              </c:strCache>
            </c:strRef>
          </c:cat>
          <c:val>
            <c:numRef>
              <c:f>'Regiune si judete '!$AB$26:$AB$31</c:f>
              <c:numCache>
                <c:formatCode>General</c:formatCode>
                <c:ptCount val="6"/>
                <c:pt idx="0">
                  <c:v>83.4</c:v>
                </c:pt>
                <c:pt idx="1">
                  <c:v>84.1</c:v>
                </c:pt>
                <c:pt idx="2">
                  <c:v>82.9</c:v>
                </c:pt>
                <c:pt idx="3">
                  <c:v>80.900000000000006</c:v>
                </c:pt>
                <c:pt idx="4">
                  <c:v>82.2</c:v>
                </c:pt>
                <c:pt idx="5">
                  <c:v>87.8</c:v>
                </c:pt>
              </c:numCache>
            </c:numRef>
          </c:val>
          <c:extLst>
            <c:ext xmlns:c16="http://schemas.microsoft.com/office/drawing/2014/chart" uri="{C3380CC4-5D6E-409C-BE32-E72D297353CC}">
              <c16:uniqueId val="{00000005-D68E-409A-ACC3-87EC44D6EFF8}"/>
            </c:ext>
          </c:extLst>
        </c:ser>
        <c:ser>
          <c:idx val="30"/>
          <c:order val="6"/>
          <c:tx>
            <c:strRef>
              <c:f>'Regiune si judete '!$AG$24:$AG$25</c:f>
              <c:strCache>
                <c:ptCount val="1"/>
                <c:pt idx="0">
                  <c:v>2013 2014 Total</c:v>
                </c:pt>
              </c:strCache>
            </c:strRef>
          </c:tx>
          <c:invertIfNegative val="0"/>
          <c:cat>
            <c:strRef>
              <c:f>'Regiune si judete '!$B$26:$B$31</c:f>
              <c:strCache>
                <c:ptCount val="6"/>
                <c:pt idx="0">
                  <c:v>România</c:v>
                </c:pt>
                <c:pt idx="1">
                  <c:v>Vest </c:v>
                </c:pt>
                <c:pt idx="2">
                  <c:v>Arad</c:v>
                </c:pt>
                <c:pt idx="3">
                  <c:v>Caraş-Severin</c:v>
                </c:pt>
                <c:pt idx="4">
                  <c:v>Hunedoara</c:v>
                </c:pt>
                <c:pt idx="5">
                  <c:v>Timiş</c:v>
                </c:pt>
              </c:strCache>
            </c:strRef>
          </c:cat>
          <c:val>
            <c:numRef>
              <c:f>'Regiune si judete '!$AG$26:$AG$31</c:f>
              <c:numCache>
                <c:formatCode>General</c:formatCode>
                <c:ptCount val="6"/>
                <c:pt idx="0">
                  <c:v>81.900000000000006</c:v>
                </c:pt>
                <c:pt idx="1">
                  <c:v>81.900000000000006</c:v>
                </c:pt>
                <c:pt idx="2">
                  <c:v>81.3</c:v>
                </c:pt>
                <c:pt idx="3">
                  <c:v>77.8</c:v>
                </c:pt>
                <c:pt idx="4">
                  <c:v>80.099999999999994</c:v>
                </c:pt>
                <c:pt idx="5">
                  <c:v>85.5</c:v>
                </c:pt>
              </c:numCache>
            </c:numRef>
          </c:val>
          <c:extLst>
            <c:ext xmlns:c16="http://schemas.microsoft.com/office/drawing/2014/chart" uri="{C3380CC4-5D6E-409C-BE32-E72D297353CC}">
              <c16:uniqueId val="{00000006-D68E-409A-ACC3-87EC44D6EFF8}"/>
            </c:ext>
          </c:extLst>
        </c:ser>
        <c:ser>
          <c:idx val="35"/>
          <c:order val="7"/>
          <c:tx>
            <c:strRef>
              <c:f>'Regiune si judete '!$AL$24:$AL$25</c:f>
              <c:strCache>
                <c:ptCount val="1"/>
                <c:pt idx="0">
                  <c:v>2014 2015 Total</c:v>
                </c:pt>
              </c:strCache>
            </c:strRef>
          </c:tx>
          <c:invertIfNegative val="0"/>
          <c:cat>
            <c:strRef>
              <c:f>'Regiune si judete '!$B$26:$B$31</c:f>
              <c:strCache>
                <c:ptCount val="6"/>
                <c:pt idx="0">
                  <c:v>România</c:v>
                </c:pt>
                <c:pt idx="1">
                  <c:v>Vest </c:v>
                </c:pt>
                <c:pt idx="2">
                  <c:v>Arad</c:v>
                </c:pt>
                <c:pt idx="3">
                  <c:v>Caraş-Severin</c:v>
                </c:pt>
                <c:pt idx="4">
                  <c:v>Hunedoara</c:v>
                </c:pt>
                <c:pt idx="5">
                  <c:v>Timiş</c:v>
                </c:pt>
              </c:strCache>
            </c:strRef>
          </c:cat>
          <c:val>
            <c:numRef>
              <c:f>'Regiune si judete '!$AL$26:$AL$31</c:f>
              <c:numCache>
                <c:formatCode>General</c:formatCode>
                <c:ptCount val="6"/>
                <c:pt idx="0">
                  <c:v>81.3</c:v>
                </c:pt>
                <c:pt idx="1">
                  <c:v>80.8</c:v>
                </c:pt>
                <c:pt idx="2">
                  <c:v>78.599999999999994</c:v>
                </c:pt>
                <c:pt idx="3">
                  <c:v>74.400000000000006</c:v>
                </c:pt>
                <c:pt idx="4">
                  <c:v>82.2</c:v>
                </c:pt>
                <c:pt idx="5">
                  <c:v>84.7</c:v>
                </c:pt>
              </c:numCache>
            </c:numRef>
          </c:val>
          <c:extLst>
            <c:ext xmlns:c16="http://schemas.microsoft.com/office/drawing/2014/chart" uri="{C3380CC4-5D6E-409C-BE32-E72D297353CC}">
              <c16:uniqueId val="{00000007-D68E-409A-ACC3-87EC44D6EFF8}"/>
            </c:ext>
          </c:extLst>
        </c:ser>
        <c:ser>
          <c:idx val="40"/>
          <c:order val="8"/>
          <c:tx>
            <c:strRef>
              <c:f>'Regiune si judete '!$AQ$24:$AQ$25</c:f>
              <c:strCache>
                <c:ptCount val="1"/>
                <c:pt idx="0">
                  <c:v>2015 2016 Total</c:v>
                </c:pt>
              </c:strCache>
            </c:strRef>
          </c:tx>
          <c:invertIfNegative val="0"/>
          <c:cat>
            <c:strRef>
              <c:f>'Regiune si judete '!$B$26:$B$31</c:f>
              <c:strCache>
                <c:ptCount val="6"/>
                <c:pt idx="0">
                  <c:v>România</c:v>
                </c:pt>
                <c:pt idx="1">
                  <c:v>Vest </c:v>
                </c:pt>
                <c:pt idx="2">
                  <c:v>Arad</c:v>
                </c:pt>
                <c:pt idx="3">
                  <c:v>Caraş-Severin</c:v>
                </c:pt>
                <c:pt idx="4">
                  <c:v>Hunedoara</c:v>
                </c:pt>
                <c:pt idx="5">
                  <c:v>Timiş</c:v>
                </c:pt>
              </c:strCache>
            </c:strRef>
          </c:cat>
          <c:val>
            <c:numRef>
              <c:f>'Regiune si judete '!$AQ$26:$AQ$31</c:f>
              <c:numCache>
                <c:formatCode>General</c:formatCode>
                <c:ptCount val="6"/>
                <c:pt idx="0">
                  <c:v>80.599999999999994</c:v>
                </c:pt>
                <c:pt idx="1">
                  <c:v>79.400000000000006</c:v>
                </c:pt>
                <c:pt idx="2">
                  <c:v>78.5</c:v>
                </c:pt>
                <c:pt idx="3">
                  <c:v>72.8</c:v>
                </c:pt>
                <c:pt idx="4">
                  <c:v>81</c:v>
                </c:pt>
                <c:pt idx="5">
                  <c:v>82.2</c:v>
                </c:pt>
              </c:numCache>
            </c:numRef>
          </c:val>
          <c:extLst>
            <c:ext xmlns:c16="http://schemas.microsoft.com/office/drawing/2014/chart" uri="{C3380CC4-5D6E-409C-BE32-E72D297353CC}">
              <c16:uniqueId val="{00000008-D68E-409A-ACC3-87EC44D6EFF8}"/>
            </c:ext>
          </c:extLst>
        </c:ser>
        <c:dLbls>
          <c:showLegendKey val="0"/>
          <c:showVal val="0"/>
          <c:showCatName val="0"/>
          <c:showSerName val="0"/>
          <c:showPercent val="0"/>
          <c:showBubbleSize val="0"/>
        </c:dLbls>
        <c:gapWidth val="150"/>
        <c:axId val="151195008"/>
        <c:axId val="151352448"/>
      </c:barChart>
      <c:catAx>
        <c:axId val="151195008"/>
        <c:scaling>
          <c:orientation val="minMax"/>
        </c:scaling>
        <c:delete val="0"/>
        <c:axPos val="b"/>
        <c:numFmt formatCode="General" sourceLinked="1"/>
        <c:majorTickMark val="none"/>
        <c:minorTickMark val="none"/>
        <c:tickLblPos val="nextTo"/>
        <c:crossAx val="151352448"/>
        <c:crosses val="autoZero"/>
        <c:auto val="1"/>
        <c:lblAlgn val="ctr"/>
        <c:lblOffset val="100"/>
        <c:noMultiLvlLbl val="0"/>
      </c:catAx>
      <c:valAx>
        <c:axId val="151352448"/>
        <c:scaling>
          <c:orientation val="minMax"/>
        </c:scaling>
        <c:delete val="0"/>
        <c:axPos val="l"/>
        <c:majorGridlines/>
        <c:numFmt formatCode="General" sourceLinked="1"/>
        <c:majorTickMark val="none"/>
        <c:minorTickMark val="none"/>
        <c:tickLblPos val="nextTo"/>
        <c:crossAx val="151195008"/>
        <c:crosses val="autoZero"/>
        <c:crossBetween val="between"/>
      </c:valAx>
    </c:plotArea>
    <c:legend>
      <c:legendPos val="r"/>
      <c:overlay val="0"/>
    </c:legend>
    <c:plotVisOnly val="1"/>
    <c:dispBlanksAs val="gap"/>
    <c:showDLblsOverMax val="0"/>
  </c:chart>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sz="1100">
                <a:latin typeface="Arial" pitchFamily="34" charset="0"/>
                <a:cs typeface="Arial" pitchFamily="34" charset="0"/>
              </a:defRPr>
            </a:pPr>
            <a:r>
              <a:rPr lang="ro-RO" sz="1100">
                <a:latin typeface="Arial" pitchFamily="34" charset="0"/>
                <a:cs typeface="Arial" pitchFamily="34" charset="0"/>
              </a:rPr>
              <a:t>Rata netă de cuprindere în învăţământul secundar superior, calasela IX-X (15-16 ani)</a:t>
            </a:r>
          </a:p>
          <a:p>
            <a:pPr>
              <a:defRPr sz="1100">
                <a:latin typeface="Arial" pitchFamily="34" charset="0"/>
                <a:cs typeface="Arial" pitchFamily="34" charset="0"/>
              </a:defRPr>
            </a:pPr>
            <a:r>
              <a:rPr lang="ro-RO" sz="1100">
                <a:latin typeface="Arial" pitchFamily="34" charset="0"/>
                <a:cs typeface="Arial" pitchFamily="34" charset="0"/>
              </a:rPr>
              <a:t>-total-</a:t>
            </a:r>
            <a:endParaRPr lang="vi-VN" sz="1100">
              <a:latin typeface="Arial" pitchFamily="34" charset="0"/>
              <a:cs typeface="Arial" pitchFamily="34" charset="0"/>
            </a:endParaRPr>
          </a:p>
        </c:rich>
      </c:tx>
      <c:overlay val="0"/>
    </c:title>
    <c:autoTitleDeleted val="0"/>
    <c:plotArea>
      <c:layout/>
      <c:barChart>
        <c:barDir val="col"/>
        <c:grouping val="clustered"/>
        <c:varyColors val="0"/>
        <c:ser>
          <c:idx val="0"/>
          <c:order val="0"/>
          <c:tx>
            <c:strRef>
              <c:f>'Regiune si judete '!$C$45:$C$46</c:f>
              <c:strCache>
                <c:ptCount val="1"/>
                <c:pt idx="0">
                  <c:v>2007 2008 Total</c:v>
                </c:pt>
              </c:strCache>
            </c:strRef>
          </c:tx>
          <c:invertIfNegative val="0"/>
          <c:cat>
            <c:strRef>
              <c:f>'Regiune si judete '!$B$47:$B$52</c:f>
              <c:strCache>
                <c:ptCount val="6"/>
                <c:pt idx="0">
                  <c:v>România</c:v>
                </c:pt>
                <c:pt idx="1">
                  <c:v>Vest </c:v>
                </c:pt>
                <c:pt idx="2">
                  <c:v>Arad</c:v>
                </c:pt>
                <c:pt idx="3">
                  <c:v>Caraş-Severin</c:v>
                </c:pt>
                <c:pt idx="4">
                  <c:v>Hunedoara</c:v>
                </c:pt>
                <c:pt idx="5">
                  <c:v>Timiş</c:v>
                </c:pt>
              </c:strCache>
            </c:strRef>
          </c:cat>
          <c:val>
            <c:numRef>
              <c:f>'Regiune si judete '!$C$47:$C$52</c:f>
              <c:numCache>
                <c:formatCode>General</c:formatCode>
                <c:ptCount val="6"/>
                <c:pt idx="0">
                  <c:v>72.2</c:v>
                </c:pt>
                <c:pt idx="1">
                  <c:v>70.099999999999994</c:v>
                </c:pt>
                <c:pt idx="2">
                  <c:v>64.2</c:v>
                </c:pt>
                <c:pt idx="3">
                  <c:v>62.2</c:v>
                </c:pt>
                <c:pt idx="4">
                  <c:v>75.400000000000006</c:v>
                </c:pt>
                <c:pt idx="5">
                  <c:v>74.5</c:v>
                </c:pt>
              </c:numCache>
            </c:numRef>
          </c:val>
          <c:extLst>
            <c:ext xmlns:c16="http://schemas.microsoft.com/office/drawing/2014/chart" uri="{C3380CC4-5D6E-409C-BE32-E72D297353CC}">
              <c16:uniqueId val="{00000000-CD93-4C2C-8EAB-27AE5E3922B1}"/>
            </c:ext>
          </c:extLst>
        </c:ser>
        <c:ser>
          <c:idx val="5"/>
          <c:order val="1"/>
          <c:tx>
            <c:strRef>
              <c:f>'Regiune si judete '!$H$45:$H$46</c:f>
              <c:strCache>
                <c:ptCount val="1"/>
                <c:pt idx="0">
                  <c:v>2008 2009 Total</c:v>
                </c:pt>
              </c:strCache>
            </c:strRef>
          </c:tx>
          <c:invertIfNegative val="0"/>
          <c:cat>
            <c:strRef>
              <c:f>'Regiune si judete '!$B$47:$B$52</c:f>
              <c:strCache>
                <c:ptCount val="6"/>
                <c:pt idx="0">
                  <c:v>România</c:v>
                </c:pt>
                <c:pt idx="1">
                  <c:v>Vest </c:v>
                </c:pt>
                <c:pt idx="2">
                  <c:v>Arad</c:v>
                </c:pt>
                <c:pt idx="3">
                  <c:v>Caraş-Severin</c:v>
                </c:pt>
                <c:pt idx="4">
                  <c:v>Hunedoara</c:v>
                </c:pt>
                <c:pt idx="5">
                  <c:v>Timiş</c:v>
                </c:pt>
              </c:strCache>
            </c:strRef>
          </c:cat>
          <c:val>
            <c:numRef>
              <c:f>'Regiune si judete '!$H$47:$H$52</c:f>
              <c:numCache>
                <c:formatCode>General</c:formatCode>
                <c:ptCount val="6"/>
                <c:pt idx="0">
                  <c:v>71.900000000000006</c:v>
                </c:pt>
                <c:pt idx="1">
                  <c:v>71.099999999999994</c:v>
                </c:pt>
                <c:pt idx="2">
                  <c:v>69.5</c:v>
                </c:pt>
                <c:pt idx="3">
                  <c:v>64.400000000000006</c:v>
                </c:pt>
                <c:pt idx="4">
                  <c:v>73.2</c:v>
                </c:pt>
                <c:pt idx="5">
                  <c:v>74</c:v>
                </c:pt>
              </c:numCache>
            </c:numRef>
          </c:val>
          <c:extLst>
            <c:ext xmlns:c16="http://schemas.microsoft.com/office/drawing/2014/chart" uri="{C3380CC4-5D6E-409C-BE32-E72D297353CC}">
              <c16:uniqueId val="{00000001-CD93-4C2C-8EAB-27AE5E3922B1}"/>
            </c:ext>
          </c:extLst>
        </c:ser>
        <c:ser>
          <c:idx val="10"/>
          <c:order val="2"/>
          <c:tx>
            <c:strRef>
              <c:f>'Regiune si judete '!$M$45:$M$46</c:f>
              <c:strCache>
                <c:ptCount val="1"/>
                <c:pt idx="0">
                  <c:v>2009 2010 Total</c:v>
                </c:pt>
              </c:strCache>
            </c:strRef>
          </c:tx>
          <c:invertIfNegative val="0"/>
          <c:cat>
            <c:strRef>
              <c:f>'Regiune si judete '!$B$47:$B$52</c:f>
              <c:strCache>
                <c:ptCount val="6"/>
                <c:pt idx="0">
                  <c:v>România</c:v>
                </c:pt>
                <c:pt idx="1">
                  <c:v>Vest </c:v>
                </c:pt>
                <c:pt idx="2">
                  <c:v>Arad</c:v>
                </c:pt>
                <c:pt idx="3">
                  <c:v>Caraş-Severin</c:v>
                </c:pt>
                <c:pt idx="4">
                  <c:v>Hunedoara</c:v>
                </c:pt>
                <c:pt idx="5">
                  <c:v>Timiş</c:v>
                </c:pt>
              </c:strCache>
            </c:strRef>
          </c:cat>
          <c:val>
            <c:numRef>
              <c:f>'Regiune si judete '!$M$47:$M$52</c:f>
              <c:numCache>
                <c:formatCode>General</c:formatCode>
                <c:ptCount val="6"/>
                <c:pt idx="0">
                  <c:v>72.3</c:v>
                </c:pt>
                <c:pt idx="1">
                  <c:v>71.3</c:v>
                </c:pt>
                <c:pt idx="2">
                  <c:v>68.2</c:v>
                </c:pt>
                <c:pt idx="3">
                  <c:v>65.900000000000006</c:v>
                </c:pt>
                <c:pt idx="4">
                  <c:v>77.400000000000006</c:v>
                </c:pt>
                <c:pt idx="5">
                  <c:v>71.900000000000006</c:v>
                </c:pt>
              </c:numCache>
            </c:numRef>
          </c:val>
          <c:extLst>
            <c:ext xmlns:c16="http://schemas.microsoft.com/office/drawing/2014/chart" uri="{C3380CC4-5D6E-409C-BE32-E72D297353CC}">
              <c16:uniqueId val="{00000002-CD93-4C2C-8EAB-27AE5E3922B1}"/>
            </c:ext>
          </c:extLst>
        </c:ser>
        <c:ser>
          <c:idx val="15"/>
          <c:order val="3"/>
          <c:tx>
            <c:strRef>
              <c:f>'Regiune si judete '!$R$45:$R$46</c:f>
              <c:strCache>
                <c:ptCount val="1"/>
                <c:pt idx="0">
                  <c:v>2010 2011 Total</c:v>
                </c:pt>
              </c:strCache>
            </c:strRef>
          </c:tx>
          <c:invertIfNegative val="0"/>
          <c:cat>
            <c:strRef>
              <c:f>'Regiune si judete '!$B$47:$B$52</c:f>
              <c:strCache>
                <c:ptCount val="6"/>
                <c:pt idx="0">
                  <c:v>România</c:v>
                </c:pt>
                <c:pt idx="1">
                  <c:v>Vest </c:v>
                </c:pt>
                <c:pt idx="2">
                  <c:v>Arad</c:v>
                </c:pt>
                <c:pt idx="3">
                  <c:v>Caraş-Severin</c:v>
                </c:pt>
                <c:pt idx="4">
                  <c:v>Hunedoara</c:v>
                </c:pt>
                <c:pt idx="5">
                  <c:v>Timiş</c:v>
                </c:pt>
              </c:strCache>
            </c:strRef>
          </c:cat>
          <c:val>
            <c:numRef>
              <c:f>'Regiune si judete '!$R$47:$R$52</c:f>
              <c:numCache>
                <c:formatCode>General</c:formatCode>
                <c:ptCount val="6"/>
                <c:pt idx="0">
                  <c:v>73.099999999999994</c:v>
                </c:pt>
                <c:pt idx="1">
                  <c:v>75</c:v>
                </c:pt>
                <c:pt idx="2">
                  <c:v>72.099999999999994</c:v>
                </c:pt>
                <c:pt idx="3">
                  <c:v>68.099999999999994</c:v>
                </c:pt>
                <c:pt idx="4">
                  <c:v>78.3</c:v>
                </c:pt>
                <c:pt idx="5">
                  <c:v>78</c:v>
                </c:pt>
              </c:numCache>
            </c:numRef>
          </c:val>
          <c:extLst>
            <c:ext xmlns:c16="http://schemas.microsoft.com/office/drawing/2014/chart" uri="{C3380CC4-5D6E-409C-BE32-E72D297353CC}">
              <c16:uniqueId val="{00000003-CD93-4C2C-8EAB-27AE5E3922B1}"/>
            </c:ext>
          </c:extLst>
        </c:ser>
        <c:ser>
          <c:idx val="20"/>
          <c:order val="4"/>
          <c:tx>
            <c:strRef>
              <c:f>'Regiune si judete '!$W$45:$W$46</c:f>
              <c:strCache>
                <c:ptCount val="1"/>
                <c:pt idx="0">
                  <c:v>2011 2012 Total</c:v>
                </c:pt>
              </c:strCache>
            </c:strRef>
          </c:tx>
          <c:invertIfNegative val="0"/>
          <c:cat>
            <c:strRef>
              <c:f>'Regiune si judete '!$B$47:$B$52</c:f>
              <c:strCache>
                <c:ptCount val="6"/>
                <c:pt idx="0">
                  <c:v>România</c:v>
                </c:pt>
                <c:pt idx="1">
                  <c:v>Vest </c:v>
                </c:pt>
                <c:pt idx="2">
                  <c:v>Arad</c:v>
                </c:pt>
                <c:pt idx="3">
                  <c:v>Caraş-Severin</c:v>
                </c:pt>
                <c:pt idx="4">
                  <c:v>Hunedoara</c:v>
                </c:pt>
                <c:pt idx="5">
                  <c:v>Timiş</c:v>
                </c:pt>
              </c:strCache>
            </c:strRef>
          </c:cat>
          <c:val>
            <c:numRef>
              <c:f>'Regiune si judete '!$W$47:$W$52</c:f>
              <c:numCache>
                <c:formatCode>General</c:formatCode>
                <c:ptCount val="6"/>
                <c:pt idx="0">
                  <c:v>73.2</c:v>
                </c:pt>
                <c:pt idx="1">
                  <c:v>76.8</c:v>
                </c:pt>
                <c:pt idx="2">
                  <c:v>68.2</c:v>
                </c:pt>
                <c:pt idx="3">
                  <c:v>67.3</c:v>
                </c:pt>
                <c:pt idx="4">
                  <c:v>75.2</c:v>
                </c:pt>
                <c:pt idx="5">
                  <c:v>88.6</c:v>
                </c:pt>
              </c:numCache>
            </c:numRef>
          </c:val>
          <c:extLst>
            <c:ext xmlns:c16="http://schemas.microsoft.com/office/drawing/2014/chart" uri="{C3380CC4-5D6E-409C-BE32-E72D297353CC}">
              <c16:uniqueId val="{00000004-CD93-4C2C-8EAB-27AE5E3922B1}"/>
            </c:ext>
          </c:extLst>
        </c:ser>
        <c:ser>
          <c:idx val="25"/>
          <c:order val="5"/>
          <c:tx>
            <c:strRef>
              <c:f>'Regiune si judete '!$AB$45:$AB$46</c:f>
              <c:strCache>
                <c:ptCount val="1"/>
                <c:pt idx="0">
                  <c:v>2012 2013 Total</c:v>
                </c:pt>
              </c:strCache>
            </c:strRef>
          </c:tx>
          <c:invertIfNegative val="0"/>
          <c:cat>
            <c:strRef>
              <c:f>'Regiune si judete '!$B$47:$B$52</c:f>
              <c:strCache>
                <c:ptCount val="6"/>
                <c:pt idx="0">
                  <c:v>România</c:v>
                </c:pt>
                <c:pt idx="1">
                  <c:v>Vest </c:v>
                </c:pt>
                <c:pt idx="2">
                  <c:v>Arad</c:v>
                </c:pt>
                <c:pt idx="3">
                  <c:v>Caraş-Severin</c:v>
                </c:pt>
                <c:pt idx="4">
                  <c:v>Hunedoara</c:v>
                </c:pt>
                <c:pt idx="5">
                  <c:v>Timiş</c:v>
                </c:pt>
              </c:strCache>
            </c:strRef>
          </c:cat>
          <c:val>
            <c:numRef>
              <c:f>'Regiune si judete '!$AB$47:$AB$52</c:f>
              <c:numCache>
                <c:formatCode>General</c:formatCode>
                <c:ptCount val="6"/>
                <c:pt idx="0">
                  <c:v>73.5</c:v>
                </c:pt>
                <c:pt idx="1">
                  <c:v>78</c:v>
                </c:pt>
                <c:pt idx="2">
                  <c:v>68.5</c:v>
                </c:pt>
                <c:pt idx="3">
                  <c:v>69.2</c:v>
                </c:pt>
                <c:pt idx="4">
                  <c:v>77.3</c:v>
                </c:pt>
                <c:pt idx="5">
                  <c:v>89.5</c:v>
                </c:pt>
              </c:numCache>
            </c:numRef>
          </c:val>
          <c:extLst>
            <c:ext xmlns:c16="http://schemas.microsoft.com/office/drawing/2014/chart" uri="{C3380CC4-5D6E-409C-BE32-E72D297353CC}">
              <c16:uniqueId val="{00000005-CD93-4C2C-8EAB-27AE5E3922B1}"/>
            </c:ext>
          </c:extLst>
        </c:ser>
        <c:ser>
          <c:idx val="30"/>
          <c:order val="6"/>
          <c:tx>
            <c:strRef>
              <c:f>'Regiune si judete '!$AG$45:$AG$46</c:f>
              <c:strCache>
                <c:ptCount val="1"/>
                <c:pt idx="0">
                  <c:v>2013 2014 Total</c:v>
                </c:pt>
              </c:strCache>
            </c:strRef>
          </c:tx>
          <c:invertIfNegative val="0"/>
          <c:cat>
            <c:strRef>
              <c:f>'Regiune si judete '!$B$47:$B$52</c:f>
              <c:strCache>
                <c:ptCount val="6"/>
                <c:pt idx="0">
                  <c:v>România</c:v>
                </c:pt>
                <c:pt idx="1">
                  <c:v>Vest </c:v>
                </c:pt>
                <c:pt idx="2">
                  <c:v>Arad</c:v>
                </c:pt>
                <c:pt idx="3">
                  <c:v>Caraş-Severin</c:v>
                </c:pt>
                <c:pt idx="4">
                  <c:v>Hunedoara</c:v>
                </c:pt>
                <c:pt idx="5">
                  <c:v>Timiş</c:v>
                </c:pt>
              </c:strCache>
            </c:strRef>
          </c:cat>
          <c:val>
            <c:numRef>
              <c:f>'Regiune si judete '!$AG$47:$AG$52</c:f>
              <c:numCache>
                <c:formatCode>General</c:formatCode>
                <c:ptCount val="6"/>
                <c:pt idx="0">
                  <c:v>67.7</c:v>
                </c:pt>
                <c:pt idx="1">
                  <c:v>70.8</c:v>
                </c:pt>
                <c:pt idx="2">
                  <c:v>64</c:v>
                </c:pt>
                <c:pt idx="3">
                  <c:v>64.3</c:v>
                </c:pt>
                <c:pt idx="4">
                  <c:v>69.599999999999994</c:v>
                </c:pt>
                <c:pt idx="5">
                  <c:v>79.900000000000006</c:v>
                </c:pt>
              </c:numCache>
            </c:numRef>
          </c:val>
          <c:extLst>
            <c:ext xmlns:c16="http://schemas.microsoft.com/office/drawing/2014/chart" uri="{C3380CC4-5D6E-409C-BE32-E72D297353CC}">
              <c16:uniqueId val="{00000006-CD93-4C2C-8EAB-27AE5E3922B1}"/>
            </c:ext>
          </c:extLst>
        </c:ser>
        <c:ser>
          <c:idx val="35"/>
          <c:order val="7"/>
          <c:tx>
            <c:strRef>
              <c:f>'Regiune si judete '!$AL$45:$AL$46</c:f>
              <c:strCache>
                <c:ptCount val="1"/>
                <c:pt idx="0">
                  <c:v>2014 2015 Total</c:v>
                </c:pt>
              </c:strCache>
            </c:strRef>
          </c:tx>
          <c:invertIfNegative val="0"/>
          <c:cat>
            <c:strRef>
              <c:f>'Regiune si judete '!$B$47:$B$52</c:f>
              <c:strCache>
                <c:ptCount val="6"/>
                <c:pt idx="0">
                  <c:v>România</c:v>
                </c:pt>
                <c:pt idx="1">
                  <c:v>Vest </c:v>
                </c:pt>
                <c:pt idx="2">
                  <c:v>Arad</c:v>
                </c:pt>
                <c:pt idx="3">
                  <c:v>Caraş-Severin</c:v>
                </c:pt>
                <c:pt idx="4">
                  <c:v>Hunedoara</c:v>
                </c:pt>
                <c:pt idx="5">
                  <c:v>Timiş</c:v>
                </c:pt>
              </c:strCache>
            </c:strRef>
          </c:cat>
          <c:val>
            <c:numRef>
              <c:f>'Regiune si judete '!$AL$47:$AL$52</c:f>
              <c:numCache>
                <c:formatCode>General</c:formatCode>
                <c:ptCount val="6"/>
                <c:pt idx="0">
                  <c:v>67.900000000000006</c:v>
                </c:pt>
                <c:pt idx="1">
                  <c:v>71.3</c:v>
                </c:pt>
                <c:pt idx="2">
                  <c:v>63.3</c:v>
                </c:pt>
                <c:pt idx="3">
                  <c:v>62.6</c:v>
                </c:pt>
                <c:pt idx="4">
                  <c:v>73.5</c:v>
                </c:pt>
                <c:pt idx="5">
                  <c:v>80.2</c:v>
                </c:pt>
              </c:numCache>
            </c:numRef>
          </c:val>
          <c:extLst>
            <c:ext xmlns:c16="http://schemas.microsoft.com/office/drawing/2014/chart" uri="{C3380CC4-5D6E-409C-BE32-E72D297353CC}">
              <c16:uniqueId val="{00000007-CD93-4C2C-8EAB-27AE5E3922B1}"/>
            </c:ext>
          </c:extLst>
        </c:ser>
        <c:ser>
          <c:idx val="40"/>
          <c:order val="8"/>
          <c:tx>
            <c:strRef>
              <c:f>'Regiune si judete '!$AQ$45:$AQ$46</c:f>
              <c:strCache>
                <c:ptCount val="1"/>
                <c:pt idx="0">
                  <c:v>2015 2016 Total</c:v>
                </c:pt>
              </c:strCache>
            </c:strRef>
          </c:tx>
          <c:invertIfNegative val="0"/>
          <c:cat>
            <c:strRef>
              <c:f>'Regiune si judete '!$B$47:$B$52</c:f>
              <c:strCache>
                <c:ptCount val="6"/>
                <c:pt idx="0">
                  <c:v>România</c:v>
                </c:pt>
                <c:pt idx="1">
                  <c:v>Vest </c:v>
                </c:pt>
                <c:pt idx="2">
                  <c:v>Arad</c:v>
                </c:pt>
                <c:pt idx="3">
                  <c:v>Caraş-Severin</c:v>
                </c:pt>
                <c:pt idx="4">
                  <c:v>Hunedoara</c:v>
                </c:pt>
                <c:pt idx="5">
                  <c:v>Timiş</c:v>
                </c:pt>
              </c:strCache>
            </c:strRef>
          </c:cat>
          <c:val>
            <c:numRef>
              <c:f>'Regiune si judete '!$AQ$47:$AQ$52</c:f>
              <c:numCache>
                <c:formatCode>General</c:formatCode>
                <c:ptCount val="6"/>
                <c:pt idx="0">
                  <c:v>67.8</c:v>
                </c:pt>
                <c:pt idx="1">
                  <c:v>67.5</c:v>
                </c:pt>
                <c:pt idx="2">
                  <c:v>62.5</c:v>
                </c:pt>
                <c:pt idx="3">
                  <c:v>60.3</c:v>
                </c:pt>
                <c:pt idx="4">
                  <c:v>73.7</c:v>
                </c:pt>
                <c:pt idx="5">
                  <c:v>71</c:v>
                </c:pt>
              </c:numCache>
            </c:numRef>
          </c:val>
          <c:extLst>
            <c:ext xmlns:c16="http://schemas.microsoft.com/office/drawing/2014/chart" uri="{C3380CC4-5D6E-409C-BE32-E72D297353CC}">
              <c16:uniqueId val="{00000008-CD93-4C2C-8EAB-27AE5E3922B1}"/>
            </c:ext>
          </c:extLst>
        </c:ser>
        <c:dLbls>
          <c:showLegendKey val="0"/>
          <c:showVal val="0"/>
          <c:showCatName val="0"/>
          <c:showSerName val="0"/>
          <c:showPercent val="0"/>
          <c:showBubbleSize val="0"/>
        </c:dLbls>
        <c:gapWidth val="150"/>
        <c:axId val="151755776"/>
        <c:axId val="151765760"/>
      </c:barChart>
      <c:catAx>
        <c:axId val="151755776"/>
        <c:scaling>
          <c:orientation val="minMax"/>
        </c:scaling>
        <c:delete val="0"/>
        <c:axPos val="b"/>
        <c:numFmt formatCode="General" sourceLinked="1"/>
        <c:majorTickMark val="none"/>
        <c:minorTickMark val="none"/>
        <c:tickLblPos val="nextTo"/>
        <c:crossAx val="151765760"/>
        <c:crosses val="autoZero"/>
        <c:auto val="1"/>
        <c:lblAlgn val="ctr"/>
        <c:lblOffset val="100"/>
        <c:noMultiLvlLbl val="0"/>
      </c:catAx>
      <c:valAx>
        <c:axId val="151765760"/>
        <c:scaling>
          <c:orientation val="minMax"/>
        </c:scaling>
        <c:delete val="0"/>
        <c:axPos val="l"/>
        <c:majorGridlines/>
        <c:numFmt formatCode="General" sourceLinked="1"/>
        <c:majorTickMark val="none"/>
        <c:minorTickMark val="none"/>
        <c:tickLblPos val="nextTo"/>
        <c:crossAx val="151755776"/>
        <c:crosses val="autoZero"/>
        <c:crossBetween val="between"/>
      </c:valAx>
    </c:plotArea>
    <c:legend>
      <c:legendPos val="r"/>
      <c:overlay val="0"/>
    </c:legend>
    <c:plotVisOnly val="1"/>
    <c:dispBlanksAs val="gap"/>
    <c:showDLblsOverMax val="0"/>
  </c:chart>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sz="1100">
                <a:latin typeface="Arial" pitchFamily="34" charset="0"/>
                <a:cs typeface="Arial" pitchFamily="34" charset="0"/>
              </a:defRPr>
            </a:pPr>
            <a:r>
              <a:rPr lang="ro-RO" sz="1100">
                <a:latin typeface="Arial" pitchFamily="34" charset="0"/>
                <a:cs typeface="Arial" pitchFamily="34" charset="0"/>
              </a:rPr>
              <a:t>Rata netă de cuprindere în învăţământul secundar superior, calasela XI-XII (17-18 ani)</a:t>
            </a:r>
          </a:p>
          <a:p>
            <a:pPr>
              <a:defRPr sz="1100">
                <a:latin typeface="Arial" pitchFamily="34" charset="0"/>
                <a:cs typeface="Arial" pitchFamily="34" charset="0"/>
              </a:defRPr>
            </a:pPr>
            <a:r>
              <a:rPr lang="ro-RO" sz="1100">
                <a:latin typeface="Arial" pitchFamily="34" charset="0"/>
                <a:cs typeface="Arial" pitchFamily="34" charset="0"/>
              </a:rPr>
              <a:t>-total-</a:t>
            </a:r>
            <a:endParaRPr lang="vi-VN" sz="1100">
              <a:latin typeface="Arial" pitchFamily="34" charset="0"/>
              <a:cs typeface="Arial" pitchFamily="34" charset="0"/>
            </a:endParaRPr>
          </a:p>
        </c:rich>
      </c:tx>
      <c:overlay val="0"/>
    </c:title>
    <c:autoTitleDeleted val="0"/>
    <c:plotArea>
      <c:layout/>
      <c:barChart>
        <c:barDir val="col"/>
        <c:grouping val="clustered"/>
        <c:varyColors val="0"/>
        <c:ser>
          <c:idx val="0"/>
          <c:order val="0"/>
          <c:tx>
            <c:strRef>
              <c:f>'Regiune si judete '!$C$56:$C$57</c:f>
              <c:strCache>
                <c:ptCount val="1"/>
                <c:pt idx="0">
                  <c:v>2007 2008 Total</c:v>
                </c:pt>
              </c:strCache>
            </c:strRef>
          </c:tx>
          <c:invertIfNegative val="0"/>
          <c:cat>
            <c:strRef>
              <c:f>'Regiune si judete '!$B$58:$B$63</c:f>
              <c:strCache>
                <c:ptCount val="6"/>
                <c:pt idx="0">
                  <c:v>România</c:v>
                </c:pt>
                <c:pt idx="1">
                  <c:v>Vest </c:v>
                </c:pt>
                <c:pt idx="2">
                  <c:v>Arad</c:v>
                </c:pt>
                <c:pt idx="3">
                  <c:v>Caraş-Severin</c:v>
                </c:pt>
                <c:pt idx="4">
                  <c:v>Hunedoara</c:v>
                </c:pt>
                <c:pt idx="5">
                  <c:v>Timiş</c:v>
                </c:pt>
              </c:strCache>
            </c:strRef>
          </c:cat>
          <c:val>
            <c:numRef>
              <c:f>'Regiune si judete '!$C$58:$C$63</c:f>
              <c:numCache>
                <c:formatCode>General</c:formatCode>
                <c:ptCount val="6"/>
                <c:pt idx="0">
                  <c:v>54.8</c:v>
                </c:pt>
                <c:pt idx="1">
                  <c:v>58</c:v>
                </c:pt>
                <c:pt idx="2">
                  <c:v>56.2</c:v>
                </c:pt>
                <c:pt idx="3">
                  <c:v>57</c:v>
                </c:pt>
                <c:pt idx="4">
                  <c:v>61.7</c:v>
                </c:pt>
                <c:pt idx="5">
                  <c:v>57.2</c:v>
                </c:pt>
              </c:numCache>
            </c:numRef>
          </c:val>
          <c:extLst>
            <c:ext xmlns:c16="http://schemas.microsoft.com/office/drawing/2014/chart" uri="{C3380CC4-5D6E-409C-BE32-E72D297353CC}">
              <c16:uniqueId val="{00000000-3A22-4DA2-A1A6-9E0199D98BFE}"/>
            </c:ext>
          </c:extLst>
        </c:ser>
        <c:ser>
          <c:idx val="5"/>
          <c:order val="1"/>
          <c:tx>
            <c:strRef>
              <c:f>'Regiune si judete '!$H$56:$H$57</c:f>
              <c:strCache>
                <c:ptCount val="1"/>
                <c:pt idx="0">
                  <c:v>2008 2009 Total</c:v>
                </c:pt>
              </c:strCache>
            </c:strRef>
          </c:tx>
          <c:invertIfNegative val="0"/>
          <c:cat>
            <c:strRef>
              <c:f>'Regiune si judete '!$B$58:$B$63</c:f>
              <c:strCache>
                <c:ptCount val="6"/>
                <c:pt idx="0">
                  <c:v>România</c:v>
                </c:pt>
                <c:pt idx="1">
                  <c:v>Vest </c:v>
                </c:pt>
                <c:pt idx="2">
                  <c:v>Arad</c:v>
                </c:pt>
                <c:pt idx="3">
                  <c:v>Caraş-Severin</c:v>
                </c:pt>
                <c:pt idx="4">
                  <c:v>Hunedoara</c:v>
                </c:pt>
                <c:pt idx="5">
                  <c:v>Timiş</c:v>
                </c:pt>
              </c:strCache>
            </c:strRef>
          </c:cat>
          <c:val>
            <c:numRef>
              <c:f>'Regiune si judete '!$H$58:$H$63</c:f>
              <c:numCache>
                <c:formatCode>General</c:formatCode>
                <c:ptCount val="6"/>
                <c:pt idx="0">
                  <c:v>56.4</c:v>
                </c:pt>
                <c:pt idx="1">
                  <c:v>61.3</c:v>
                </c:pt>
                <c:pt idx="2">
                  <c:v>59</c:v>
                </c:pt>
                <c:pt idx="3">
                  <c:v>56.3</c:v>
                </c:pt>
                <c:pt idx="4">
                  <c:v>65.3</c:v>
                </c:pt>
                <c:pt idx="5">
                  <c:v>62.6</c:v>
                </c:pt>
              </c:numCache>
            </c:numRef>
          </c:val>
          <c:extLst>
            <c:ext xmlns:c16="http://schemas.microsoft.com/office/drawing/2014/chart" uri="{C3380CC4-5D6E-409C-BE32-E72D297353CC}">
              <c16:uniqueId val="{00000001-3A22-4DA2-A1A6-9E0199D98BFE}"/>
            </c:ext>
          </c:extLst>
        </c:ser>
        <c:ser>
          <c:idx val="10"/>
          <c:order val="2"/>
          <c:tx>
            <c:strRef>
              <c:f>'Regiune si judete '!$M$56:$M$57</c:f>
              <c:strCache>
                <c:ptCount val="1"/>
                <c:pt idx="0">
                  <c:v>2009 2010 Total</c:v>
                </c:pt>
              </c:strCache>
            </c:strRef>
          </c:tx>
          <c:invertIfNegative val="0"/>
          <c:cat>
            <c:strRef>
              <c:f>'Regiune si judete '!$B$58:$B$63</c:f>
              <c:strCache>
                <c:ptCount val="6"/>
                <c:pt idx="0">
                  <c:v>România</c:v>
                </c:pt>
                <c:pt idx="1">
                  <c:v>Vest </c:v>
                </c:pt>
                <c:pt idx="2">
                  <c:v>Arad</c:v>
                </c:pt>
                <c:pt idx="3">
                  <c:v>Caraş-Severin</c:v>
                </c:pt>
                <c:pt idx="4">
                  <c:v>Hunedoara</c:v>
                </c:pt>
                <c:pt idx="5">
                  <c:v>Timiş</c:v>
                </c:pt>
              </c:strCache>
            </c:strRef>
          </c:cat>
          <c:val>
            <c:numRef>
              <c:f>'Regiune si judete '!$M$58:$M$63</c:f>
              <c:numCache>
                <c:formatCode>General</c:formatCode>
                <c:ptCount val="6"/>
                <c:pt idx="0">
                  <c:v>62.8</c:v>
                </c:pt>
                <c:pt idx="1">
                  <c:v>67.7</c:v>
                </c:pt>
                <c:pt idx="2">
                  <c:v>64</c:v>
                </c:pt>
                <c:pt idx="3">
                  <c:v>59</c:v>
                </c:pt>
                <c:pt idx="4">
                  <c:v>70.3</c:v>
                </c:pt>
                <c:pt idx="5">
                  <c:v>72.5</c:v>
                </c:pt>
              </c:numCache>
            </c:numRef>
          </c:val>
          <c:extLst>
            <c:ext xmlns:c16="http://schemas.microsoft.com/office/drawing/2014/chart" uri="{C3380CC4-5D6E-409C-BE32-E72D297353CC}">
              <c16:uniqueId val="{00000002-3A22-4DA2-A1A6-9E0199D98BFE}"/>
            </c:ext>
          </c:extLst>
        </c:ser>
        <c:ser>
          <c:idx val="15"/>
          <c:order val="3"/>
          <c:tx>
            <c:strRef>
              <c:f>'Regiune si judete '!$R$56:$R$57</c:f>
              <c:strCache>
                <c:ptCount val="1"/>
                <c:pt idx="0">
                  <c:v>2010 2011 Total</c:v>
                </c:pt>
              </c:strCache>
            </c:strRef>
          </c:tx>
          <c:invertIfNegative val="0"/>
          <c:cat>
            <c:strRef>
              <c:f>'Regiune si judete '!$B$58:$B$63</c:f>
              <c:strCache>
                <c:ptCount val="6"/>
                <c:pt idx="0">
                  <c:v>România</c:v>
                </c:pt>
                <c:pt idx="1">
                  <c:v>Vest </c:v>
                </c:pt>
                <c:pt idx="2">
                  <c:v>Arad</c:v>
                </c:pt>
                <c:pt idx="3">
                  <c:v>Caraş-Severin</c:v>
                </c:pt>
                <c:pt idx="4">
                  <c:v>Hunedoara</c:v>
                </c:pt>
                <c:pt idx="5">
                  <c:v>Timiş</c:v>
                </c:pt>
              </c:strCache>
            </c:strRef>
          </c:cat>
          <c:val>
            <c:numRef>
              <c:f>'Regiune si judete '!$R$58:$R$63</c:f>
              <c:numCache>
                <c:formatCode>General</c:formatCode>
                <c:ptCount val="6"/>
                <c:pt idx="0">
                  <c:v>62.9</c:v>
                </c:pt>
                <c:pt idx="1">
                  <c:v>65.599999999999994</c:v>
                </c:pt>
                <c:pt idx="2">
                  <c:v>65.7</c:v>
                </c:pt>
                <c:pt idx="3">
                  <c:v>60</c:v>
                </c:pt>
                <c:pt idx="4">
                  <c:v>68.7</c:v>
                </c:pt>
                <c:pt idx="5">
                  <c:v>66</c:v>
                </c:pt>
              </c:numCache>
            </c:numRef>
          </c:val>
          <c:extLst>
            <c:ext xmlns:c16="http://schemas.microsoft.com/office/drawing/2014/chart" uri="{C3380CC4-5D6E-409C-BE32-E72D297353CC}">
              <c16:uniqueId val="{00000003-3A22-4DA2-A1A6-9E0199D98BFE}"/>
            </c:ext>
          </c:extLst>
        </c:ser>
        <c:ser>
          <c:idx val="20"/>
          <c:order val="4"/>
          <c:tx>
            <c:strRef>
              <c:f>'Regiune si judete '!$W$56:$W$57</c:f>
              <c:strCache>
                <c:ptCount val="1"/>
                <c:pt idx="0">
                  <c:v>2011 2012 Total</c:v>
                </c:pt>
              </c:strCache>
            </c:strRef>
          </c:tx>
          <c:invertIfNegative val="0"/>
          <c:cat>
            <c:strRef>
              <c:f>'Regiune si judete '!$B$58:$B$63</c:f>
              <c:strCache>
                <c:ptCount val="6"/>
                <c:pt idx="0">
                  <c:v>România</c:v>
                </c:pt>
                <c:pt idx="1">
                  <c:v>Vest </c:v>
                </c:pt>
                <c:pt idx="2">
                  <c:v>Arad</c:v>
                </c:pt>
                <c:pt idx="3">
                  <c:v>Caraş-Severin</c:v>
                </c:pt>
                <c:pt idx="4">
                  <c:v>Hunedoara</c:v>
                </c:pt>
                <c:pt idx="5">
                  <c:v>Timiş</c:v>
                </c:pt>
              </c:strCache>
            </c:strRef>
          </c:cat>
          <c:val>
            <c:numRef>
              <c:f>'Regiune si judete '!$W$58:$W$63</c:f>
              <c:numCache>
                <c:formatCode>General</c:formatCode>
                <c:ptCount val="6"/>
                <c:pt idx="0">
                  <c:v>62.4</c:v>
                </c:pt>
                <c:pt idx="1">
                  <c:v>65.3</c:v>
                </c:pt>
                <c:pt idx="2">
                  <c:v>60.4</c:v>
                </c:pt>
                <c:pt idx="3">
                  <c:v>59.2</c:v>
                </c:pt>
                <c:pt idx="4">
                  <c:v>66.599999999999994</c:v>
                </c:pt>
                <c:pt idx="5">
                  <c:v>70.599999999999994</c:v>
                </c:pt>
              </c:numCache>
            </c:numRef>
          </c:val>
          <c:extLst>
            <c:ext xmlns:c16="http://schemas.microsoft.com/office/drawing/2014/chart" uri="{C3380CC4-5D6E-409C-BE32-E72D297353CC}">
              <c16:uniqueId val="{00000004-3A22-4DA2-A1A6-9E0199D98BFE}"/>
            </c:ext>
          </c:extLst>
        </c:ser>
        <c:ser>
          <c:idx val="25"/>
          <c:order val="5"/>
          <c:tx>
            <c:strRef>
              <c:f>'Regiune si judete '!$AB$56:$AB$57</c:f>
              <c:strCache>
                <c:ptCount val="1"/>
                <c:pt idx="0">
                  <c:v>2012 2013 Total</c:v>
                </c:pt>
              </c:strCache>
            </c:strRef>
          </c:tx>
          <c:invertIfNegative val="0"/>
          <c:cat>
            <c:strRef>
              <c:f>'Regiune si judete '!$B$58:$B$63</c:f>
              <c:strCache>
                <c:ptCount val="6"/>
                <c:pt idx="0">
                  <c:v>România</c:v>
                </c:pt>
                <c:pt idx="1">
                  <c:v>Vest </c:v>
                </c:pt>
                <c:pt idx="2">
                  <c:v>Arad</c:v>
                </c:pt>
                <c:pt idx="3">
                  <c:v>Caraş-Severin</c:v>
                </c:pt>
                <c:pt idx="4">
                  <c:v>Hunedoara</c:v>
                </c:pt>
                <c:pt idx="5">
                  <c:v>Timiş</c:v>
                </c:pt>
              </c:strCache>
            </c:strRef>
          </c:cat>
          <c:val>
            <c:numRef>
              <c:f>'Regiune si judete '!$AB$58:$AB$63</c:f>
              <c:numCache>
                <c:formatCode>General</c:formatCode>
                <c:ptCount val="6"/>
                <c:pt idx="0">
                  <c:v>63.1</c:v>
                </c:pt>
                <c:pt idx="1">
                  <c:v>64.599999999999994</c:v>
                </c:pt>
                <c:pt idx="2">
                  <c:v>61.3</c:v>
                </c:pt>
                <c:pt idx="3">
                  <c:v>60.2</c:v>
                </c:pt>
                <c:pt idx="4">
                  <c:v>69.599999999999994</c:v>
                </c:pt>
                <c:pt idx="5">
                  <c:v>65.5</c:v>
                </c:pt>
              </c:numCache>
            </c:numRef>
          </c:val>
          <c:extLst>
            <c:ext xmlns:c16="http://schemas.microsoft.com/office/drawing/2014/chart" uri="{C3380CC4-5D6E-409C-BE32-E72D297353CC}">
              <c16:uniqueId val="{00000005-3A22-4DA2-A1A6-9E0199D98BFE}"/>
            </c:ext>
          </c:extLst>
        </c:ser>
        <c:ser>
          <c:idx val="30"/>
          <c:order val="6"/>
          <c:tx>
            <c:strRef>
              <c:f>'Regiune si judete '!$AG$56:$AG$57</c:f>
              <c:strCache>
                <c:ptCount val="1"/>
                <c:pt idx="0">
                  <c:v>2013 2014 Total</c:v>
                </c:pt>
              </c:strCache>
            </c:strRef>
          </c:tx>
          <c:invertIfNegative val="0"/>
          <c:cat>
            <c:strRef>
              <c:f>'Regiune si judete '!$B$58:$B$63</c:f>
              <c:strCache>
                <c:ptCount val="6"/>
                <c:pt idx="0">
                  <c:v>România</c:v>
                </c:pt>
                <c:pt idx="1">
                  <c:v>Vest </c:v>
                </c:pt>
                <c:pt idx="2">
                  <c:v>Arad</c:v>
                </c:pt>
                <c:pt idx="3">
                  <c:v>Caraş-Severin</c:v>
                </c:pt>
                <c:pt idx="4">
                  <c:v>Hunedoara</c:v>
                </c:pt>
                <c:pt idx="5">
                  <c:v>Timiş</c:v>
                </c:pt>
              </c:strCache>
            </c:strRef>
          </c:cat>
          <c:val>
            <c:numRef>
              <c:f>'Regiune si judete '!$AG$58:$AG$63</c:f>
              <c:numCache>
                <c:formatCode>General</c:formatCode>
                <c:ptCount val="6"/>
                <c:pt idx="0">
                  <c:v>63.4</c:v>
                </c:pt>
                <c:pt idx="1">
                  <c:v>67.900000000000006</c:v>
                </c:pt>
                <c:pt idx="2">
                  <c:v>59.8</c:v>
                </c:pt>
                <c:pt idx="3">
                  <c:v>59.5</c:v>
                </c:pt>
                <c:pt idx="4">
                  <c:v>68.900000000000006</c:v>
                </c:pt>
                <c:pt idx="5">
                  <c:v>76.900000000000006</c:v>
                </c:pt>
              </c:numCache>
            </c:numRef>
          </c:val>
          <c:extLst>
            <c:ext xmlns:c16="http://schemas.microsoft.com/office/drawing/2014/chart" uri="{C3380CC4-5D6E-409C-BE32-E72D297353CC}">
              <c16:uniqueId val="{00000006-3A22-4DA2-A1A6-9E0199D98BFE}"/>
            </c:ext>
          </c:extLst>
        </c:ser>
        <c:ser>
          <c:idx val="35"/>
          <c:order val="7"/>
          <c:tx>
            <c:strRef>
              <c:f>'Regiune si judete '!$AL$56:$AL$57</c:f>
              <c:strCache>
                <c:ptCount val="1"/>
                <c:pt idx="0">
                  <c:v>2014 2015 Total</c:v>
                </c:pt>
              </c:strCache>
            </c:strRef>
          </c:tx>
          <c:invertIfNegative val="0"/>
          <c:cat>
            <c:strRef>
              <c:f>'Regiune si judete '!$B$58:$B$63</c:f>
              <c:strCache>
                <c:ptCount val="6"/>
                <c:pt idx="0">
                  <c:v>România</c:v>
                </c:pt>
                <c:pt idx="1">
                  <c:v>Vest </c:v>
                </c:pt>
                <c:pt idx="2">
                  <c:v>Arad</c:v>
                </c:pt>
                <c:pt idx="3">
                  <c:v>Caraş-Severin</c:v>
                </c:pt>
                <c:pt idx="4">
                  <c:v>Hunedoara</c:v>
                </c:pt>
                <c:pt idx="5">
                  <c:v>Timiş</c:v>
                </c:pt>
              </c:strCache>
            </c:strRef>
          </c:cat>
          <c:val>
            <c:numRef>
              <c:f>'Regiune si judete '!$AL$58:$AL$63</c:f>
              <c:numCache>
                <c:formatCode>General</c:formatCode>
                <c:ptCount val="6"/>
                <c:pt idx="0">
                  <c:v>64.2</c:v>
                </c:pt>
                <c:pt idx="1">
                  <c:v>69.400000000000006</c:v>
                </c:pt>
                <c:pt idx="2">
                  <c:v>61.5</c:v>
                </c:pt>
                <c:pt idx="3">
                  <c:v>61.7</c:v>
                </c:pt>
                <c:pt idx="4">
                  <c:v>70.8</c:v>
                </c:pt>
                <c:pt idx="5">
                  <c:v>77.900000000000006</c:v>
                </c:pt>
              </c:numCache>
            </c:numRef>
          </c:val>
          <c:extLst>
            <c:ext xmlns:c16="http://schemas.microsoft.com/office/drawing/2014/chart" uri="{C3380CC4-5D6E-409C-BE32-E72D297353CC}">
              <c16:uniqueId val="{00000007-3A22-4DA2-A1A6-9E0199D98BFE}"/>
            </c:ext>
          </c:extLst>
        </c:ser>
        <c:ser>
          <c:idx val="40"/>
          <c:order val="8"/>
          <c:tx>
            <c:strRef>
              <c:f>'Regiune si judete '!$AQ$56:$AQ$57</c:f>
              <c:strCache>
                <c:ptCount val="1"/>
                <c:pt idx="0">
                  <c:v>2015 2016 Total</c:v>
                </c:pt>
              </c:strCache>
            </c:strRef>
          </c:tx>
          <c:invertIfNegative val="0"/>
          <c:cat>
            <c:strRef>
              <c:f>'Regiune si judete '!$B$58:$B$63</c:f>
              <c:strCache>
                <c:ptCount val="6"/>
                <c:pt idx="0">
                  <c:v>România</c:v>
                </c:pt>
                <c:pt idx="1">
                  <c:v>Vest </c:v>
                </c:pt>
                <c:pt idx="2">
                  <c:v>Arad</c:v>
                </c:pt>
                <c:pt idx="3">
                  <c:v>Caraş-Severin</c:v>
                </c:pt>
                <c:pt idx="4">
                  <c:v>Hunedoara</c:v>
                </c:pt>
                <c:pt idx="5">
                  <c:v>Timiş</c:v>
                </c:pt>
              </c:strCache>
            </c:strRef>
          </c:cat>
          <c:val>
            <c:numRef>
              <c:f>'Regiune si judete '!$AQ$58:$AQ$63</c:f>
              <c:numCache>
                <c:formatCode>General</c:formatCode>
                <c:ptCount val="6"/>
                <c:pt idx="0">
                  <c:v>58.5</c:v>
                </c:pt>
                <c:pt idx="1">
                  <c:v>58.9</c:v>
                </c:pt>
                <c:pt idx="2">
                  <c:v>55.3</c:v>
                </c:pt>
                <c:pt idx="3">
                  <c:v>55.1</c:v>
                </c:pt>
                <c:pt idx="4">
                  <c:v>62.8</c:v>
                </c:pt>
                <c:pt idx="5">
                  <c:v>60.6</c:v>
                </c:pt>
              </c:numCache>
            </c:numRef>
          </c:val>
          <c:extLst>
            <c:ext xmlns:c16="http://schemas.microsoft.com/office/drawing/2014/chart" uri="{C3380CC4-5D6E-409C-BE32-E72D297353CC}">
              <c16:uniqueId val="{00000008-3A22-4DA2-A1A6-9E0199D98BFE}"/>
            </c:ext>
          </c:extLst>
        </c:ser>
        <c:dLbls>
          <c:showLegendKey val="0"/>
          <c:showVal val="0"/>
          <c:showCatName val="0"/>
          <c:showSerName val="0"/>
          <c:showPercent val="0"/>
          <c:showBubbleSize val="0"/>
        </c:dLbls>
        <c:gapWidth val="150"/>
        <c:axId val="152341120"/>
        <c:axId val="152359296"/>
      </c:barChart>
      <c:catAx>
        <c:axId val="152341120"/>
        <c:scaling>
          <c:orientation val="minMax"/>
        </c:scaling>
        <c:delete val="0"/>
        <c:axPos val="b"/>
        <c:numFmt formatCode="General" sourceLinked="1"/>
        <c:majorTickMark val="none"/>
        <c:minorTickMark val="none"/>
        <c:tickLblPos val="nextTo"/>
        <c:crossAx val="152359296"/>
        <c:crosses val="autoZero"/>
        <c:auto val="1"/>
        <c:lblAlgn val="ctr"/>
        <c:lblOffset val="100"/>
        <c:noMultiLvlLbl val="0"/>
      </c:catAx>
      <c:valAx>
        <c:axId val="152359296"/>
        <c:scaling>
          <c:orientation val="minMax"/>
        </c:scaling>
        <c:delete val="0"/>
        <c:axPos val="l"/>
        <c:majorGridlines/>
        <c:numFmt formatCode="General" sourceLinked="1"/>
        <c:majorTickMark val="none"/>
        <c:minorTickMark val="none"/>
        <c:tickLblPos val="nextTo"/>
        <c:crossAx val="152341120"/>
        <c:crosses val="autoZero"/>
        <c:crossBetween val="between"/>
      </c:valAx>
    </c:plotArea>
    <c:legend>
      <c:legendPos val="r"/>
      <c:overlay val="0"/>
    </c:legend>
    <c:plotVisOnly val="1"/>
    <c:dispBlanksAs val="gap"/>
    <c:showDLblsOverMax val="0"/>
  </c:chart>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sz="1100" b="0" i="0">
                <a:latin typeface="Arial" pitchFamily="34" charset="0"/>
                <a:cs typeface="Arial" pitchFamily="34" charset="0"/>
              </a:defRPr>
            </a:pPr>
            <a:r>
              <a:rPr lang="en-US" sz="1100" b="0" i="0" u="none" strike="noStrike" baseline="0">
                <a:latin typeface="Arial" pitchFamily="34" charset="0"/>
                <a:cs typeface="Arial" pitchFamily="34" charset="0"/>
              </a:rPr>
              <a:t>Evoluția ponderi ÎPT</a:t>
            </a:r>
            <a:endParaRPr lang="ro-RO" sz="1100" b="0" i="0">
              <a:latin typeface="Arial" pitchFamily="34" charset="0"/>
              <a:cs typeface="Arial" pitchFamily="34" charset="0"/>
            </a:endParaRPr>
          </a:p>
        </c:rich>
      </c:tx>
      <c:overlay val="0"/>
    </c:title>
    <c:autoTitleDeleted val="0"/>
    <c:plotArea>
      <c:layout/>
      <c:barChart>
        <c:barDir val="col"/>
        <c:grouping val="clustered"/>
        <c:varyColors val="0"/>
        <c:ser>
          <c:idx val="0"/>
          <c:order val="0"/>
          <c:tx>
            <c:strRef>
              <c:f>'Ev ponderi IPT public'!$C$3</c:f>
              <c:strCache>
                <c:ptCount val="1"/>
                <c:pt idx="0">
                  <c:v>2004 2005 </c:v>
                </c:pt>
              </c:strCache>
            </c:strRef>
          </c:tx>
          <c:invertIfNegative val="0"/>
          <c:cat>
            <c:strRef>
              <c:f>'Ev ponderi IPT public'!$B$49:$B$54</c:f>
              <c:strCache>
                <c:ptCount val="6"/>
                <c:pt idx="0">
                  <c:v>  Arad</c:v>
                </c:pt>
                <c:pt idx="1">
                  <c:v>  Hunedoara</c:v>
                </c:pt>
                <c:pt idx="2">
                  <c:v>  Timiş</c:v>
                </c:pt>
                <c:pt idx="3">
                  <c:v>Caraş-Severin</c:v>
                </c:pt>
                <c:pt idx="4">
                  <c:v>TOTAL VEST</c:v>
                </c:pt>
                <c:pt idx="5">
                  <c:v>TOTAL NAŢIONAL</c:v>
                </c:pt>
              </c:strCache>
            </c:strRef>
          </c:cat>
          <c:val>
            <c:numRef>
              <c:f>'Ev ponderi IPT public'!$C$49:$C$54</c:f>
              <c:numCache>
                <c:formatCode>0.0%</c:formatCode>
                <c:ptCount val="6"/>
                <c:pt idx="0">
                  <c:v>0.61838926864369248</c:v>
                </c:pt>
                <c:pt idx="1">
                  <c:v>0.60664959652392814</c:v>
                </c:pt>
                <c:pt idx="2">
                  <c:v>0.66396484664947042</c:v>
                </c:pt>
                <c:pt idx="3">
                  <c:v>0.61150985253820778</c:v>
                </c:pt>
                <c:pt idx="4">
                  <c:v>0.63034804753821838</c:v>
                </c:pt>
                <c:pt idx="5">
                  <c:v>0.59947887302482261</c:v>
                </c:pt>
              </c:numCache>
            </c:numRef>
          </c:val>
          <c:extLst>
            <c:ext xmlns:c16="http://schemas.microsoft.com/office/drawing/2014/chart" uri="{C3380CC4-5D6E-409C-BE32-E72D297353CC}">
              <c16:uniqueId val="{00000000-6EA4-4A7C-8A3B-C4391F1D14D4}"/>
            </c:ext>
          </c:extLst>
        </c:ser>
        <c:ser>
          <c:idx val="1"/>
          <c:order val="1"/>
          <c:tx>
            <c:strRef>
              <c:f>'Ev ponderi IPT public'!$D$3</c:f>
              <c:strCache>
                <c:ptCount val="1"/>
                <c:pt idx="0">
                  <c:v>2005 2006 </c:v>
                </c:pt>
              </c:strCache>
            </c:strRef>
          </c:tx>
          <c:invertIfNegative val="0"/>
          <c:cat>
            <c:strRef>
              <c:f>'Ev ponderi IPT public'!$B$49:$B$54</c:f>
              <c:strCache>
                <c:ptCount val="6"/>
                <c:pt idx="0">
                  <c:v>  Arad</c:v>
                </c:pt>
                <c:pt idx="1">
                  <c:v>  Hunedoara</c:v>
                </c:pt>
                <c:pt idx="2">
                  <c:v>  Timiş</c:v>
                </c:pt>
                <c:pt idx="3">
                  <c:v>Caraş-Severin</c:v>
                </c:pt>
                <c:pt idx="4">
                  <c:v>TOTAL VEST</c:v>
                </c:pt>
                <c:pt idx="5">
                  <c:v>TOTAL NAŢIONAL</c:v>
                </c:pt>
              </c:strCache>
            </c:strRef>
          </c:cat>
          <c:val>
            <c:numRef>
              <c:f>'Ev ponderi IPT public'!$D$49:$D$54</c:f>
              <c:numCache>
                <c:formatCode>0.0%</c:formatCode>
                <c:ptCount val="6"/>
                <c:pt idx="0">
                  <c:v>0.62851514405318964</c:v>
                </c:pt>
                <c:pt idx="1">
                  <c:v>0.61167690274430564</c:v>
                </c:pt>
                <c:pt idx="2">
                  <c:v>0.66429787106985771</c:v>
                </c:pt>
                <c:pt idx="3">
                  <c:v>0.61001164144355524</c:v>
                </c:pt>
                <c:pt idx="4">
                  <c:v>0.63355933630929306</c:v>
                </c:pt>
                <c:pt idx="5">
                  <c:v>0.59693897672825846</c:v>
                </c:pt>
              </c:numCache>
            </c:numRef>
          </c:val>
          <c:extLst>
            <c:ext xmlns:c16="http://schemas.microsoft.com/office/drawing/2014/chart" uri="{C3380CC4-5D6E-409C-BE32-E72D297353CC}">
              <c16:uniqueId val="{00000001-6EA4-4A7C-8A3B-C4391F1D14D4}"/>
            </c:ext>
          </c:extLst>
        </c:ser>
        <c:ser>
          <c:idx val="2"/>
          <c:order val="2"/>
          <c:tx>
            <c:strRef>
              <c:f>'Ev ponderi IPT public'!$E$3</c:f>
              <c:strCache>
                <c:ptCount val="1"/>
                <c:pt idx="0">
                  <c:v>2006 2007 </c:v>
                </c:pt>
              </c:strCache>
            </c:strRef>
          </c:tx>
          <c:invertIfNegative val="0"/>
          <c:cat>
            <c:strRef>
              <c:f>'Ev ponderi IPT public'!$B$49:$B$54</c:f>
              <c:strCache>
                <c:ptCount val="6"/>
                <c:pt idx="0">
                  <c:v>  Arad</c:v>
                </c:pt>
                <c:pt idx="1">
                  <c:v>  Hunedoara</c:v>
                </c:pt>
                <c:pt idx="2">
                  <c:v>  Timiş</c:v>
                </c:pt>
                <c:pt idx="3">
                  <c:v>Caraş-Severin</c:v>
                </c:pt>
                <c:pt idx="4">
                  <c:v>TOTAL VEST</c:v>
                </c:pt>
                <c:pt idx="5">
                  <c:v>TOTAL NAŢIONAL</c:v>
                </c:pt>
              </c:strCache>
            </c:strRef>
          </c:cat>
          <c:val>
            <c:numRef>
              <c:f>'Ev ponderi IPT public'!$E$49:$E$54</c:f>
              <c:numCache>
                <c:formatCode>0.0%</c:formatCode>
                <c:ptCount val="6"/>
                <c:pt idx="0">
                  <c:v>0.63065088166243422</c:v>
                </c:pt>
                <c:pt idx="1">
                  <c:v>0.63337999688911584</c:v>
                </c:pt>
                <c:pt idx="2">
                  <c:v>0.66999225683485575</c:v>
                </c:pt>
                <c:pt idx="3">
                  <c:v>0.63109337987782077</c:v>
                </c:pt>
                <c:pt idx="4">
                  <c:v>0.6453148759897227</c:v>
                </c:pt>
                <c:pt idx="5">
                  <c:v>0.60014429815312609</c:v>
                </c:pt>
              </c:numCache>
            </c:numRef>
          </c:val>
          <c:extLst>
            <c:ext xmlns:c16="http://schemas.microsoft.com/office/drawing/2014/chart" uri="{C3380CC4-5D6E-409C-BE32-E72D297353CC}">
              <c16:uniqueId val="{00000002-6EA4-4A7C-8A3B-C4391F1D14D4}"/>
            </c:ext>
          </c:extLst>
        </c:ser>
        <c:ser>
          <c:idx val="3"/>
          <c:order val="3"/>
          <c:tx>
            <c:strRef>
              <c:f>'Ev ponderi IPT public'!$F$3</c:f>
              <c:strCache>
                <c:ptCount val="1"/>
                <c:pt idx="0">
                  <c:v>2007 2008 </c:v>
                </c:pt>
              </c:strCache>
            </c:strRef>
          </c:tx>
          <c:invertIfNegative val="0"/>
          <c:cat>
            <c:strRef>
              <c:f>'Ev ponderi IPT public'!$B$49:$B$54</c:f>
              <c:strCache>
                <c:ptCount val="6"/>
                <c:pt idx="0">
                  <c:v>  Arad</c:v>
                </c:pt>
                <c:pt idx="1">
                  <c:v>  Hunedoara</c:v>
                </c:pt>
                <c:pt idx="2">
                  <c:v>  Timiş</c:v>
                </c:pt>
                <c:pt idx="3">
                  <c:v>Caraş-Severin</c:v>
                </c:pt>
                <c:pt idx="4">
                  <c:v>TOTAL VEST</c:v>
                </c:pt>
                <c:pt idx="5">
                  <c:v>TOTAL NAŢIONAL</c:v>
                </c:pt>
              </c:strCache>
            </c:strRef>
          </c:cat>
          <c:val>
            <c:numRef>
              <c:f>'Ev ponderi IPT public'!$F$49:$F$54</c:f>
              <c:numCache>
                <c:formatCode>0.0%</c:formatCode>
                <c:ptCount val="6"/>
                <c:pt idx="0">
                  <c:v>0.63658548732506604</c:v>
                </c:pt>
                <c:pt idx="1">
                  <c:v>0.65188601158805015</c:v>
                </c:pt>
                <c:pt idx="2">
                  <c:v>0.67211573456265961</c:v>
                </c:pt>
                <c:pt idx="3">
                  <c:v>0.6384748059627946</c:v>
                </c:pt>
                <c:pt idx="4">
                  <c:v>0.65338700135226457</c:v>
                </c:pt>
                <c:pt idx="5">
                  <c:v>0.6031160245329853</c:v>
                </c:pt>
              </c:numCache>
            </c:numRef>
          </c:val>
          <c:extLst>
            <c:ext xmlns:c16="http://schemas.microsoft.com/office/drawing/2014/chart" uri="{C3380CC4-5D6E-409C-BE32-E72D297353CC}">
              <c16:uniqueId val="{00000003-6EA4-4A7C-8A3B-C4391F1D14D4}"/>
            </c:ext>
          </c:extLst>
        </c:ser>
        <c:ser>
          <c:idx val="4"/>
          <c:order val="4"/>
          <c:tx>
            <c:strRef>
              <c:f>'Ev ponderi IPT public'!$G$3</c:f>
              <c:strCache>
                <c:ptCount val="1"/>
                <c:pt idx="0">
                  <c:v>2008 2009 </c:v>
                </c:pt>
              </c:strCache>
            </c:strRef>
          </c:tx>
          <c:invertIfNegative val="0"/>
          <c:cat>
            <c:strRef>
              <c:f>'Ev ponderi IPT public'!$B$49:$B$54</c:f>
              <c:strCache>
                <c:ptCount val="6"/>
                <c:pt idx="0">
                  <c:v>  Arad</c:v>
                </c:pt>
                <c:pt idx="1">
                  <c:v>  Hunedoara</c:v>
                </c:pt>
                <c:pt idx="2">
                  <c:v>  Timiş</c:v>
                </c:pt>
                <c:pt idx="3">
                  <c:v>Caraş-Severin</c:v>
                </c:pt>
                <c:pt idx="4">
                  <c:v>TOTAL VEST</c:v>
                </c:pt>
                <c:pt idx="5">
                  <c:v>TOTAL NAŢIONAL</c:v>
                </c:pt>
              </c:strCache>
            </c:strRef>
          </c:cat>
          <c:val>
            <c:numRef>
              <c:f>'Ev ponderi IPT public'!$G$49:$G$54</c:f>
              <c:numCache>
                <c:formatCode>0.0%</c:formatCode>
                <c:ptCount val="6"/>
                <c:pt idx="0">
                  <c:v>0.62254627033090293</c:v>
                </c:pt>
                <c:pt idx="1">
                  <c:v>0.6536505332239716</c:v>
                </c:pt>
                <c:pt idx="2">
                  <c:v>0.66034395548813496</c:v>
                </c:pt>
                <c:pt idx="3">
                  <c:v>0.63911915459090063</c:v>
                </c:pt>
                <c:pt idx="4">
                  <c:v>0.64678216738855165</c:v>
                </c:pt>
                <c:pt idx="5">
                  <c:v>0.59334781086407162</c:v>
                </c:pt>
              </c:numCache>
            </c:numRef>
          </c:val>
          <c:extLst>
            <c:ext xmlns:c16="http://schemas.microsoft.com/office/drawing/2014/chart" uri="{C3380CC4-5D6E-409C-BE32-E72D297353CC}">
              <c16:uniqueId val="{00000004-6EA4-4A7C-8A3B-C4391F1D14D4}"/>
            </c:ext>
          </c:extLst>
        </c:ser>
        <c:ser>
          <c:idx val="5"/>
          <c:order val="5"/>
          <c:tx>
            <c:strRef>
              <c:f>'Ev ponderi IPT public'!$H$3</c:f>
              <c:strCache>
                <c:ptCount val="1"/>
                <c:pt idx="0">
                  <c:v>2009 2010 </c:v>
                </c:pt>
              </c:strCache>
            </c:strRef>
          </c:tx>
          <c:invertIfNegative val="0"/>
          <c:cat>
            <c:strRef>
              <c:f>'Ev ponderi IPT public'!$B$49:$B$54</c:f>
              <c:strCache>
                <c:ptCount val="6"/>
                <c:pt idx="0">
                  <c:v>  Arad</c:v>
                </c:pt>
                <c:pt idx="1">
                  <c:v>  Hunedoara</c:v>
                </c:pt>
                <c:pt idx="2">
                  <c:v>  Timiş</c:v>
                </c:pt>
                <c:pt idx="3">
                  <c:v>Caraş-Severin</c:v>
                </c:pt>
                <c:pt idx="4">
                  <c:v>TOTAL VEST</c:v>
                </c:pt>
                <c:pt idx="5">
                  <c:v>TOTAL NAŢIONAL</c:v>
                </c:pt>
              </c:strCache>
            </c:strRef>
          </c:cat>
          <c:val>
            <c:numRef>
              <c:f>'Ev ponderi IPT public'!$H$49:$H$54</c:f>
              <c:numCache>
                <c:formatCode>0.0%</c:formatCode>
                <c:ptCount val="6"/>
                <c:pt idx="0">
                  <c:v>0.60254289849081388</c:v>
                </c:pt>
                <c:pt idx="1">
                  <c:v>0.65871621056157004</c:v>
                </c:pt>
                <c:pt idx="2">
                  <c:v>0.65432765632946366</c:v>
                </c:pt>
                <c:pt idx="3">
                  <c:v>0.64549608355091381</c:v>
                </c:pt>
                <c:pt idx="4">
                  <c:v>0.64286190275218769</c:v>
                </c:pt>
                <c:pt idx="5">
                  <c:v>0.59270921523933573</c:v>
                </c:pt>
              </c:numCache>
            </c:numRef>
          </c:val>
          <c:extLst>
            <c:ext xmlns:c16="http://schemas.microsoft.com/office/drawing/2014/chart" uri="{C3380CC4-5D6E-409C-BE32-E72D297353CC}">
              <c16:uniqueId val="{00000005-6EA4-4A7C-8A3B-C4391F1D14D4}"/>
            </c:ext>
          </c:extLst>
        </c:ser>
        <c:ser>
          <c:idx val="6"/>
          <c:order val="6"/>
          <c:tx>
            <c:strRef>
              <c:f>'Ev ponderi IPT public'!$I$3</c:f>
              <c:strCache>
                <c:ptCount val="1"/>
                <c:pt idx="0">
                  <c:v>2010 2011</c:v>
                </c:pt>
              </c:strCache>
            </c:strRef>
          </c:tx>
          <c:invertIfNegative val="0"/>
          <c:cat>
            <c:strRef>
              <c:f>'Ev ponderi IPT public'!$B$49:$B$54</c:f>
              <c:strCache>
                <c:ptCount val="6"/>
                <c:pt idx="0">
                  <c:v>  Arad</c:v>
                </c:pt>
                <c:pt idx="1">
                  <c:v>  Hunedoara</c:v>
                </c:pt>
                <c:pt idx="2">
                  <c:v>  Timiş</c:v>
                </c:pt>
                <c:pt idx="3">
                  <c:v>Caraş-Severin</c:v>
                </c:pt>
                <c:pt idx="4">
                  <c:v>TOTAL VEST</c:v>
                </c:pt>
                <c:pt idx="5">
                  <c:v>TOTAL NAŢIONAL</c:v>
                </c:pt>
              </c:strCache>
            </c:strRef>
          </c:cat>
          <c:val>
            <c:numRef>
              <c:f>'Ev ponderi IPT public'!$I$49:$I$54</c:f>
              <c:numCache>
                <c:formatCode>0.0%</c:formatCode>
                <c:ptCount val="6"/>
                <c:pt idx="0">
                  <c:v>0.59832680860191956</c:v>
                </c:pt>
                <c:pt idx="1">
                  <c:v>0.64036081575736448</c:v>
                </c:pt>
                <c:pt idx="2">
                  <c:v>0.63115240166040765</c:v>
                </c:pt>
                <c:pt idx="3">
                  <c:v>0.64777219430486765</c:v>
                </c:pt>
                <c:pt idx="4">
                  <c:v>0.62939429518613565</c:v>
                </c:pt>
                <c:pt idx="5">
                  <c:v>0.58125528424612549</c:v>
                </c:pt>
              </c:numCache>
            </c:numRef>
          </c:val>
          <c:extLst>
            <c:ext xmlns:c16="http://schemas.microsoft.com/office/drawing/2014/chart" uri="{C3380CC4-5D6E-409C-BE32-E72D297353CC}">
              <c16:uniqueId val="{00000006-6EA4-4A7C-8A3B-C4391F1D14D4}"/>
            </c:ext>
          </c:extLst>
        </c:ser>
        <c:ser>
          <c:idx val="7"/>
          <c:order val="7"/>
          <c:tx>
            <c:strRef>
              <c:f>'Ev ponderi IPT public'!$J$3</c:f>
              <c:strCache>
                <c:ptCount val="1"/>
                <c:pt idx="0">
                  <c:v>2011 2012</c:v>
                </c:pt>
              </c:strCache>
            </c:strRef>
          </c:tx>
          <c:invertIfNegative val="0"/>
          <c:cat>
            <c:strRef>
              <c:f>'Ev ponderi IPT public'!$B$49:$B$54</c:f>
              <c:strCache>
                <c:ptCount val="6"/>
                <c:pt idx="0">
                  <c:v>  Arad</c:v>
                </c:pt>
                <c:pt idx="1">
                  <c:v>  Hunedoara</c:v>
                </c:pt>
                <c:pt idx="2">
                  <c:v>  Timiş</c:v>
                </c:pt>
                <c:pt idx="3">
                  <c:v>Caraş-Severin</c:v>
                </c:pt>
                <c:pt idx="4">
                  <c:v>TOTAL VEST</c:v>
                </c:pt>
                <c:pt idx="5">
                  <c:v>TOTAL NAŢIONAL</c:v>
                </c:pt>
              </c:strCache>
            </c:strRef>
          </c:cat>
          <c:val>
            <c:numRef>
              <c:f>'Ev ponderi IPT public'!$J$49:$J$54</c:f>
              <c:numCache>
                <c:formatCode>0.0%</c:formatCode>
                <c:ptCount val="6"/>
                <c:pt idx="0">
                  <c:v>0.59322409211691751</c:v>
                </c:pt>
                <c:pt idx="1">
                  <c:v>0.60847754050073632</c:v>
                </c:pt>
                <c:pt idx="2">
                  <c:v>0.59175808915428407</c:v>
                </c:pt>
                <c:pt idx="3">
                  <c:v>0.63084112149534111</c:v>
                </c:pt>
                <c:pt idx="4">
                  <c:v>0.60314313346228265</c:v>
                </c:pt>
                <c:pt idx="5" formatCode="0.00%">
                  <c:v>0.56477995467506603</c:v>
                </c:pt>
              </c:numCache>
            </c:numRef>
          </c:val>
          <c:extLst>
            <c:ext xmlns:c16="http://schemas.microsoft.com/office/drawing/2014/chart" uri="{C3380CC4-5D6E-409C-BE32-E72D297353CC}">
              <c16:uniqueId val="{00000007-6EA4-4A7C-8A3B-C4391F1D14D4}"/>
            </c:ext>
          </c:extLst>
        </c:ser>
        <c:ser>
          <c:idx val="8"/>
          <c:order val="8"/>
          <c:tx>
            <c:strRef>
              <c:f>'Ev ponderi IPT public'!$K$3</c:f>
              <c:strCache>
                <c:ptCount val="1"/>
                <c:pt idx="0">
                  <c:v>2012 2013</c:v>
                </c:pt>
              </c:strCache>
            </c:strRef>
          </c:tx>
          <c:invertIfNegative val="0"/>
          <c:cat>
            <c:strRef>
              <c:f>'Ev ponderi IPT public'!$B$49:$B$54</c:f>
              <c:strCache>
                <c:ptCount val="6"/>
                <c:pt idx="0">
                  <c:v>  Arad</c:v>
                </c:pt>
                <c:pt idx="1">
                  <c:v>  Hunedoara</c:v>
                </c:pt>
                <c:pt idx="2">
                  <c:v>  Timiş</c:v>
                </c:pt>
                <c:pt idx="3">
                  <c:v>Caraş-Severin</c:v>
                </c:pt>
                <c:pt idx="4">
                  <c:v>TOTAL VEST</c:v>
                </c:pt>
                <c:pt idx="5">
                  <c:v>TOTAL NAŢIONAL</c:v>
                </c:pt>
              </c:strCache>
            </c:strRef>
          </c:cat>
          <c:val>
            <c:numRef>
              <c:f>'Ev ponderi IPT public'!$K$49:$K$54</c:f>
              <c:numCache>
                <c:formatCode>0.0%</c:formatCode>
                <c:ptCount val="6"/>
                <c:pt idx="0">
                  <c:v>0.59013652828084096</c:v>
                </c:pt>
                <c:pt idx="1">
                  <c:v>0.57413758321565456</c:v>
                </c:pt>
                <c:pt idx="2">
                  <c:v>0.54805603415986215</c:v>
                </c:pt>
                <c:pt idx="3">
                  <c:v>0.60108108108108105</c:v>
                </c:pt>
                <c:pt idx="4">
                  <c:v>0.5733586494620323</c:v>
                </c:pt>
                <c:pt idx="5">
                  <c:v>0.5437467220332296</c:v>
                </c:pt>
              </c:numCache>
            </c:numRef>
          </c:val>
          <c:extLst>
            <c:ext xmlns:c16="http://schemas.microsoft.com/office/drawing/2014/chart" uri="{C3380CC4-5D6E-409C-BE32-E72D297353CC}">
              <c16:uniqueId val="{00000008-6EA4-4A7C-8A3B-C4391F1D14D4}"/>
            </c:ext>
          </c:extLst>
        </c:ser>
        <c:ser>
          <c:idx val="9"/>
          <c:order val="9"/>
          <c:tx>
            <c:strRef>
              <c:f>'Ev ponderi IPT public'!$L$3</c:f>
              <c:strCache>
                <c:ptCount val="1"/>
                <c:pt idx="0">
                  <c:v>2013 2014</c:v>
                </c:pt>
              </c:strCache>
            </c:strRef>
          </c:tx>
          <c:invertIfNegative val="0"/>
          <c:cat>
            <c:strRef>
              <c:f>'Ev ponderi IPT public'!$B$49:$B$54</c:f>
              <c:strCache>
                <c:ptCount val="6"/>
                <c:pt idx="0">
                  <c:v>  Arad</c:v>
                </c:pt>
                <c:pt idx="1">
                  <c:v>  Hunedoara</c:v>
                </c:pt>
                <c:pt idx="2">
                  <c:v>  Timiş</c:v>
                </c:pt>
                <c:pt idx="3">
                  <c:v>Caraş-Severin</c:v>
                </c:pt>
                <c:pt idx="4">
                  <c:v>TOTAL VEST</c:v>
                </c:pt>
                <c:pt idx="5">
                  <c:v>TOTAL NAŢIONAL</c:v>
                </c:pt>
              </c:strCache>
            </c:strRef>
          </c:cat>
          <c:val>
            <c:numRef>
              <c:f>'Ev ponderi IPT public'!$L$49:$L$54</c:f>
              <c:numCache>
                <c:formatCode>0.0%</c:formatCode>
                <c:ptCount val="6"/>
                <c:pt idx="0">
                  <c:v>0.54369956548727494</c:v>
                </c:pt>
                <c:pt idx="1">
                  <c:v>0.5311288237828522</c:v>
                </c:pt>
                <c:pt idx="2">
                  <c:v>0.52189590929123753</c:v>
                </c:pt>
                <c:pt idx="3">
                  <c:v>0.58088054439615056</c:v>
                </c:pt>
                <c:pt idx="4">
                  <c:v>0.53918757134504547</c:v>
                </c:pt>
                <c:pt idx="5">
                  <c:v>0.51260334386100859</c:v>
                </c:pt>
              </c:numCache>
            </c:numRef>
          </c:val>
          <c:extLst>
            <c:ext xmlns:c16="http://schemas.microsoft.com/office/drawing/2014/chart" uri="{C3380CC4-5D6E-409C-BE32-E72D297353CC}">
              <c16:uniqueId val="{00000009-6EA4-4A7C-8A3B-C4391F1D14D4}"/>
            </c:ext>
          </c:extLst>
        </c:ser>
        <c:ser>
          <c:idx val="10"/>
          <c:order val="10"/>
          <c:tx>
            <c:strRef>
              <c:f>'Ev ponderi IPT public'!$M$3</c:f>
              <c:strCache>
                <c:ptCount val="1"/>
                <c:pt idx="0">
                  <c:v>2014 2015</c:v>
                </c:pt>
              </c:strCache>
            </c:strRef>
          </c:tx>
          <c:invertIfNegative val="0"/>
          <c:cat>
            <c:strRef>
              <c:f>'Ev ponderi IPT public'!$B$49:$B$54</c:f>
              <c:strCache>
                <c:ptCount val="6"/>
                <c:pt idx="0">
                  <c:v>  Arad</c:v>
                </c:pt>
                <c:pt idx="1">
                  <c:v>  Hunedoara</c:v>
                </c:pt>
                <c:pt idx="2">
                  <c:v>  Timiş</c:v>
                </c:pt>
                <c:pt idx="3">
                  <c:v>Caraş-Severin</c:v>
                </c:pt>
                <c:pt idx="4">
                  <c:v>TOTAL VEST</c:v>
                </c:pt>
                <c:pt idx="5">
                  <c:v>TOTAL NAŢIONAL</c:v>
                </c:pt>
              </c:strCache>
            </c:strRef>
          </c:cat>
          <c:val>
            <c:numRef>
              <c:f>'Ev ponderi IPT public'!$M$49:$M$54</c:f>
              <c:numCache>
                <c:formatCode>0.0%</c:formatCode>
                <c:ptCount val="6"/>
                <c:pt idx="0">
                  <c:v>0.53296773370743356</c:v>
                </c:pt>
                <c:pt idx="1">
                  <c:v>0.51745250629434658</c:v>
                </c:pt>
                <c:pt idx="2">
                  <c:v>0.51558190276232319</c:v>
                </c:pt>
                <c:pt idx="3">
                  <c:v>0.58628600560792388</c:v>
                </c:pt>
                <c:pt idx="4">
                  <c:v>0.53201479383975259</c:v>
                </c:pt>
                <c:pt idx="5">
                  <c:v>0.50010608425971526</c:v>
                </c:pt>
              </c:numCache>
            </c:numRef>
          </c:val>
          <c:extLst>
            <c:ext xmlns:c16="http://schemas.microsoft.com/office/drawing/2014/chart" uri="{C3380CC4-5D6E-409C-BE32-E72D297353CC}">
              <c16:uniqueId val="{0000000A-6EA4-4A7C-8A3B-C4391F1D14D4}"/>
            </c:ext>
          </c:extLst>
        </c:ser>
        <c:ser>
          <c:idx val="11"/>
          <c:order val="11"/>
          <c:tx>
            <c:strRef>
              <c:f>'Ev ponderi IPT public'!$N$3</c:f>
              <c:strCache>
                <c:ptCount val="1"/>
                <c:pt idx="0">
                  <c:v>2015 2016</c:v>
                </c:pt>
              </c:strCache>
            </c:strRef>
          </c:tx>
          <c:invertIfNegative val="0"/>
          <c:cat>
            <c:strRef>
              <c:f>'Ev ponderi IPT public'!$B$49:$B$54</c:f>
              <c:strCache>
                <c:ptCount val="6"/>
                <c:pt idx="0">
                  <c:v>  Arad</c:v>
                </c:pt>
                <c:pt idx="1">
                  <c:v>  Hunedoara</c:v>
                </c:pt>
                <c:pt idx="2">
                  <c:v>  Timiş</c:v>
                </c:pt>
                <c:pt idx="3">
                  <c:v>Caraş-Severin</c:v>
                </c:pt>
                <c:pt idx="4">
                  <c:v>TOTAL VEST</c:v>
                </c:pt>
                <c:pt idx="5">
                  <c:v>TOTAL NAŢIONAL</c:v>
                </c:pt>
              </c:strCache>
            </c:strRef>
          </c:cat>
          <c:val>
            <c:numRef>
              <c:f>'Ev ponderi IPT public'!$N$49:$N$54</c:f>
              <c:numCache>
                <c:formatCode>0.0%</c:formatCode>
                <c:ptCount val="6"/>
                <c:pt idx="0">
                  <c:v>0.52198865532198868</c:v>
                </c:pt>
                <c:pt idx="1">
                  <c:v>0.51466054047518284</c:v>
                </c:pt>
                <c:pt idx="2">
                  <c:v>0.51695391127813062</c:v>
                </c:pt>
                <c:pt idx="3">
                  <c:v>0.59428170496402721</c:v>
                </c:pt>
                <c:pt idx="4">
                  <c:v>0.53086457119508468</c:v>
                </c:pt>
                <c:pt idx="5">
                  <c:v>0.49787150668828545</c:v>
                </c:pt>
              </c:numCache>
            </c:numRef>
          </c:val>
          <c:extLst>
            <c:ext xmlns:c16="http://schemas.microsoft.com/office/drawing/2014/chart" uri="{C3380CC4-5D6E-409C-BE32-E72D297353CC}">
              <c16:uniqueId val="{0000000B-6EA4-4A7C-8A3B-C4391F1D14D4}"/>
            </c:ext>
          </c:extLst>
        </c:ser>
        <c:dLbls>
          <c:showLegendKey val="0"/>
          <c:showVal val="0"/>
          <c:showCatName val="0"/>
          <c:showSerName val="0"/>
          <c:showPercent val="0"/>
          <c:showBubbleSize val="0"/>
        </c:dLbls>
        <c:gapWidth val="75"/>
        <c:overlap val="-25"/>
        <c:axId val="152491904"/>
        <c:axId val="152493440"/>
      </c:barChart>
      <c:catAx>
        <c:axId val="152491904"/>
        <c:scaling>
          <c:orientation val="minMax"/>
        </c:scaling>
        <c:delete val="0"/>
        <c:axPos val="b"/>
        <c:numFmt formatCode="General" sourceLinked="1"/>
        <c:majorTickMark val="none"/>
        <c:minorTickMark val="none"/>
        <c:tickLblPos val="nextTo"/>
        <c:txPr>
          <a:bodyPr rot="0" vert="horz"/>
          <a:lstStyle/>
          <a:p>
            <a:pPr>
              <a:defRPr/>
            </a:pPr>
            <a:endParaRPr lang="en-US"/>
          </a:p>
        </c:txPr>
        <c:crossAx val="152493440"/>
        <c:crosses val="autoZero"/>
        <c:auto val="1"/>
        <c:lblAlgn val="ctr"/>
        <c:lblOffset val="100"/>
        <c:noMultiLvlLbl val="0"/>
      </c:catAx>
      <c:valAx>
        <c:axId val="152493440"/>
        <c:scaling>
          <c:orientation val="minMax"/>
        </c:scaling>
        <c:delete val="0"/>
        <c:axPos val="l"/>
        <c:majorGridlines/>
        <c:numFmt formatCode="0.0%" sourceLinked="1"/>
        <c:majorTickMark val="none"/>
        <c:minorTickMark val="none"/>
        <c:tickLblPos val="nextTo"/>
        <c:spPr>
          <a:ln w="9525">
            <a:noFill/>
          </a:ln>
        </c:spPr>
        <c:txPr>
          <a:bodyPr rot="0" vert="horz"/>
          <a:lstStyle/>
          <a:p>
            <a:pPr>
              <a:defRPr/>
            </a:pPr>
            <a:endParaRPr lang="en-US"/>
          </a:p>
        </c:txPr>
        <c:crossAx val="152491904"/>
        <c:crosses val="autoZero"/>
        <c:crossBetween val="between"/>
      </c:valAx>
    </c:plotArea>
    <c:legend>
      <c:legendPos val="b"/>
      <c:overlay val="0"/>
    </c:legend>
    <c:plotVisOnly val="1"/>
    <c:dispBlanksAs val="gap"/>
    <c:showDLblsOverMax val="0"/>
  </c:chart>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percentStacked"/>
        <c:varyColors val="0"/>
        <c:ser>
          <c:idx val="0"/>
          <c:order val="0"/>
          <c:tx>
            <c:strRef>
              <c:f>Vest!$C$2</c:f>
              <c:strCache>
                <c:ptCount val="1"/>
                <c:pt idx="0">
                  <c:v>Pondere învăţământ profesional</c:v>
                </c:pt>
              </c:strCache>
            </c:strRef>
          </c:tx>
          <c:invertIfNegative val="0"/>
          <c:cat>
            <c:multiLvlStrRef>
              <c:f>Vest!$A$51:$B$62</c:f>
              <c:multiLvlStrCache>
                <c:ptCount val="12"/>
                <c:lvl>
                  <c:pt idx="0">
                    <c:v>2004-2005</c:v>
                  </c:pt>
                  <c:pt idx="1">
                    <c:v>2005-2006 </c:v>
                  </c:pt>
                  <c:pt idx="2">
                    <c:v>2006-2007 </c:v>
                  </c:pt>
                  <c:pt idx="3">
                    <c:v>2007-2008 </c:v>
                  </c:pt>
                  <c:pt idx="4">
                    <c:v>2008-2009 </c:v>
                  </c:pt>
                  <c:pt idx="5">
                    <c:v>2009-2010 </c:v>
                  </c:pt>
                  <c:pt idx="6">
                    <c:v>2010-2011</c:v>
                  </c:pt>
                  <c:pt idx="7">
                    <c:v>2011-2012</c:v>
                  </c:pt>
                  <c:pt idx="8">
                    <c:v>2012-2013</c:v>
                  </c:pt>
                  <c:pt idx="9">
                    <c:v>2013-2014</c:v>
                  </c:pt>
                  <c:pt idx="10">
                    <c:v>2014-2015</c:v>
                  </c:pt>
                  <c:pt idx="11">
                    <c:v>2015-2016</c:v>
                  </c:pt>
                </c:lvl>
                <c:lvl>
                  <c:pt idx="0">
                    <c:v>Regiunea Vest</c:v>
                  </c:pt>
                </c:lvl>
              </c:multiLvlStrCache>
            </c:multiLvlStrRef>
          </c:cat>
          <c:val>
            <c:numRef>
              <c:f>Vest!$C$51:$C$62</c:f>
              <c:numCache>
                <c:formatCode>0.0%</c:formatCode>
                <c:ptCount val="12"/>
                <c:pt idx="0">
                  <c:v>0.25687606112055772</c:v>
                </c:pt>
                <c:pt idx="1">
                  <c:v>0.25253726943485238</c:v>
                </c:pt>
                <c:pt idx="2">
                  <c:v>0.22744481149389573</c:v>
                </c:pt>
                <c:pt idx="3">
                  <c:v>0.19633198106828975</c:v>
                </c:pt>
                <c:pt idx="4">
                  <c:v>0.1741479634247714</c:v>
                </c:pt>
                <c:pt idx="5">
                  <c:v>0.10852084675359583</c:v>
                </c:pt>
                <c:pt idx="6">
                  <c:v>5.4596311899995476E-2</c:v>
                </c:pt>
                <c:pt idx="7">
                  <c:v>7.7611218568665406E-3</c:v>
                </c:pt>
                <c:pt idx="8">
                  <c:v>1.4543857609692817E-2</c:v>
                </c:pt>
                <c:pt idx="9">
                  <c:v>2.837096639474344E-2</c:v>
                </c:pt>
                <c:pt idx="10">
                  <c:v>5.4335577450952334E-2</c:v>
                </c:pt>
                <c:pt idx="11">
                  <c:v>7.5712404848746057E-2</c:v>
                </c:pt>
              </c:numCache>
            </c:numRef>
          </c:val>
          <c:extLst>
            <c:ext xmlns:c16="http://schemas.microsoft.com/office/drawing/2014/chart" uri="{C3380CC4-5D6E-409C-BE32-E72D297353CC}">
              <c16:uniqueId val="{00000000-25ED-41CB-A7AD-F62DD55009C4}"/>
            </c:ext>
          </c:extLst>
        </c:ser>
        <c:ser>
          <c:idx val="1"/>
          <c:order val="1"/>
          <c:tx>
            <c:strRef>
              <c:f>Vest!$D$2</c:f>
              <c:strCache>
                <c:ptCount val="1"/>
                <c:pt idx="0">
                  <c:v>Pondere învăţământ liceal tehnologic</c:v>
                </c:pt>
              </c:strCache>
            </c:strRef>
          </c:tx>
          <c:invertIfNegative val="0"/>
          <c:cat>
            <c:multiLvlStrRef>
              <c:f>Vest!$A$51:$B$62</c:f>
              <c:multiLvlStrCache>
                <c:ptCount val="12"/>
                <c:lvl>
                  <c:pt idx="0">
                    <c:v>2004-2005</c:v>
                  </c:pt>
                  <c:pt idx="1">
                    <c:v>2005-2006 </c:v>
                  </c:pt>
                  <c:pt idx="2">
                    <c:v>2006-2007 </c:v>
                  </c:pt>
                  <c:pt idx="3">
                    <c:v>2007-2008 </c:v>
                  </c:pt>
                  <c:pt idx="4">
                    <c:v>2008-2009 </c:v>
                  </c:pt>
                  <c:pt idx="5">
                    <c:v>2009-2010 </c:v>
                  </c:pt>
                  <c:pt idx="6">
                    <c:v>2010-2011</c:v>
                  </c:pt>
                  <c:pt idx="7">
                    <c:v>2011-2012</c:v>
                  </c:pt>
                  <c:pt idx="8">
                    <c:v>2012-2013</c:v>
                  </c:pt>
                  <c:pt idx="9">
                    <c:v>2013-2014</c:v>
                  </c:pt>
                  <c:pt idx="10">
                    <c:v>2014-2015</c:v>
                  </c:pt>
                  <c:pt idx="11">
                    <c:v>2015-2016</c:v>
                  </c:pt>
                </c:lvl>
                <c:lvl>
                  <c:pt idx="0">
                    <c:v>Regiunea Vest</c:v>
                  </c:pt>
                </c:lvl>
              </c:multiLvlStrCache>
            </c:multiLvlStrRef>
          </c:cat>
          <c:val>
            <c:numRef>
              <c:f>Vest!$D$51:$D$62</c:f>
              <c:numCache>
                <c:formatCode>0.0%</c:formatCode>
                <c:ptCount val="12"/>
                <c:pt idx="0">
                  <c:v>0.37347198641766965</c:v>
                </c:pt>
                <c:pt idx="1">
                  <c:v>0.38102206687443629</c:v>
                </c:pt>
                <c:pt idx="2">
                  <c:v>0.41787006449584113</c:v>
                </c:pt>
                <c:pt idx="3">
                  <c:v>0.45705502028397565</c:v>
                </c:pt>
                <c:pt idx="4">
                  <c:v>0.47263420396377481</c:v>
                </c:pt>
                <c:pt idx="5">
                  <c:v>0.53434105599859716</c:v>
                </c:pt>
                <c:pt idx="6">
                  <c:v>0.57479798328613863</c:v>
                </c:pt>
                <c:pt idx="7">
                  <c:v>0.59538201160541548</c:v>
                </c:pt>
                <c:pt idx="8">
                  <c:v>0.55881479185232241</c:v>
                </c:pt>
                <c:pt idx="9">
                  <c:v>0.51081660495030157</c:v>
                </c:pt>
                <c:pt idx="10">
                  <c:v>0.47767921638880834</c:v>
                </c:pt>
                <c:pt idx="11">
                  <c:v>0.45515216634634331</c:v>
                </c:pt>
              </c:numCache>
            </c:numRef>
          </c:val>
          <c:extLst>
            <c:ext xmlns:c16="http://schemas.microsoft.com/office/drawing/2014/chart" uri="{C3380CC4-5D6E-409C-BE32-E72D297353CC}">
              <c16:uniqueId val="{00000001-25ED-41CB-A7AD-F62DD55009C4}"/>
            </c:ext>
          </c:extLst>
        </c:ser>
        <c:ser>
          <c:idx val="2"/>
          <c:order val="2"/>
          <c:tx>
            <c:strRef>
              <c:f>Vest!$E$2</c:f>
              <c:strCache>
                <c:ptCount val="1"/>
                <c:pt idx="0">
                  <c:v>Pondere îmvăţământ liceal teroretic şi vocţional</c:v>
                </c:pt>
              </c:strCache>
            </c:strRef>
          </c:tx>
          <c:invertIfNegative val="0"/>
          <c:cat>
            <c:multiLvlStrRef>
              <c:f>Vest!$A$51:$B$62</c:f>
              <c:multiLvlStrCache>
                <c:ptCount val="12"/>
                <c:lvl>
                  <c:pt idx="0">
                    <c:v>2004-2005</c:v>
                  </c:pt>
                  <c:pt idx="1">
                    <c:v>2005-2006 </c:v>
                  </c:pt>
                  <c:pt idx="2">
                    <c:v>2006-2007 </c:v>
                  </c:pt>
                  <c:pt idx="3">
                    <c:v>2007-2008 </c:v>
                  </c:pt>
                  <c:pt idx="4">
                    <c:v>2008-2009 </c:v>
                  </c:pt>
                  <c:pt idx="5">
                    <c:v>2009-2010 </c:v>
                  </c:pt>
                  <c:pt idx="6">
                    <c:v>2010-2011</c:v>
                  </c:pt>
                  <c:pt idx="7">
                    <c:v>2011-2012</c:v>
                  </c:pt>
                  <c:pt idx="8">
                    <c:v>2012-2013</c:v>
                  </c:pt>
                  <c:pt idx="9">
                    <c:v>2013-2014</c:v>
                  </c:pt>
                  <c:pt idx="10">
                    <c:v>2014-2015</c:v>
                  </c:pt>
                  <c:pt idx="11">
                    <c:v>2015-2016</c:v>
                  </c:pt>
                </c:lvl>
                <c:lvl>
                  <c:pt idx="0">
                    <c:v>Regiunea Vest</c:v>
                  </c:pt>
                </c:lvl>
              </c:multiLvlStrCache>
            </c:multiLvlStrRef>
          </c:cat>
          <c:val>
            <c:numRef>
              <c:f>Vest!$E$51:$E$62</c:f>
              <c:numCache>
                <c:formatCode>0.0%</c:formatCode>
                <c:ptCount val="12"/>
                <c:pt idx="0">
                  <c:v>0.36965195246179244</c:v>
                </c:pt>
                <c:pt idx="1">
                  <c:v>0.36644066369073663</c:v>
                </c:pt>
                <c:pt idx="2">
                  <c:v>0.35468512401027741</c:v>
                </c:pt>
                <c:pt idx="3">
                  <c:v>0.34661299864773631</c:v>
                </c:pt>
                <c:pt idx="4">
                  <c:v>0.35321783261145384</c:v>
                </c:pt>
                <c:pt idx="5">
                  <c:v>0.35713809724783746</c:v>
                </c:pt>
                <c:pt idx="6">
                  <c:v>0.37060570481387595</c:v>
                </c:pt>
                <c:pt idx="7">
                  <c:v>0.39685686653773256</c:v>
                </c:pt>
                <c:pt idx="8">
                  <c:v>0.42664135053796776</c:v>
                </c:pt>
                <c:pt idx="9">
                  <c:v>0.46081242865496441</c:v>
                </c:pt>
                <c:pt idx="10">
                  <c:v>0.46798520616025607</c:v>
                </c:pt>
                <c:pt idx="11">
                  <c:v>0.46913542880491527</c:v>
                </c:pt>
              </c:numCache>
            </c:numRef>
          </c:val>
          <c:extLst>
            <c:ext xmlns:c16="http://schemas.microsoft.com/office/drawing/2014/chart" uri="{C3380CC4-5D6E-409C-BE32-E72D297353CC}">
              <c16:uniqueId val="{00000002-25ED-41CB-A7AD-F62DD55009C4}"/>
            </c:ext>
          </c:extLst>
        </c:ser>
        <c:dLbls>
          <c:showLegendKey val="0"/>
          <c:showVal val="0"/>
          <c:showCatName val="0"/>
          <c:showSerName val="0"/>
          <c:showPercent val="0"/>
          <c:showBubbleSize val="0"/>
        </c:dLbls>
        <c:gapWidth val="150"/>
        <c:overlap val="100"/>
        <c:axId val="152780800"/>
        <c:axId val="152782336"/>
      </c:barChart>
      <c:catAx>
        <c:axId val="152780800"/>
        <c:scaling>
          <c:orientation val="minMax"/>
        </c:scaling>
        <c:delete val="0"/>
        <c:axPos val="b"/>
        <c:numFmt formatCode="General" sourceLinked="0"/>
        <c:majorTickMark val="out"/>
        <c:minorTickMark val="none"/>
        <c:tickLblPos val="nextTo"/>
        <c:crossAx val="152782336"/>
        <c:crosses val="autoZero"/>
        <c:auto val="1"/>
        <c:lblAlgn val="ctr"/>
        <c:lblOffset val="100"/>
        <c:noMultiLvlLbl val="0"/>
      </c:catAx>
      <c:valAx>
        <c:axId val="152782336"/>
        <c:scaling>
          <c:orientation val="minMax"/>
        </c:scaling>
        <c:delete val="0"/>
        <c:axPos val="l"/>
        <c:majorGridlines/>
        <c:numFmt formatCode="0%" sourceLinked="1"/>
        <c:majorTickMark val="out"/>
        <c:minorTickMark val="none"/>
        <c:tickLblPos val="nextTo"/>
        <c:crossAx val="152780800"/>
        <c:crosses val="autoZero"/>
        <c:crossBetween val="between"/>
      </c:valAx>
    </c:plotArea>
    <c:legend>
      <c:legendPos val="r"/>
      <c:overlay val="0"/>
    </c:legend>
    <c:plotVisOnly val="1"/>
    <c:dispBlanksAs val="gap"/>
    <c:showDLblsOverMax val="0"/>
  </c:chart>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latin typeface="Arial" pitchFamily="34" charset="0"/>
                <a:cs typeface="Arial" pitchFamily="34" charset="0"/>
              </a:defRPr>
            </a:pPr>
            <a:r>
              <a:rPr lang="vi-VN" sz="1100" b="0">
                <a:latin typeface="Arial" pitchFamily="34" charset="0"/>
                <a:cs typeface="Arial" pitchFamily="34" charset="0"/>
              </a:rPr>
              <a:t>Ponderea elevilor înscrişi  în învăţământul secundar superio</a:t>
            </a:r>
            <a:r>
              <a:rPr lang="ro-RO" sz="1100" b="0">
                <a:latin typeface="Arial" pitchFamily="34" charset="0"/>
                <a:cs typeface="Arial" pitchFamily="34" charset="0"/>
              </a:rPr>
              <a:t>r  </a:t>
            </a:r>
            <a:r>
              <a:rPr lang="vi-VN" sz="1100" b="0">
                <a:latin typeface="Arial" pitchFamily="34" charset="0"/>
                <a:cs typeface="Arial" pitchFamily="34" charset="0"/>
              </a:rPr>
              <a:t>2015-2016</a:t>
            </a:r>
          </a:p>
        </c:rich>
      </c:tx>
      <c:overlay val="0"/>
    </c:title>
    <c:autoTitleDeleted val="0"/>
    <c:plotArea>
      <c:layout/>
      <c:barChart>
        <c:barDir val="col"/>
        <c:grouping val="percentStacked"/>
        <c:varyColors val="0"/>
        <c:ser>
          <c:idx val="0"/>
          <c:order val="0"/>
          <c:tx>
            <c:strRef>
              <c:f>'Regiuni 2015-2016'!$B$2</c:f>
              <c:strCache>
                <c:ptCount val="1"/>
                <c:pt idx="0">
                  <c:v>Pondere învăţământ profesional</c:v>
                </c:pt>
              </c:strCache>
            </c:strRef>
          </c:tx>
          <c:spPr>
            <a:solidFill>
              <a:schemeClr val="tx2">
                <a:lumMod val="60000"/>
                <a:lumOff val="40000"/>
              </a:schemeClr>
            </a:solidFill>
          </c:spPr>
          <c:invertIfNegative val="0"/>
          <c:dLbls>
            <c:dLbl>
              <c:idx val="0"/>
              <c:layout>
                <c:manualLayout>
                  <c:x val="0"/>
                  <c:y val="-1.27253446447508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1C9-4C66-9876-3CA86E15436A}"/>
                </c:ext>
              </c:extLst>
            </c:dLbl>
            <c:spPr>
              <a:noFill/>
              <a:ln>
                <a:noFill/>
              </a:ln>
              <a:effectLst/>
            </c:spPr>
            <c:txPr>
              <a:bodyPr/>
              <a:lstStyle/>
              <a:p>
                <a:pPr>
                  <a:defRPr sz="700" b="1">
                    <a:latin typeface="Arial Narrow" panose="020B0606020202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'Regiuni 2015-2016'!$A$3:$A$11</c:f>
              <c:strCache>
                <c:ptCount val="9"/>
                <c:pt idx="0">
                  <c:v>BUCUREŞTI - ILFOV</c:v>
                </c:pt>
                <c:pt idx="1">
                  <c:v>CENTRU</c:v>
                </c:pt>
                <c:pt idx="2">
                  <c:v>NORD - EST</c:v>
                </c:pt>
                <c:pt idx="3">
                  <c:v>NORD - VEST</c:v>
                </c:pt>
                <c:pt idx="4">
                  <c:v>SUD - EST</c:v>
                </c:pt>
                <c:pt idx="5">
                  <c:v>SUD - VEST OLTENIA</c:v>
                </c:pt>
                <c:pt idx="6">
                  <c:v>SUD MUNTENIA</c:v>
                </c:pt>
                <c:pt idx="7">
                  <c:v>VEST</c:v>
                </c:pt>
                <c:pt idx="8">
                  <c:v>TOTAL NAŢIONAL</c:v>
                </c:pt>
              </c:strCache>
            </c:strRef>
          </c:cat>
          <c:val>
            <c:numRef>
              <c:f>'Regiuni 2015-2016'!$B$3:$B$11</c:f>
              <c:numCache>
                <c:formatCode>0.0%</c:formatCode>
                <c:ptCount val="9"/>
                <c:pt idx="0">
                  <c:v>2.4193993596113652E-2</c:v>
                </c:pt>
                <c:pt idx="1">
                  <c:v>0.1388532565287896</c:v>
                </c:pt>
                <c:pt idx="2">
                  <c:v>0.12951455161495537</c:v>
                </c:pt>
                <c:pt idx="3">
                  <c:v>0.11250903986046484</c:v>
                </c:pt>
                <c:pt idx="4">
                  <c:v>8.0497005141807548E-2</c:v>
                </c:pt>
                <c:pt idx="5">
                  <c:v>6.9650475082412303E-2</c:v>
                </c:pt>
                <c:pt idx="6">
                  <c:v>7.4591608324998823E-2</c:v>
                </c:pt>
                <c:pt idx="7">
                  <c:v>7.5712404848745946E-2</c:v>
                </c:pt>
                <c:pt idx="8">
                  <c:v>9.220822103995413E-2</c:v>
                </c:pt>
              </c:numCache>
            </c:numRef>
          </c:val>
          <c:extLst>
            <c:ext xmlns:c16="http://schemas.microsoft.com/office/drawing/2014/chart" uri="{C3380CC4-5D6E-409C-BE32-E72D297353CC}">
              <c16:uniqueId val="{00000001-51C9-4C66-9876-3CA86E15436A}"/>
            </c:ext>
          </c:extLst>
        </c:ser>
        <c:ser>
          <c:idx val="1"/>
          <c:order val="1"/>
          <c:tx>
            <c:strRef>
              <c:f>'Regiuni 2015-2016'!$C$2</c:f>
              <c:strCache>
                <c:ptCount val="1"/>
                <c:pt idx="0">
                  <c:v>Pondere învăţământ liceal tehnologic</c:v>
                </c:pt>
              </c:strCache>
            </c:strRef>
          </c:tx>
          <c:spPr>
            <a:solidFill>
              <a:schemeClr val="tx2">
                <a:lumMod val="40000"/>
                <a:lumOff val="60000"/>
              </a:schemeClr>
            </a:solidFill>
          </c:spPr>
          <c:invertIfNegative val="0"/>
          <c:dLbls>
            <c:spPr>
              <a:noFill/>
              <a:ln>
                <a:noFill/>
              </a:ln>
              <a:effectLst/>
            </c:spPr>
            <c:txPr>
              <a:bodyPr/>
              <a:lstStyle/>
              <a:p>
                <a:pPr>
                  <a:defRPr sz="700" b="1">
                    <a:latin typeface="Arial Narrow" panose="020B0606020202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'Regiuni 2015-2016'!$A$3:$A$11</c:f>
              <c:strCache>
                <c:ptCount val="9"/>
                <c:pt idx="0">
                  <c:v>BUCUREŞTI - ILFOV</c:v>
                </c:pt>
                <c:pt idx="1">
                  <c:v>CENTRU</c:v>
                </c:pt>
                <c:pt idx="2">
                  <c:v>NORD - EST</c:v>
                </c:pt>
                <c:pt idx="3">
                  <c:v>NORD - VEST</c:v>
                </c:pt>
                <c:pt idx="4">
                  <c:v>SUD - EST</c:v>
                </c:pt>
                <c:pt idx="5">
                  <c:v>SUD - VEST OLTENIA</c:v>
                </c:pt>
                <c:pt idx="6">
                  <c:v>SUD MUNTENIA</c:v>
                </c:pt>
                <c:pt idx="7">
                  <c:v>VEST</c:v>
                </c:pt>
                <c:pt idx="8">
                  <c:v>TOTAL NAŢIONAL</c:v>
                </c:pt>
              </c:strCache>
            </c:strRef>
          </c:cat>
          <c:val>
            <c:numRef>
              <c:f>'Regiuni 2015-2016'!$C$3:$C$11</c:f>
              <c:numCache>
                <c:formatCode>0.0%</c:formatCode>
                <c:ptCount val="9"/>
                <c:pt idx="0">
                  <c:v>0.33224301645136323</c:v>
                </c:pt>
                <c:pt idx="1">
                  <c:v>0.37915385918629135</c:v>
                </c:pt>
                <c:pt idx="2">
                  <c:v>0.39174693358190182</c:v>
                </c:pt>
                <c:pt idx="3">
                  <c:v>0.36813502360998851</c:v>
                </c:pt>
                <c:pt idx="4">
                  <c:v>0.43394462501767928</c:v>
                </c:pt>
                <c:pt idx="5">
                  <c:v>0.45701231336049147</c:v>
                </c:pt>
                <c:pt idx="6">
                  <c:v>0.43244272991380922</c:v>
                </c:pt>
                <c:pt idx="7">
                  <c:v>0.45515216634634331</c:v>
                </c:pt>
                <c:pt idx="8">
                  <c:v>0.40566328564832377</c:v>
                </c:pt>
              </c:numCache>
            </c:numRef>
          </c:val>
          <c:extLst>
            <c:ext xmlns:c16="http://schemas.microsoft.com/office/drawing/2014/chart" uri="{C3380CC4-5D6E-409C-BE32-E72D297353CC}">
              <c16:uniqueId val="{00000002-51C9-4C66-9876-3CA86E15436A}"/>
            </c:ext>
          </c:extLst>
        </c:ser>
        <c:ser>
          <c:idx val="2"/>
          <c:order val="2"/>
          <c:tx>
            <c:strRef>
              <c:f>'Regiuni 2015-2016'!$D$2</c:f>
              <c:strCache>
                <c:ptCount val="1"/>
                <c:pt idx="0">
                  <c:v>Pondere îmvăţământ liceal teroretic şi vocţional</c:v>
                </c:pt>
              </c:strCache>
            </c:strRef>
          </c:tx>
          <c:spPr>
            <a:solidFill>
              <a:schemeClr val="tx2">
                <a:lumMod val="20000"/>
                <a:lumOff val="80000"/>
              </a:schemeClr>
            </a:solidFill>
          </c:spPr>
          <c:invertIfNegative val="0"/>
          <c:dLbls>
            <c:spPr>
              <a:noFill/>
              <a:ln>
                <a:noFill/>
              </a:ln>
              <a:effectLst/>
            </c:spPr>
            <c:txPr>
              <a:bodyPr/>
              <a:lstStyle/>
              <a:p>
                <a:pPr>
                  <a:defRPr sz="700" b="1">
                    <a:latin typeface="Arial Narrow" panose="020B0606020202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'Regiuni 2015-2016'!$A$3:$A$11</c:f>
              <c:strCache>
                <c:ptCount val="9"/>
                <c:pt idx="0">
                  <c:v>BUCUREŞTI - ILFOV</c:v>
                </c:pt>
                <c:pt idx="1">
                  <c:v>CENTRU</c:v>
                </c:pt>
                <c:pt idx="2">
                  <c:v>NORD - EST</c:v>
                </c:pt>
                <c:pt idx="3">
                  <c:v>NORD - VEST</c:v>
                </c:pt>
                <c:pt idx="4">
                  <c:v>SUD - EST</c:v>
                </c:pt>
                <c:pt idx="5">
                  <c:v>SUD - VEST OLTENIA</c:v>
                </c:pt>
                <c:pt idx="6">
                  <c:v>SUD MUNTENIA</c:v>
                </c:pt>
                <c:pt idx="7">
                  <c:v>VEST</c:v>
                </c:pt>
                <c:pt idx="8">
                  <c:v>TOTAL NAŢIONAL</c:v>
                </c:pt>
              </c:strCache>
            </c:strRef>
          </c:cat>
          <c:val>
            <c:numRef>
              <c:f>'Regiuni 2015-2016'!$D$3:$D$11</c:f>
              <c:numCache>
                <c:formatCode>0.0%</c:formatCode>
                <c:ptCount val="9"/>
                <c:pt idx="0">
                  <c:v>0.64356298995250238</c:v>
                </c:pt>
                <c:pt idx="1">
                  <c:v>0.48199288428493076</c:v>
                </c:pt>
                <c:pt idx="2">
                  <c:v>0.47873851480314261</c:v>
                </c:pt>
                <c:pt idx="3">
                  <c:v>0.51935593652956202</c:v>
                </c:pt>
                <c:pt idx="4">
                  <c:v>0.48555836984053674</c:v>
                </c:pt>
                <c:pt idx="5">
                  <c:v>0.47333721155710684</c:v>
                </c:pt>
                <c:pt idx="6">
                  <c:v>0.49296566176121587</c:v>
                </c:pt>
                <c:pt idx="7">
                  <c:v>0.46913542880491527</c:v>
                </c:pt>
                <c:pt idx="8">
                  <c:v>0.50212849331172182</c:v>
                </c:pt>
              </c:numCache>
            </c:numRef>
          </c:val>
          <c:extLst>
            <c:ext xmlns:c16="http://schemas.microsoft.com/office/drawing/2014/chart" uri="{C3380CC4-5D6E-409C-BE32-E72D297353CC}">
              <c16:uniqueId val="{00000003-51C9-4C66-9876-3CA86E15436A}"/>
            </c:ext>
          </c:extLst>
        </c:ser>
        <c:dLbls>
          <c:showLegendKey val="0"/>
          <c:showVal val="0"/>
          <c:showCatName val="0"/>
          <c:showSerName val="0"/>
          <c:showPercent val="0"/>
          <c:showBubbleSize val="0"/>
        </c:dLbls>
        <c:gapWidth val="45"/>
        <c:overlap val="100"/>
        <c:axId val="152826624"/>
        <c:axId val="152828160"/>
      </c:barChart>
      <c:catAx>
        <c:axId val="152826624"/>
        <c:scaling>
          <c:orientation val="minMax"/>
        </c:scaling>
        <c:delete val="0"/>
        <c:axPos val="b"/>
        <c:numFmt formatCode="General" sourceLinked="0"/>
        <c:majorTickMark val="none"/>
        <c:minorTickMark val="none"/>
        <c:tickLblPos val="nextTo"/>
        <c:txPr>
          <a:bodyPr/>
          <a:lstStyle/>
          <a:p>
            <a:pPr>
              <a:defRPr sz="700" b="1">
                <a:latin typeface="Arial Narrow" panose="020B0606020202030204" pitchFamily="34" charset="0"/>
              </a:defRPr>
            </a:pPr>
            <a:endParaRPr lang="en-US"/>
          </a:p>
        </c:txPr>
        <c:crossAx val="152828160"/>
        <c:crosses val="autoZero"/>
        <c:auto val="1"/>
        <c:lblAlgn val="ctr"/>
        <c:lblOffset val="100"/>
        <c:noMultiLvlLbl val="0"/>
      </c:catAx>
      <c:valAx>
        <c:axId val="152828160"/>
        <c:scaling>
          <c:orientation val="minMax"/>
        </c:scaling>
        <c:delete val="0"/>
        <c:axPos val="l"/>
        <c:majorGridlines/>
        <c:numFmt formatCode="0%" sourceLinked="1"/>
        <c:majorTickMark val="none"/>
        <c:minorTickMark val="none"/>
        <c:tickLblPos val="nextTo"/>
        <c:spPr>
          <a:ln w="9525">
            <a:noFill/>
          </a:ln>
        </c:spPr>
        <c:txPr>
          <a:bodyPr/>
          <a:lstStyle/>
          <a:p>
            <a:pPr>
              <a:defRPr sz="800">
                <a:latin typeface="Arial Narrow" panose="020B0606020202030204" pitchFamily="34" charset="0"/>
              </a:defRPr>
            </a:pPr>
            <a:endParaRPr lang="en-US"/>
          </a:p>
        </c:txPr>
        <c:crossAx val="152826624"/>
        <c:crosses val="autoZero"/>
        <c:crossBetween val="between"/>
      </c:valAx>
    </c:plotArea>
    <c:legend>
      <c:legendPos val="b"/>
      <c:overlay val="0"/>
      <c:txPr>
        <a:bodyPr/>
        <a:lstStyle/>
        <a:p>
          <a:pPr>
            <a:defRPr sz="800" b="1">
              <a:latin typeface="Arial Narrow" panose="020B0606020202030204" pitchFamily="34" charset="0"/>
            </a:defRPr>
          </a:pPr>
          <a:endParaRPr lang="en-US"/>
        </a:p>
      </c:txPr>
    </c:legend>
    <c:plotVisOnly val="1"/>
    <c:dispBlanksAs val="gap"/>
    <c:showDLblsOverMax val="0"/>
  </c:chart>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sz="1100" b="0">
                <a:latin typeface="Arial" pitchFamily="34" charset="0"/>
                <a:cs typeface="Arial" pitchFamily="34" charset="0"/>
              </a:defRPr>
            </a:pPr>
            <a:r>
              <a:rPr lang="en-US" sz="1100" b="0">
                <a:latin typeface="Arial" pitchFamily="34" charset="0"/>
                <a:cs typeface="Arial" pitchFamily="34" charset="0"/>
              </a:rPr>
              <a:t>Evolu</a:t>
            </a:r>
            <a:r>
              <a:rPr lang="ro-RO" sz="1100" b="0">
                <a:latin typeface="Arial" pitchFamily="34" charset="0"/>
                <a:cs typeface="Arial" pitchFamily="34" charset="0"/>
              </a:rPr>
              <a:t>ţia numărului de elevi înscrişi în învăţământul postliceal </a:t>
            </a:r>
          </a:p>
        </c:rich>
      </c:tx>
      <c:overlay val="0"/>
    </c:title>
    <c:autoTitleDeleted val="0"/>
    <c:plotArea>
      <c:layout/>
      <c:barChart>
        <c:barDir val="col"/>
        <c:grouping val="clustered"/>
        <c:varyColors val="0"/>
        <c:ser>
          <c:idx val="0"/>
          <c:order val="0"/>
          <c:tx>
            <c:strRef>
              <c:f>'Invatamant postliceal'!$C$3</c:f>
              <c:strCache>
                <c:ptCount val="1"/>
                <c:pt idx="0">
                  <c:v>2005-2006</c:v>
                </c:pt>
              </c:strCache>
            </c:strRef>
          </c:tx>
          <c:invertIfNegative val="0"/>
          <c:cat>
            <c:strRef>
              <c:f>'Invatamant postliceal'!$B$50:$B$54</c:f>
              <c:strCache>
                <c:ptCount val="5"/>
                <c:pt idx="0">
                  <c:v>Regiunea VEST</c:v>
                </c:pt>
                <c:pt idx="1">
                  <c:v>Arad</c:v>
                </c:pt>
                <c:pt idx="2">
                  <c:v>Caras-Severin</c:v>
                </c:pt>
                <c:pt idx="3">
                  <c:v>Hunedoara</c:v>
                </c:pt>
                <c:pt idx="4">
                  <c:v>Timis</c:v>
                </c:pt>
              </c:strCache>
            </c:strRef>
          </c:cat>
          <c:val>
            <c:numRef>
              <c:f>'Invatamant postliceal'!$C$50:$C$54</c:f>
              <c:numCache>
                <c:formatCode>General</c:formatCode>
                <c:ptCount val="5"/>
                <c:pt idx="0">
                  <c:v>3770</c:v>
                </c:pt>
                <c:pt idx="1">
                  <c:v>531</c:v>
                </c:pt>
                <c:pt idx="2">
                  <c:v>322</c:v>
                </c:pt>
                <c:pt idx="3">
                  <c:v>1091</c:v>
                </c:pt>
                <c:pt idx="4">
                  <c:v>1826</c:v>
                </c:pt>
              </c:numCache>
            </c:numRef>
          </c:val>
          <c:extLst>
            <c:ext xmlns:c16="http://schemas.microsoft.com/office/drawing/2014/chart" uri="{C3380CC4-5D6E-409C-BE32-E72D297353CC}">
              <c16:uniqueId val="{00000000-9849-4C92-BE71-A46E92086056}"/>
            </c:ext>
          </c:extLst>
        </c:ser>
        <c:ser>
          <c:idx val="1"/>
          <c:order val="1"/>
          <c:tx>
            <c:strRef>
              <c:f>'Invatamant postliceal'!$D$3</c:f>
              <c:strCache>
                <c:ptCount val="1"/>
                <c:pt idx="0">
                  <c:v>2006-2007</c:v>
                </c:pt>
              </c:strCache>
            </c:strRef>
          </c:tx>
          <c:invertIfNegative val="0"/>
          <c:cat>
            <c:strRef>
              <c:f>'Invatamant postliceal'!$B$50:$B$54</c:f>
              <c:strCache>
                <c:ptCount val="5"/>
                <c:pt idx="0">
                  <c:v>Regiunea VEST</c:v>
                </c:pt>
                <c:pt idx="1">
                  <c:v>Arad</c:v>
                </c:pt>
                <c:pt idx="2">
                  <c:v>Caras-Severin</c:v>
                </c:pt>
                <c:pt idx="3">
                  <c:v>Hunedoara</c:v>
                </c:pt>
                <c:pt idx="4">
                  <c:v>Timis</c:v>
                </c:pt>
              </c:strCache>
            </c:strRef>
          </c:cat>
          <c:val>
            <c:numRef>
              <c:f>'Invatamant postliceal'!$D$50:$D$54</c:f>
              <c:numCache>
                <c:formatCode>General</c:formatCode>
                <c:ptCount val="5"/>
                <c:pt idx="0">
                  <c:v>3255</c:v>
                </c:pt>
                <c:pt idx="1">
                  <c:v>384</c:v>
                </c:pt>
                <c:pt idx="2">
                  <c:v>225</c:v>
                </c:pt>
                <c:pt idx="3">
                  <c:v>876</c:v>
                </c:pt>
                <c:pt idx="4">
                  <c:v>1770</c:v>
                </c:pt>
              </c:numCache>
            </c:numRef>
          </c:val>
          <c:extLst>
            <c:ext xmlns:c16="http://schemas.microsoft.com/office/drawing/2014/chart" uri="{C3380CC4-5D6E-409C-BE32-E72D297353CC}">
              <c16:uniqueId val="{00000001-9849-4C92-BE71-A46E92086056}"/>
            </c:ext>
          </c:extLst>
        </c:ser>
        <c:ser>
          <c:idx val="2"/>
          <c:order val="2"/>
          <c:tx>
            <c:strRef>
              <c:f>'Invatamant postliceal'!$E$3</c:f>
              <c:strCache>
                <c:ptCount val="1"/>
                <c:pt idx="0">
                  <c:v>2007-2008</c:v>
                </c:pt>
              </c:strCache>
            </c:strRef>
          </c:tx>
          <c:invertIfNegative val="0"/>
          <c:cat>
            <c:strRef>
              <c:f>'Invatamant postliceal'!$B$50:$B$54</c:f>
              <c:strCache>
                <c:ptCount val="5"/>
                <c:pt idx="0">
                  <c:v>Regiunea VEST</c:v>
                </c:pt>
                <c:pt idx="1">
                  <c:v>Arad</c:v>
                </c:pt>
                <c:pt idx="2">
                  <c:v>Caras-Severin</c:v>
                </c:pt>
                <c:pt idx="3">
                  <c:v>Hunedoara</c:v>
                </c:pt>
                <c:pt idx="4">
                  <c:v>Timis</c:v>
                </c:pt>
              </c:strCache>
            </c:strRef>
          </c:cat>
          <c:val>
            <c:numRef>
              <c:f>'Invatamant postliceal'!$E$50:$E$54</c:f>
              <c:numCache>
                <c:formatCode>General</c:formatCode>
                <c:ptCount val="5"/>
                <c:pt idx="0">
                  <c:v>3909</c:v>
                </c:pt>
                <c:pt idx="1">
                  <c:v>619</c:v>
                </c:pt>
                <c:pt idx="2">
                  <c:v>295</c:v>
                </c:pt>
                <c:pt idx="3">
                  <c:v>1394</c:v>
                </c:pt>
                <c:pt idx="4">
                  <c:v>1601</c:v>
                </c:pt>
              </c:numCache>
            </c:numRef>
          </c:val>
          <c:extLst>
            <c:ext xmlns:c16="http://schemas.microsoft.com/office/drawing/2014/chart" uri="{C3380CC4-5D6E-409C-BE32-E72D297353CC}">
              <c16:uniqueId val="{00000002-9849-4C92-BE71-A46E92086056}"/>
            </c:ext>
          </c:extLst>
        </c:ser>
        <c:ser>
          <c:idx val="3"/>
          <c:order val="3"/>
          <c:tx>
            <c:strRef>
              <c:f>'Invatamant postliceal'!$F$3</c:f>
              <c:strCache>
                <c:ptCount val="1"/>
                <c:pt idx="0">
                  <c:v>2008-2009</c:v>
                </c:pt>
              </c:strCache>
            </c:strRef>
          </c:tx>
          <c:invertIfNegative val="0"/>
          <c:cat>
            <c:strRef>
              <c:f>'Invatamant postliceal'!$B$50:$B$54</c:f>
              <c:strCache>
                <c:ptCount val="5"/>
                <c:pt idx="0">
                  <c:v>Regiunea VEST</c:v>
                </c:pt>
                <c:pt idx="1">
                  <c:v>Arad</c:v>
                </c:pt>
                <c:pt idx="2">
                  <c:v>Caras-Severin</c:v>
                </c:pt>
                <c:pt idx="3">
                  <c:v>Hunedoara</c:v>
                </c:pt>
                <c:pt idx="4">
                  <c:v>Timis</c:v>
                </c:pt>
              </c:strCache>
            </c:strRef>
          </c:cat>
          <c:val>
            <c:numRef>
              <c:f>'Invatamant postliceal'!$F$50:$F$54</c:f>
              <c:numCache>
                <c:formatCode>General</c:formatCode>
                <c:ptCount val="5"/>
                <c:pt idx="0">
                  <c:v>4621</c:v>
                </c:pt>
                <c:pt idx="1">
                  <c:v>792</c:v>
                </c:pt>
                <c:pt idx="2">
                  <c:v>418</c:v>
                </c:pt>
                <c:pt idx="3">
                  <c:v>1838</c:v>
                </c:pt>
                <c:pt idx="4">
                  <c:v>1573</c:v>
                </c:pt>
              </c:numCache>
            </c:numRef>
          </c:val>
          <c:extLst>
            <c:ext xmlns:c16="http://schemas.microsoft.com/office/drawing/2014/chart" uri="{C3380CC4-5D6E-409C-BE32-E72D297353CC}">
              <c16:uniqueId val="{00000003-9849-4C92-BE71-A46E92086056}"/>
            </c:ext>
          </c:extLst>
        </c:ser>
        <c:ser>
          <c:idx val="4"/>
          <c:order val="4"/>
          <c:tx>
            <c:strRef>
              <c:f>'Invatamant postliceal'!$G$3</c:f>
              <c:strCache>
                <c:ptCount val="1"/>
                <c:pt idx="0">
                  <c:v>2009-2010</c:v>
                </c:pt>
              </c:strCache>
            </c:strRef>
          </c:tx>
          <c:invertIfNegative val="0"/>
          <c:cat>
            <c:strRef>
              <c:f>'Invatamant postliceal'!$B$50:$B$54</c:f>
              <c:strCache>
                <c:ptCount val="5"/>
                <c:pt idx="0">
                  <c:v>Regiunea VEST</c:v>
                </c:pt>
                <c:pt idx="1">
                  <c:v>Arad</c:v>
                </c:pt>
                <c:pt idx="2">
                  <c:v>Caras-Severin</c:v>
                </c:pt>
                <c:pt idx="3">
                  <c:v>Hunedoara</c:v>
                </c:pt>
                <c:pt idx="4">
                  <c:v>Timis</c:v>
                </c:pt>
              </c:strCache>
            </c:strRef>
          </c:cat>
          <c:val>
            <c:numRef>
              <c:f>'Invatamant postliceal'!$G$50:$G$54</c:f>
              <c:numCache>
                <c:formatCode>General</c:formatCode>
                <c:ptCount val="5"/>
                <c:pt idx="0">
                  <c:v>5470</c:v>
                </c:pt>
                <c:pt idx="1">
                  <c:v>1018</c:v>
                </c:pt>
                <c:pt idx="2">
                  <c:v>480</c:v>
                </c:pt>
                <c:pt idx="3">
                  <c:v>2280</c:v>
                </c:pt>
                <c:pt idx="4">
                  <c:v>1692</c:v>
                </c:pt>
              </c:numCache>
            </c:numRef>
          </c:val>
          <c:extLst>
            <c:ext xmlns:c16="http://schemas.microsoft.com/office/drawing/2014/chart" uri="{C3380CC4-5D6E-409C-BE32-E72D297353CC}">
              <c16:uniqueId val="{00000004-9849-4C92-BE71-A46E92086056}"/>
            </c:ext>
          </c:extLst>
        </c:ser>
        <c:ser>
          <c:idx val="5"/>
          <c:order val="5"/>
          <c:tx>
            <c:strRef>
              <c:f>'Invatamant postliceal'!$H$3</c:f>
              <c:strCache>
                <c:ptCount val="1"/>
                <c:pt idx="0">
                  <c:v>2010-2011</c:v>
                </c:pt>
              </c:strCache>
            </c:strRef>
          </c:tx>
          <c:invertIfNegative val="0"/>
          <c:cat>
            <c:strRef>
              <c:f>'Invatamant postliceal'!$B$50:$B$54</c:f>
              <c:strCache>
                <c:ptCount val="5"/>
                <c:pt idx="0">
                  <c:v>Regiunea VEST</c:v>
                </c:pt>
                <c:pt idx="1">
                  <c:v>Arad</c:v>
                </c:pt>
                <c:pt idx="2">
                  <c:v>Caras-Severin</c:v>
                </c:pt>
                <c:pt idx="3">
                  <c:v>Hunedoara</c:v>
                </c:pt>
                <c:pt idx="4">
                  <c:v>Timis</c:v>
                </c:pt>
              </c:strCache>
            </c:strRef>
          </c:cat>
          <c:val>
            <c:numRef>
              <c:f>'Invatamant postliceal'!$H$50:$H$54</c:f>
              <c:numCache>
                <c:formatCode>General</c:formatCode>
                <c:ptCount val="5"/>
                <c:pt idx="0">
                  <c:v>6070</c:v>
                </c:pt>
                <c:pt idx="1">
                  <c:v>981</c:v>
                </c:pt>
                <c:pt idx="2">
                  <c:v>592</c:v>
                </c:pt>
                <c:pt idx="3">
                  <c:v>2843</c:v>
                </c:pt>
                <c:pt idx="4">
                  <c:v>1654</c:v>
                </c:pt>
              </c:numCache>
            </c:numRef>
          </c:val>
          <c:extLst>
            <c:ext xmlns:c16="http://schemas.microsoft.com/office/drawing/2014/chart" uri="{C3380CC4-5D6E-409C-BE32-E72D297353CC}">
              <c16:uniqueId val="{00000005-9849-4C92-BE71-A46E92086056}"/>
            </c:ext>
          </c:extLst>
        </c:ser>
        <c:ser>
          <c:idx val="6"/>
          <c:order val="6"/>
          <c:tx>
            <c:strRef>
              <c:f>'Invatamant postliceal'!$I$3</c:f>
              <c:strCache>
                <c:ptCount val="1"/>
                <c:pt idx="0">
                  <c:v>2011-2012</c:v>
                </c:pt>
              </c:strCache>
            </c:strRef>
          </c:tx>
          <c:invertIfNegative val="0"/>
          <c:cat>
            <c:strRef>
              <c:f>'Invatamant postliceal'!$B$50:$B$54</c:f>
              <c:strCache>
                <c:ptCount val="5"/>
                <c:pt idx="0">
                  <c:v>Regiunea VEST</c:v>
                </c:pt>
                <c:pt idx="1">
                  <c:v>Arad</c:v>
                </c:pt>
                <c:pt idx="2">
                  <c:v>Caras-Severin</c:v>
                </c:pt>
                <c:pt idx="3">
                  <c:v>Hunedoara</c:v>
                </c:pt>
                <c:pt idx="4">
                  <c:v>Timis</c:v>
                </c:pt>
              </c:strCache>
            </c:strRef>
          </c:cat>
          <c:val>
            <c:numRef>
              <c:f>'Invatamant postliceal'!$I$50:$I$54</c:f>
              <c:numCache>
                <c:formatCode>General</c:formatCode>
                <c:ptCount val="5"/>
                <c:pt idx="0">
                  <c:v>7237</c:v>
                </c:pt>
                <c:pt idx="1">
                  <c:v>1066</c:v>
                </c:pt>
                <c:pt idx="2">
                  <c:v>649</c:v>
                </c:pt>
                <c:pt idx="3">
                  <c:v>3283</c:v>
                </c:pt>
                <c:pt idx="4">
                  <c:v>2239</c:v>
                </c:pt>
              </c:numCache>
            </c:numRef>
          </c:val>
          <c:extLst>
            <c:ext xmlns:c16="http://schemas.microsoft.com/office/drawing/2014/chart" uri="{C3380CC4-5D6E-409C-BE32-E72D297353CC}">
              <c16:uniqueId val="{00000006-9849-4C92-BE71-A46E92086056}"/>
            </c:ext>
          </c:extLst>
        </c:ser>
        <c:ser>
          <c:idx val="7"/>
          <c:order val="7"/>
          <c:tx>
            <c:strRef>
              <c:f>'Invatamant postliceal'!$J$3</c:f>
              <c:strCache>
                <c:ptCount val="1"/>
                <c:pt idx="0">
                  <c:v>2012-2013</c:v>
                </c:pt>
              </c:strCache>
            </c:strRef>
          </c:tx>
          <c:invertIfNegative val="0"/>
          <c:cat>
            <c:strRef>
              <c:f>'Invatamant postliceal'!$B$50:$B$54</c:f>
              <c:strCache>
                <c:ptCount val="5"/>
                <c:pt idx="0">
                  <c:v>Regiunea VEST</c:v>
                </c:pt>
                <c:pt idx="1">
                  <c:v>Arad</c:v>
                </c:pt>
                <c:pt idx="2">
                  <c:v>Caras-Severin</c:v>
                </c:pt>
                <c:pt idx="3">
                  <c:v>Hunedoara</c:v>
                </c:pt>
                <c:pt idx="4">
                  <c:v>Timis</c:v>
                </c:pt>
              </c:strCache>
            </c:strRef>
          </c:cat>
          <c:val>
            <c:numRef>
              <c:f>'Invatamant postliceal'!$J$50:$J$54</c:f>
              <c:numCache>
                <c:formatCode>General</c:formatCode>
                <c:ptCount val="5"/>
                <c:pt idx="0">
                  <c:v>8821</c:v>
                </c:pt>
                <c:pt idx="1">
                  <c:v>1373</c:v>
                </c:pt>
                <c:pt idx="2">
                  <c:v>770</c:v>
                </c:pt>
                <c:pt idx="3">
                  <c:v>3651</c:v>
                </c:pt>
                <c:pt idx="4">
                  <c:v>3027</c:v>
                </c:pt>
              </c:numCache>
            </c:numRef>
          </c:val>
          <c:extLst>
            <c:ext xmlns:c16="http://schemas.microsoft.com/office/drawing/2014/chart" uri="{C3380CC4-5D6E-409C-BE32-E72D297353CC}">
              <c16:uniqueId val="{00000007-9849-4C92-BE71-A46E92086056}"/>
            </c:ext>
          </c:extLst>
        </c:ser>
        <c:ser>
          <c:idx val="8"/>
          <c:order val="8"/>
          <c:tx>
            <c:strRef>
              <c:f>'Invatamant postliceal'!$K$3</c:f>
              <c:strCache>
                <c:ptCount val="1"/>
                <c:pt idx="0">
                  <c:v>2013-2014</c:v>
                </c:pt>
              </c:strCache>
            </c:strRef>
          </c:tx>
          <c:invertIfNegative val="0"/>
          <c:cat>
            <c:strRef>
              <c:f>'Invatamant postliceal'!$B$50:$B$54</c:f>
              <c:strCache>
                <c:ptCount val="5"/>
                <c:pt idx="0">
                  <c:v>Regiunea VEST</c:v>
                </c:pt>
                <c:pt idx="1">
                  <c:v>Arad</c:v>
                </c:pt>
                <c:pt idx="2">
                  <c:v>Caras-Severin</c:v>
                </c:pt>
                <c:pt idx="3">
                  <c:v>Hunedoara</c:v>
                </c:pt>
                <c:pt idx="4">
                  <c:v>Timis</c:v>
                </c:pt>
              </c:strCache>
            </c:strRef>
          </c:cat>
          <c:val>
            <c:numRef>
              <c:f>'Invatamant postliceal'!$K$50:$K$54</c:f>
              <c:numCache>
                <c:formatCode>General</c:formatCode>
                <c:ptCount val="5"/>
                <c:pt idx="0">
                  <c:v>10062</c:v>
                </c:pt>
                <c:pt idx="1">
                  <c:v>1530</c:v>
                </c:pt>
                <c:pt idx="2">
                  <c:v>1081</c:v>
                </c:pt>
                <c:pt idx="3">
                  <c:v>4044</c:v>
                </c:pt>
                <c:pt idx="4">
                  <c:v>3407</c:v>
                </c:pt>
              </c:numCache>
            </c:numRef>
          </c:val>
          <c:extLst>
            <c:ext xmlns:c16="http://schemas.microsoft.com/office/drawing/2014/chart" uri="{C3380CC4-5D6E-409C-BE32-E72D297353CC}">
              <c16:uniqueId val="{00000008-9849-4C92-BE71-A46E92086056}"/>
            </c:ext>
          </c:extLst>
        </c:ser>
        <c:ser>
          <c:idx val="9"/>
          <c:order val="9"/>
          <c:tx>
            <c:strRef>
              <c:f>'Invatamant postliceal'!$L$3</c:f>
              <c:strCache>
                <c:ptCount val="1"/>
                <c:pt idx="0">
                  <c:v>2014-2015</c:v>
                </c:pt>
              </c:strCache>
            </c:strRef>
          </c:tx>
          <c:invertIfNegative val="0"/>
          <c:cat>
            <c:strRef>
              <c:f>'Invatamant postliceal'!$B$50:$B$54</c:f>
              <c:strCache>
                <c:ptCount val="5"/>
                <c:pt idx="0">
                  <c:v>Regiunea VEST</c:v>
                </c:pt>
                <c:pt idx="1">
                  <c:v>Arad</c:v>
                </c:pt>
                <c:pt idx="2">
                  <c:v>Caras-Severin</c:v>
                </c:pt>
                <c:pt idx="3">
                  <c:v>Hunedoara</c:v>
                </c:pt>
                <c:pt idx="4">
                  <c:v>Timis</c:v>
                </c:pt>
              </c:strCache>
            </c:strRef>
          </c:cat>
          <c:val>
            <c:numRef>
              <c:f>'Invatamant postliceal'!$L$50:$L$54</c:f>
              <c:numCache>
                <c:formatCode>General</c:formatCode>
                <c:ptCount val="5"/>
                <c:pt idx="0">
                  <c:v>11139</c:v>
                </c:pt>
                <c:pt idx="1">
                  <c:v>1526</c:v>
                </c:pt>
                <c:pt idx="2">
                  <c:v>1416</c:v>
                </c:pt>
                <c:pt idx="3">
                  <c:v>4576</c:v>
                </c:pt>
                <c:pt idx="4">
                  <c:v>3621</c:v>
                </c:pt>
              </c:numCache>
            </c:numRef>
          </c:val>
          <c:extLst>
            <c:ext xmlns:c16="http://schemas.microsoft.com/office/drawing/2014/chart" uri="{C3380CC4-5D6E-409C-BE32-E72D297353CC}">
              <c16:uniqueId val="{00000009-9849-4C92-BE71-A46E92086056}"/>
            </c:ext>
          </c:extLst>
        </c:ser>
        <c:ser>
          <c:idx val="10"/>
          <c:order val="10"/>
          <c:tx>
            <c:strRef>
              <c:f>'Invatamant postliceal'!$M$3</c:f>
              <c:strCache>
                <c:ptCount val="1"/>
                <c:pt idx="0">
                  <c:v>2015-2016</c:v>
                </c:pt>
              </c:strCache>
            </c:strRef>
          </c:tx>
          <c:invertIfNegative val="0"/>
          <c:cat>
            <c:strRef>
              <c:f>'Invatamant postliceal'!$B$50:$B$54</c:f>
              <c:strCache>
                <c:ptCount val="5"/>
                <c:pt idx="0">
                  <c:v>Regiunea VEST</c:v>
                </c:pt>
                <c:pt idx="1">
                  <c:v>Arad</c:v>
                </c:pt>
                <c:pt idx="2">
                  <c:v>Caras-Severin</c:v>
                </c:pt>
                <c:pt idx="3">
                  <c:v>Hunedoara</c:v>
                </c:pt>
                <c:pt idx="4">
                  <c:v>Timis</c:v>
                </c:pt>
              </c:strCache>
            </c:strRef>
          </c:cat>
          <c:val>
            <c:numRef>
              <c:f>'Invatamant postliceal'!$M$50:$M$54</c:f>
              <c:numCache>
                <c:formatCode>General</c:formatCode>
                <c:ptCount val="5"/>
                <c:pt idx="0">
                  <c:v>10973</c:v>
                </c:pt>
                <c:pt idx="1">
                  <c:v>1494</c:v>
                </c:pt>
                <c:pt idx="2">
                  <c:v>1588</c:v>
                </c:pt>
                <c:pt idx="3">
                  <c:v>4495</c:v>
                </c:pt>
                <c:pt idx="4">
                  <c:v>3396</c:v>
                </c:pt>
              </c:numCache>
            </c:numRef>
          </c:val>
          <c:extLst>
            <c:ext xmlns:c16="http://schemas.microsoft.com/office/drawing/2014/chart" uri="{C3380CC4-5D6E-409C-BE32-E72D297353CC}">
              <c16:uniqueId val="{0000000A-9849-4C92-BE71-A46E92086056}"/>
            </c:ext>
          </c:extLst>
        </c:ser>
        <c:dLbls>
          <c:showLegendKey val="0"/>
          <c:showVal val="0"/>
          <c:showCatName val="0"/>
          <c:showSerName val="0"/>
          <c:showPercent val="0"/>
          <c:showBubbleSize val="0"/>
        </c:dLbls>
        <c:gapWidth val="75"/>
        <c:overlap val="-25"/>
        <c:axId val="152957312"/>
        <c:axId val="152958848"/>
      </c:barChart>
      <c:catAx>
        <c:axId val="152957312"/>
        <c:scaling>
          <c:orientation val="minMax"/>
        </c:scaling>
        <c:delete val="0"/>
        <c:axPos val="b"/>
        <c:numFmt formatCode="General" sourceLinked="0"/>
        <c:majorTickMark val="none"/>
        <c:minorTickMark val="none"/>
        <c:tickLblPos val="nextTo"/>
        <c:crossAx val="152958848"/>
        <c:crosses val="autoZero"/>
        <c:auto val="1"/>
        <c:lblAlgn val="ctr"/>
        <c:lblOffset val="100"/>
        <c:noMultiLvlLbl val="0"/>
      </c:catAx>
      <c:valAx>
        <c:axId val="152958848"/>
        <c:scaling>
          <c:orientation val="minMax"/>
        </c:scaling>
        <c:delete val="0"/>
        <c:axPos val="l"/>
        <c:majorGridlines/>
        <c:numFmt formatCode="General" sourceLinked="1"/>
        <c:majorTickMark val="none"/>
        <c:minorTickMark val="none"/>
        <c:tickLblPos val="nextTo"/>
        <c:crossAx val="152957312"/>
        <c:crosses val="autoZero"/>
        <c:crossBetween val="between"/>
      </c:valAx>
    </c:plotArea>
    <c:legend>
      <c:legendPos val="b"/>
      <c:overlay val="0"/>
    </c:legend>
    <c:plotVisOnly val="1"/>
    <c:dispBlanksAs val="gap"/>
    <c:showDLblsOverMax val="0"/>
  </c:chart>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Arial Narrow" panose="020B0606020202030204" pitchFamily="34" charset="0"/>
                <a:ea typeface="+mn-ea"/>
                <a:cs typeface="+mn-cs"/>
              </a:defRPr>
            </a:pPr>
            <a:r>
              <a:rPr lang="en-US" sz="1200" b="1" i="0" baseline="0">
                <a:solidFill>
                  <a:sysClr val="windowText" lastClr="000000"/>
                </a:solidFill>
                <a:effectLst/>
              </a:rPr>
              <a:t>Num</a:t>
            </a:r>
            <a:r>
              <a:rPr lang="ro-RO" sz="1200" b="1" i="0" baseline="0">
                <a:solidFill>
                  <a:sysClr val="windowText" lastClr="000000"/>
                </a:solidFill>
                <a:effectLst/>
              </a:rPr>
              <a:t>ărul de elevi cuprinşi în învăţământul profesional la începutul anului şcolar 2016-2017 - Regiunea  Vest </a:t>
            </a:r>
            <a:endParaRPr lang="vi-VN" sz="1200">
              <a:solidFill>
                <a:sysClr val="windowText" lastClr="000000"/>
              </a:solidFill>
            </a:endParaRPr>
          </a:p>
        </c:rich>
      </c:tx>
      <c:overlay val="0"/>
    </c:title>
    <c:autoTitleDeleted val="0"/>
    <c:plotArea>
      <c:layout/>
      <c:barChart>
        <c:barDir val="col"/>
        <c:grouping val="clustered"/>
        <c:varyColors val="0"/>
        <c:ser>
          <c:idx val="0"/>
          <c:order val="0"/>
          <c:tx>
            <c:strRef>
              <c:f>RO_dom_reg!$F$7</c:f>
              <c:strCache>
                <c:ptCount val="1"/>
                <c:pt idx="0">
                  <c:v>Clasa 
a XI-a</c:v>
                </c:pt>
              </c:strCache>
            </c:strRef>
          </c:tx>
          <c:invertIfNegative val="0"/>
          <c:cat>
            <c:strRef>
              <c:f>RO_dom_reg!$B$121:$B$135</c:f>
              <c:strCache>
                <c:ptCount val="15"/>
                <c:pt idx="0">
                  <c:v>Agricultură</c:v>
                </c:pt>
                <c:pt idx="1">
                  <c:v>Chimie industrială</c:v>
                </c:pt>
                <c:pt idx="2">
                  <c:v>Comerţ</c:v>
                </c:pt>
                <c:pt idx="3">
                  <c:v>Construcţii, instalaţii şi lucrări publice</c:v>
                </c:pt>
                <c:pt idx="4">
                  <c:v>Electric</c:v>
                </c:pt>
                <c:pt idx="5">
                  <c:v>Electromecanică</c:v>
                </c:pt>
                <c:pt idx="6">
                  <c:v>Electronică, automatizări</c:v>
                </c:pt>
                <c:pt idx="7">
                  <c:v>Estetica şi igiena corpului omenesc</c:v>
                </c:pt>
                <c:pt idx="8">
                  <c:v>Fabricarea produselor din lemn</c:v>
                </c:pt>
                <c:pt idx="9">
                  <c:v>Industrie alimentară</c:v>
                </c:pt>
                <c:pt idx="10">
                  <c:v>Industrie textilă şi pielărie</c:v>
                </c:pt>
                <c:pt idx="11">
                  <c:v>Materiale de construcţii</c:v>
                </c:pt>
                <c:pt idx="12">
                  <c:v>Mecanică</c:v>
                </c:pt>
                <c:pt idx="13">
                  <c:v>Silvicultură</c:v>
                </c:pt>
                <c:pt idx="14">
                  <c:v>Turism şi alimentaţie</c:v>
                </c:pt>
              </c:strCache>
            </c:strRef>
          </c:cat>
          <c:val>
            <c:numRef>
              <c:f>RO_dom_reg!$F$121:$F$135</c:f>
              <c:numCache>
                <c:formatCode>#,##0</c:formatCode>
                <c:ptCount val="15"/>
                <c:pt idx="0">
                  <c:v>26</c:v>
                </c:pt>
                <c:pt idx="1">
                  <c:v>15</c:v>
                </c:pt>
                <c:pt idx="2">
                  <c:v>154</c:v>
                </c:pt>
                <c:pt idx="3">
                  <c:v>110</c:v>
                </c:pt>
                <c:pt idx="4">
                  <c:v>82</c:v>
                </c:pt>
                <c:pt idx="5">
                  <c:v>78</c:v>
                </c:pt>
                <c:pt idx="6">
                  <c:v>0</c:v>
                </c:pt>
                <c:pt idx="7">
                  <c:v>72</c:v>
                </c:pt>
                <c:pt idx="8">
                  <c:v>95</c:v>
                </c:pt>
                <c:pt idx="10">
                  <c:v>178</c:v>
                </c:pt>
                <c:pt idx="12">
                  <c:v>536</c:v>
                </c:pt>
                <c:pt idx="14">
                  <c:v>234</c:v>
                </c:pt>
              </c:numCache>
            </c:numRef>
          </c:val>
          <c:extLst>
            <c:ext xmlns:c16="http://schemas.microsoft.com/office/drawing/2014/chart" uri="{C3380CC4-5D6E-409C-BE32-E72D297353CC}">
              <c16:uniqueId val="{00000000-02B1-4646-A20D-3DB5BF3AFF2D}"/>
            </c:ext>
          </c:extLst>
        </c:ser>
        <c:ser>
          <c:idx val="1"/>
          <c:order val="1"/>
          <c:tx>
            <c:strRef>
              <c:f>RO_dom_reg!$G$7</c:f>
              <c:strCache>
                <c:ptCount val="1"/>
                <c:pt idx="0">
                  <c:v>Clasa 
a X-a</c:v>
                </c:pt>
              </c:strCache>
            </c:strRef>
          </c:tx>
          <c:invertIfNegative val="0"/>
          <c:cat>
            <c:strRef>
              <c:f>RO_dom_reg!$B$121:$B$135</c:f>
              <c:strCache>
                <c:ptCount val="15"/>
                <c:pt idx="0">
                  <c:v>Agricultură</c:v>
                </c:pt>
                <c:pt idx="1">
                  <c:v>Chimie industrială</c:v>
                </c:pt>
                <c:pt idx="2">
                  <c:v>Comerţ</c:v>
                </c:pt>
                <c:pt idx="3">
                  <c:v>Construcţii, instalaţii şi lucrări publice</c:v>
                </c:pt>
                <c:pt idx="4">
                  <c:v>Electric</c:v>
                </c:pt>
                <c:pt idx="5">
                  <c:v>Electromecanică</c:v>
                </c:pt>
                <c:pt idx="6">
                  <c:v>Electronică, automatizări</c:v>
                </c:pt>
                <c:pt idx="7">
                  <c:v>Estetica şi igiena corpului omenesc</c:v>
                </c:pt>
                <c:pt idx="8">
                  <c:v>Fabricarea produselor din lemn</c:v>
                </c:pt>
                <c:pt idx="9">
                  <c:v>Industrie alimentară</c:v>
                </c:pt>
                <c:pt idx="10">
                  <c:v>Industrie textilă şi pielărie</c:v>
                </c:pt>
                <c:pt idx="11">
                  <c:v>Materiale de construcţii</c:v>
                </c:pt>
                <c:pt idx="12">
                  <c:v>Mecanică</c:v>
                </c:pt>
                <c:pt idx="13">
                  <c:v>Silvicultură</c:v>
                </c:pt>
                <c:pt idx="14">
                  <c:v>Turism şi alimentaţie</c:v>
                </c:pt>
              </c:strCache>
            </c:strRef>
          </c:cat>
          <c:val>
            <c:numRef>
              <c:f>RO_dom_reg!$G$121:$G$135</c:f>
              <c:numCache>
                <c:formatCode>#,##0</c:formatCode>
                <c:ptCount val="15"/>
                <c:pt idx="0">
                  <c:v>30</c:v>
                </c:pt>
                <c:pt idx="1">
                  <c:v>27</c:v>
                </c:pt>
                <c:pt idx="2">
                  <c:v>140</c:v>
                </c:pt>
                <c:pt idx="3">
                  <c:v>113</c:v>
                </c:pt>
                <c:pt idx="4">
                  <c:v>163</c:v>
                </c:pt>
                <c:pt idx="5">
                  <c:v>184</c:v>
                </c:pt>
                <c:pt idx="6">
                  <c:v>31</c:v>
                </c:pt>
                <c:pt idx="7">
                  <c:v>84</c:v>
                </c:pt>
                <c:pt idx="8">
                  <c:v>80</c:v>
                </c:pt>
                <c:pt idx="9">
                  <c:v>42</c:v>
                </c:pt>
                <c:pt idx="10">
                  <c:v>133</c:v>
                </c:pt>
                <c:pt idx="12">
                  <c:v>793</c:v>
                </c:pt>
                <c:pt idx="14">
                  <c:v>320</c:v>
                </c:pt>
              </c:numCache>
            </c:numRef>
          </c:val>
          <c:extLst>
            <c:ext xmlns:c16="http://schemas.microsoft.com/office/drawing/2014/chart" uri="{C3380CC4-5D6E-409C-BE32-E72D297353CC}">
              <c16:uniqueId val="{00000001-02B1-4646-A20D-3DB5BF3AFF2D}"/>
            </c:ext>
          </c:extLst>
        </c:ser>
        <c:ser>
          <c:idx val="2"/>
          <c:order val="2"/>
          <c:tx>
            <c:strRef>
              <c:f>RO_dom_reg!$H$7</c:f>
              <c:strCache>
                <c:ptCount val="1"/>
                <c:pt idx="0">
                  <c:v>Clasa 
a IX-a</c:v>
                </c:pt>
              </c:strCache>
            </c:strRef>
          </c:tx>
          <c:invertIfNegative val="0"/>
          <c:cat>
            <c:strRef>
              <c:f>RO_dom_reg!$B$121:$B$135</c:f>
              <c:strCache>
                <c:ptCount val="15"/>
                <c:pt idx="0">
                  <c:v>Agricultură</c:v>
                </c:pt>
                <c:pt idx="1">
                  <c:v>Chimie industrială</c:v>
                </c:pt>
                <c:pt idx="2">
                  <c:v>Comerţ</c:v>
                </c:pt>
                <c:pt idx="3">
                  <c:v>Construcţii, instalaţii şi lucrări publice</c:v>
                </c:pt>
                <c:pt idx="4">
                  <c:v>Electric</c:v>
                </c:pt>
                <c:pt idx="5">
                  <c:v>Electromecanică</c:v>
                </c:pt>
                <c:pt idx="6">
                  <c:v>Electronică, automatizări</c:v>
                </c:pt>
                <c:pt idx="7">
                  <c:v>Estetica şi igiena corpului omenesc</c:v>
                </c:pt>
                <c:pt idx="8">
                  <c:v>Fabricarea produselor din lemn</c:v>
                </c:pt>
                <c:pt idx="9">
                  <c:v>Industrie alimentară</c:v>
                </c:pt>
                <c:pt idx="10">
                  <c:v>Industrie textilă şi pielărie</c:v>
                </c:pt>
                <c:pt idx="11">
                  <c:v>Materiale de construcţii</c:v>
                </c:pt>
                <c:pt idx="12">
                  <c:v>Mecanică</c:v>
                </c:pt>
                <c:pt idx="13">
                  <c:v>Silvicultură</c:v>
                </c:pt>
                <c:pt idx="14">
                  <c:v>Turism şi alimentaţie</c:v>
                </c:pt>
              </c:strCache>
            </c:strRef>
          </c:cat>
          <c:val>
            <c:numRef>
              <c:f>RO_dom_reg!$H$121:$H$135</c:f>
              <c:numCache>
                <c:formatCode>#,##0</c:formatCode>
                <c:ptCount val="15"/>
                <c:pt idx="0">
                  <c:v>57</c:v>
                </c:pt>
                <c:pt idx="1">
                  <c:v>49</c:v>
                </c:pt>
                <c:pt idx="2">
                  <c:v>136</c:v>
                </c:pt>
                <c:pt idx="3">
                  <c:v>128</c:v>
                </c:pt>
                <c:pt idx="4">
                  <c:v>137</c:v>
                </c:pt>
                <c:pt idx="5">
                  <c:v>184</c:v>
                </c:pt>
                <c:pt idx="6">
                  <c:v>28</c:v>
                </c:pt>
                <c:pt idx="7">
                  <c:v>130</c:v>
                </c:pt>
                <c:pt idx="8">
                  <c:v>55</c:v>
                </c:pt>
                <c:pt idx="9">
                  <c:v>30</c:v>
                </c:pt>
                <c:pt idx="10">
                  <c:v>78</c:v>
                </c:pt>
                <c:pt idx="12">
                  <c:v>903</c:v>
                </c:pt>
                <c:pt idx="13">
                  <c:v>29</c:v>
                </c:pt>
                <c:pt idx="14">
                  <c:v>329</c:v>
                </c:pt>
              </c:numCache>
            </c:numRef>
          </c:val>
          <c:extLst>
            <c:ext xmlns:c16="http://schemas.microsoft.com/office/drawing/2014/chart" uri="{C3380CC4-5D6E-409C-BE32-E72D297353CC}">
              <c16:uniqueId val="{00000002-02B1-4646-A20D-3DB5BF3AFF2D}"/>
            </c:ext>
          </c:extLst>
        </c:ser>
        <c:dLbls>
          <c:showLegendKey val="0"/>
          <c:showVal val="0"/>
          <c:showCatName val="0"/>
          <c:showSerName val="0"/>
          <c:showPercent val="0"/>
          <c:showBubbleSize val="0"/>
        </c:dLbls>
        <c:gapWidth val="75"/>
        <c:overlap val="-25"/>
        <c:axId val="153005056"/>
        <c:axId val="153015040"/>
      </c:barChart>
      <c:catAx>
        <c:axId val="153005056"/>
        <c:scaling>
          <c:orientation val="minMax"/>
        </c:scaling>
        <c:delete val="0"/>
        <c:axPos val="b"/>
        <c:numFmt formatCode="General" sourceLinked="1"/>
        <c:majorTickMark val="none"/>
        <c:minorTickMark val="none"/>
        <c:tickLblPos val="nextTo"/>
        <c:crossAx val="153015040"/>
        <c:crosses val="autoZero"/>
        <c:auto val="1"/>
        <c:lblAlgn val="ctr"/>
        <c:lblOffset val="100"/>
        <c:noMultiLvlLbl val="0"/>
      </c:catAx>
      <c:valAx>
        <c:axId val="153015040"/>
        <c:scaling>
          <c:orientation val="minMax"/>
        </c:scaling>
        <c:delete val="0"/>
        <c:axPos val="l"/>
        <c:majorGridlines/>
        <c:numFmt formatCode="#,##0" sourceLinked="1"/>
        <c:majorTickMark val="none"/>
        <c:minorTickMark val="none"/>
        <c:tickLblPos val="nextTo"/>
        <c:spPr>
          <a:ln w="9525">
            <a:noFill/>
          </a:ln>
        </c:spPr>
        <c:crossAx val="153005056"/>
        <c:crosses val="autoZero"/>
        <c:crossBetween val="between"/>
      </c:valAx>
    </c:plotArea>
    <c:legend>
      <c:legendPos val="b"/>
      <c:overlay val="0"/>
    </c:legend>
    <c:plotVisOnly val="1"/>
    <c:dispBlanksAs val="gap"/>
    <c:showDLblsOverMax val="0"/>
  </c:chart>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50">
                <a:latin typeface="Arial Narrow" panose="020B0606020202030204" pitchFamily="34" charset="0"/>
              </a:defRPr>
            </a:pPr>
            <a:r>
              <a:rPr lang="ro-RO" sz="1050" b="1" i="0" baseline="0">
                <a:effectLst/>
                <a:latin typeface="Arial Narrow" panose="020B0606020202030204" pitchFamily="34" charset="0"/>
              </a:rPr>
              <a:t>Numărul de elevi înscrişi la începutul anului şcolar </a:t>
            </a:r>
            <a:r>
              <a:rPr lang="vi-VN" sz="1050" b="1" i="0" baseline="0">
                <a:effectLst/>
              </a:rPr>
              <a:t>2016 - 2017</a:t>
            </a:r>
            <a:r>
              <a:rPr lang="ro-RO" sz="1050" b="1" i="0" baseline="0">
                <a:effectLst/>
                <a:latin typeface="Arial Narrow" panose="020B0606020202030204" pitchFamily="34" charset="0"/>
              </a:rPr>
              <a:t>, pe domenii de formare profesională</a:t>
            </a:r>
            <a:endParaRPr lang="ro-RO" sz="1050">
              <a:effectLst/>
              <a:latin typeface="Arial Narrow" panose="020B0606020202030204" pitchFamily="34" charset="0"/>
            </a:endParaRPr>
          </a:p>
          <a:p>
            <a:pPr>
              <a:defRPr sz="1050">
                <a:latin typeface="Arial Narrow" panose="020B0606020202030204" pitchFamily="34" charset="0"/>
              </a:defRPr>
            </a:pPr>
            <a:r>
              <a:rPr lang="vi-VN" sz="1050" b="1" i="0" baseline="0">
                <a:effectLst/>
              </a:rPr>
              <a:t>- ÎNVĂŢĂMÂNT LICEAL</a:t>
            </a:r>
            <a:r>
              <a:rPr lang="en-US" sz="1050" b="1" i="0" baseline="0">
                <a:effectLst/>
                <a:latin typeface="Arial Narrow" panose="020B0606020202030204" pitchFamily="34" charset="0"/>
              </a:rPr>
              <a:t>, </a:t>
            </a:r>
            <a:r>
              <a:rPr lang="ro-RO" sz="1050" b="1" i="0" baseline="0">
                <a:effectLst/>
                <a:latin typeface="Arial Narrow" panose="020B0606020202030204" pitchFamily="34" charset="0"/>
              </a:rPr>
              <a:t> </a:t>
            </a:r>
            <a:r>
              <a:rPr lang="vi-VN" sz="1050" b="1" i="0" baseline="0">
                <a:effectLst/>
              </a:rPr>
              <a:t>FILIER</a:t>
            </a:r>
            <a:r>
              <a:rPr lang="ro-RO" sz="1050" b="1" i="0" baseline="0">
                <a:effectLst/>
                <a:latin typeface="Arial Narrow" panose="020B0606020202030204" pitchFamily="34" charset="0"/>
              </a:rPr>
              <a:t>A TEHNOLOGICĂ</a:t>
            </a:r>
            <a:r>
              <a:rPr lang="vi-VN" sz="1050" b="1" i="0" baseline="0">
                <a:effectLst/>
              </a:rPr>
              <a:t>, ZI -</a:t>
            </a:r>
            <a:r>
              <a:rPr lang="ro-RO" sz="1050" b="1" i="0" baseline="0">
                <a:effectLst/>
              </a:rPr>
              <a:t> </a:t>
            </a:r>
            <a:r>
              <a:rPr lang="en-US" sz="1050" b="1" i="0" baseline="0">
                <a:solidFill>
                  <a:sysClr val="windowText" lastClr="000000"/>
                </a:solidFill>
                <a:effectLst/>
                <a:latin typeface="Arial Narrow" panose="020B0606020202030204" pitchFamily="34" charset="0"/>
              </a:rPr>
              <a:t>REGIUNEA</a:t>
            </a:r>
            <a:r>
              <a:rPr lang="ro-RO" sz="1050" b="1" i="0" baseline="0">
                <a:solidFill>
                  <a:sysClr val="windowText" lastClr="000000"/>
                </a:solidFill>
                <a:effectLst/>
                <a:latin typeface="Arial Narrow" panose="020B0606020202030204" pitchFamily="34" charset="0"/>
              </a:rPr>
              <a:t> VEST </a:t>
            </a:r>
            <a:endParaRPr lang="en-US" sz="1050" b="1" i="0" baseline="0">
              <a:solidFill>
                <a:sysClr val="windowText" lastClr="000000"/>
              </a:solidFill>
              <a:effectLst/>
            </a:endParaRPr>
          </a:p>
        </c:rich>
      </c:tx>
      <c:overlay val="0"/>
    </c:title>
    <c:autoTitleDeleted val="0"/>
    <c:plotArea>
      <c:layout/>
      <c:barChart>
        <c:barDir val="col"/>
        <c:grouping val="clustered"/>
        <c:varyColors val="0"/>
        <c:ser>
          <c:idx val="0"/>
          <c:order val="0"/>
          <c:tx>
            <c:strRef>
              <c:f>Distr_dom_reg!$G$7</c:f>
              <c:strCache>
                <c:ptCount val="1"/>
                <c:pt idx="0">
                  <c:v>Clasa 
a XII-a</c:v>
                </c:pt>
              </c:strCache>
            </c:strRef>
          </c:tx>
          <c:invertIfNegative val="0"/>
          <c:cat>
            <c:strRef>
              <c:f>Distr_dom_reg!$B$137:$B$153</c:f>
              <c:strCache>
                <c:ptCount val="17"/>
                <c:pt idx="0">
                  <c:v>Agricultură</c:v>
                </c:pt>
                <c:pt idx="1">
                  <c:v>Chimie industrială</c:v>
                </c:pt>
                <c:pt idx="2">
                  <c:v>Comerț</c:v>
                </c:pt>
                <c:pt idx="3">
                  <c:v>Construcţii, instalaţii şi lucrări publice</c:v>
                </c:pt>
                <c:pt idx="4">
                  <c:v>Economic</c:v>
                </c:pt>
                <c:pt idx="5">
                  <c:v>Electric</c:v>
                </c:pt>
                <c:pt idx="6">
                  <c:v>Electromecanică</c:v>
                </c:pt>
                <c:pt idx="7">
                  <c:v>Electronică automatizări</c:v>
                </c:pt>
                <c:pt idx="8">
                  <c:v>Estetica şi igiena corpului omenesc</c:v>
                </c:pt>
                <c:pt idx="9">
                  <c:v>Fabricarea produselor din lemn</c:v>
                </c:pt>
                <c:pt idx="10">
                  <c:v>Industrie alimentară</c:v>
                </c:pt>
                <c:pt idx="11">
                  <c:v>Industrie textilă şi pielărie</c:v>
                </c:pt>
                <c:pt idx="12">
                  <c:v>Mecanică</c:v>
                </c:pt>
                <c:pt idx="13">
                  <c:v>Producţie media</c:v>
                </c:pt>
                <c:pt idx="14">
                  <c:v>Protecţia mediului</c:v>
                </c:pt>
                <c:pt idx="15">
                  <c:v>Silvicultură</c:v>
                </c:pt>
                <c:pt idx="16">
                  <c:v>Turism şi alimentaţie</c:v>
                </c:pt>
              </c:strCache>
            </c:strRef>
          </c:cat>
          <c:val>
            <c:numRef>
              <c:f>Distr_dom_reg!$G$137:$G$153</c:f>
              <c:numCache>
                <c:formatCode>General</c:formatCode>
                <c:ptCount val="17"/>
                <c:pt idx="0" formatCode="#,##0">
                  <c:v>165</c:v>
                </c:pt>
                <c:pt idx="2" formatCode="#,##0">
                  <c:v>279</c:v>
                </c:pt>
                <c:pt idx="3" formatCode="#,##0">
                  <c:v>163</c:v>
                </c:pt>
                <c:pt idx="4" formatCode="#,##0">
                  <c:v>997</c:v>
                </c:pt>
                <c:pt idx="5" formatCode="#,##0">
                  <c:v>285</c:v>
                </c:pt>
                <c:pt idx="6" formatCode="#,##0">
                  <c:v>153</c:v>
                </c:pt>
                <c:pt idx="7" formatCode="#,##0">
                  <c:v>447</c:v>
                </c:pt>
                <c:pt idx="8" formatCode="#,##0">
                  <c:v>125</c:v>
                </c:pt>
                <c:pt idx="9" formatCode="#,##0">
                  <c:v>187</c:v>
                </c:pt>
                <c:pt idx="10" formatCode="#,##0">
                  <c:v>210</c:v>
                </c:pt>
                <c:pt idx="11" formatCode="#,##0">
                  <c:v>120</c:v>
                </c:pt>
                <c:pt idx="12" formatCode="#,##0">
                  <c:v>645</c:v>
                </c:pt>
                <c:pt idx="13" formatCode="#,##0">
                  <c:v>19</c:v>
                </c:pt>
                <c:pt idx="14" formatCode="#,##0">
                  <c:v>282</c:v>
                </c:pt>
                <c:pt idx="15" formatCode="#,##0">
                  <c:v>80</c:v>
                </c:pt>
                <c:pt idx="16" formatCode="#,##0">
                  <c:v>730</c:v>
                </c:pt>
              </c:numCache>
            </c:numRef>
          </c:val>
          <c:extLst>
            <c:ext xmlns:c16="http://schemas.microsoft.com/office/drawing/2014/chart" uri="{C3380CC4-5D6E-409C-BE32-E72D297353CC}">
              <c16:uniqueId val="{00000000-7B2E-41B0-B50D-9E87FE29049C}"/>
            </c:ext>
          </c:extLst>
        </c:ser>
        <c:ser>
          <c:idx val="1"/>
          <c:order val="1"/>
          <c:tx>
            <c:strRef>
              <c:f>Distr_dom_reg!$H$7</c:f>
              <c:strCache>
                <c:ptCount val="1"/>
                <c:pt idx="0">
                  <c:v>Clasa 
a XI-a</c:v>
                </c:pt>
              </c:strCache>
            </c:strRef>
          </c:tx>
          <c:invertIfNegative val="0"/>
          <c:cat>
            <c:strRef>
              <c:f>Distr_dom_reg!$B$137:$B$153</c:f>
              <c:strCache>
                <c:ptCount val="17"/>
                <c:pt idx="0">
                  <c:v>Agricultură</c:v>
                </c:pt>
                <c:pt idx="1">
                  <c:v>Chimie industrială</c:v>
                </c:pt>
                <c:pt idx="2">
                  <c:v>Comerț</c:v>
                </c:pt>
                <c:pt idx="3">
                  <c:v>Construcţii, instalaţii şi lucrări publice</c:v>
                </c:pt>
                <c:pt idx="4">
                  <c:v>Economic</c:v>
                </c:pt>
                <c:pt idx="5">
                  <c:v>Electric</c:v>
                </c:pt>
                <c:pt idx="6">
                  <c:v>Electromecanică</c:v>
                </c:pt>
                <c:pt idx="7">
                  <c:v>Electronică automatizări</c:v>
                </c:pt>
                <c:pt idx="8">
                  <c:v>Estetica şi igiena corpului omenesc</c:v>
                </c:pt>
                <c:pt idx="9">
                  <c:v>Fabricarea produselor din lemn</c:v>
                </c:pt>
                <c:pt idx="10">
                  <c:v>Industrie alimentară</c:v>
                </c:pt>
                <c:pt idx="11">
                  <c:v>Industrie textilă şi pielărie</c:v>
                </c:pt>
                <c:pt idx="12">
                  <c:v>Mecanică</c:v>
                </c:pt>
                <c:pt idx="13">
                  <c:v>Producţie media</c:v>
                </c:pt>
                <c:pt idx="14">
                  <c:v>Protecţia mediului</c:v>
                </c:pt>
                <c:pt idx="15">
                  <c:v>Silvicultură</c:v>
                </c:pt>
                <c:pt idx="16">
                  <c:v>Turism şi alimentaţie</c:v>
                </c:pt>
              </c:strCache>
            </c:strRef>
          </c:cat>
          <c:val>
            <c:numRef>
              <c:f>Distr_dom_reg!$H$137:$H$153</c:f>
              <c:numCache>
                <c:formatCode>General</c:formatCode>
                <c:ptCount val="17"/>
                <c:pt idx="0" formatCode="#,##0">
                  <c:v>145</c:v>
                </c:pt>
                <c:pt idx="2" formatCode="#,##0">
                  <c:v>125</c:v>
                </c:pt>
                <c:pt idx="3" formatCode="#,##0">
                  <c:v>171</c:v>
                </c:pt>
                <c:pt idx="4" formatCode="#,##0">
                  <c:v>1094</c:v>
                </c:pt>
                <c:pt idx="5" formatCode="#,##0">
                  <c:v>280</c:v>
                </c:pt>
                <c:pt idx="6" formatCode="#,##0">
                  <c:v>186</c:v>
                </c:pt>
                <c:pt idx="7" formatCode="#,##0">
                  <c:v>508</c:v>
                </c:pt>
                <c:pt idx="8" formatCode="#,##0">
                  <c:v>142</c:v>
                </c:pt>
                <c:pt idx="9" formatCode="#,##0">
                  <c:v>136</c:v>
                </c:pt>
                <c:pt idx="10" formatCode="#,##0">
                  <c:v>241</c:v>
                </c:pt>
                <c:pt idx="11" formatCode="#,##0">
                  <c:v>15</c:v>
                </c:pt>
                <c:pt idx="12" formatCode="#,##0">
                  <c:v>688</c:v>
                </c:pt>
                <c:pt idx="13" formatCode="#,##0">
                  <c:v>23</c:v>
                </c:pt>
                <c:pt idx="14" formatCode="#,##0">
                  <c:v>225</c:v>
                </c:pt>
                <c:pt idx="15" formatCode="#,##0">
                  <c:v>130</c:v>
                </c:pt>
                <c:pt idx="16" formatCode="#,##0">
                  <c:v>792</c:v>
                </c:pt>
              </c:numCache>
            </c:numRef>
          </c:val>
          <c:extLst>
            <c:ext xmlns:c16="http://schemas.microsoft.com/office/drawing/2014/chart" uri="{C3380CC4-5D6E-409C-BE32-E72D297353CC}">
              <c16:uniqueId val="{00000001-7B2E-41B0-B50D-9E87FE29049C}"/>
            </c:ext>
          </c:extLst>
        </c:ser>
        <c:ser>
          <c:idx val="2"/>
          <c:order val="2"/>
          <c:tx>
            <c:strRef>
              <c:f>Distr_dom_reg!$I$7</c:f>
              <c:strCache>
                <c:ptCount val="1"/>
                <c:pt idx="0">
                  <c:v>Clasa 
a X-a</c:v>
                </c:pt>
              </c:strCache>
            </c:strRef>
          </c:tx>
          <c:invertIfNegative val="0"/>
          <c:cat>
            <c:strRef>
              <c:f>Distr_dom_reg!$B$137:$B$153</c:f>
              <c:strCache>
                <c:ptCount val="17"/>
                <c:pt idx="0">
                  <c:v>Agricultură</c:v>
                </c:pt>
                <c:pt idx="1">
                  <c:v>Chimie industrială</c:v>
                </c:pt>
                <c:pt idx="2">
                  <c:v>Comerț</c:v>
                </c:pt>
                <c:pt idx="3">
                  <c:v>Construcţii, instalaţii şi lucrări publice</c:v>
                </c:pt>
                <c:pt idx="4">
                  <c:v>Economic</c:v>
                </c:pt>
                <c:pt idx="5">
                  <c:v>Electric</c:v>
                </c:pt>
                <c:pt idx="6">
                  <c:v>Electromecanică</c:v>
                </c:pt>
                <c:pt idx="7">
                  <c:v>Electronică automatizări</c:v>
                </c:pt>
                <c:pt idx="8">
                  <c:v>Estetica şi igiena corpului omenesc</c:v>
                </c:pt>
                <c:pt idx="9">
                  <c:v>Fabricarea produselor din lemn</c:v>
                </c:pt>
                <c:pt idx="10">
                  <c:v>Industrie alimentară</c:v>
                </c:pt>
                <c:pt idx="11">
                  <c:v>Industrie textilă şi pielărie</c:v>
                </c:pt>
                <c:pt idx="12">
                  <c:v>Mecanică</c:v>
                </c:pt>
                <c:pt idx="13">
                  <c:v>Producţie media</c:v>
                </c:pt>
                <c:pt idx="14">
                  <c:v>Protecţia mediului</c:v>
                </c:pt>
                <c:pt idx="15">
                  <c:v>Silvicultură</c:v>
                </c:pt>
                <c:pt idx="16">
                  <c:v>Turism şi alimentaţie</c:v>
                </c:pt>
              </c:strCache>
            </c:strRef>
          </c:cat>
          <c:val>
            <c:numRef>
              <c:f>Distr_dom_reg!$I$137:$I$153</c:f>
              <c:numCache>
                <c:formatCode>#,##0</c:formatCode>
                <c:ptCount val="17"/>
                <c:pt idx="0">
                  <c:v>123</c:v>
                </c:pt>
                <c:pt idx="1">
                  <c:v>15</c:v>
                </c:pt>
                <c:pt idx="2">
                  <c:v>185</c:v>
                </c:pt>
                <c:pt idx="3">
                  <c:v>119</c:v>
                </c:pt>
                <c:pt idx="4">
                  <c:v>1076</c:v>
                </c:pt>
                <c:pt idx="5">
                  <c:v>303</c:v>
                </c:pt>
                <c:pt idx="6">
                  <c:v>201</c:v>
                </c:pt>
                <c:pt idx="7">
                  <c:v>473</c:v>
                </c:pt>
                <c:pt idx="8">
                  <c:v>150</c:v>
                </c:pt>
                <c:pt idx="9">
                  <c:v>96</c:v>
                </c:pt>
                <c:pt idx="10">
                  <c:v>204</c:v>
                </c:pt>
                <c:pt idx="11">
                  <c:v>37</c:v>
                </c:pt>
                <c:pt idx="12">
                  <c:v>616</c:v>
                </c:pt>
                <c:pt idx="13">
                  <c:v>26</c:v>
                </c:pt>
                <c:pt idx="14">
                  <c:v>272</c:v>
                </c:pt>
                <c:pt idx="15">
                  <c:v>66</c:v>
                </c:pt>
                <c:pt idx="16">
                  <c:v>774</c:v>
                </c:pt>
              </c:numCache>
            </c:numRef>
          </c:val>
          <c:extLst>
            <c:ext xmlns:c16="http://schemas.microsoft.com/office/drawing/2014/chart" uri="{C3380CC4-5D6E-409C-BE32-E72D297353CC}">
              <c16:uniqueId val="{00000002-7B2E-41B0-B50D-9E87FE29049C}"/>
            </c:ext>
          </c:extLst>
        </c:ser>
        <c:ser>
          <c:idx val="3"/>
          <c:order val="3"/>
          <c:tx>
            <c:strRef>
              <c:f>Distr_dom_reg!$J$7</c:f>
              <c:strCache>
                <c:ptCount val="1"/>
                <c:pt idx="0">
                  <c:v>Clasa 
a IX-a</c:v>
                </c:pt>
              </c:strCache>
            </c:strRef>
          </c:tx>
          <c:invertIfNegative val="0"/>
          <c:cat>
            <c:strRef>
              <c:f>Distr_dom_reg!$B$137:$B$153</c:f>
              <c:strCache>
                <c:ptCount val="17"/>
                <c:pt idx="0">
                  <c:v>Agricultură</c:v>
                </c:pt>
                <c:pt idx="1">
                  <c:v>Chimie industrială</c:v>
                </c:pt>
                <c:pt idx="2">
                  <c:v>Comerț</c:v>
                </c:pt>
                <c:pt idx="3">
                  <c:v>Construcţii, instalaţii şi lucrări publice</c:v>
                </c:pt>
                <c:pt idx="4">
                  <c:v>Economic</c:v>
                </c:pt>
                <c:pt idx="5">
                  <c:v>Electric</c:v>
                </c:pt>
                <c:pt idx="6">
                  <c:v>Electromecanică</c:v>
                </c:pt>
                <c:pt idx="7">
                  <c:v>Electronică automatizări</c:v>
                </c:pt>
                <c:pt idx="8">
                  <c:v>Estetica şi igiena corpului omenesc</c:v>
                </c:pt>
                <c:pt idx="9">
                  <c:v>Fabricarea produselor din lemn</c:v>
                </c:pt>
                <c:pt idx="10">
                  <c:v>Industrie alimentară</c:v>
                </c:pt>
                <c:pt idx="11">
                  <c:v>Industrie textilă şi pielărie</c:v>
                </c:pt>
                <c:pt idx="12">
                  <c:v>Mecanică</c:v>
                </c:pt>
                <c:pt idx="13">
                  <c:v>Producţie media</c:v>
                </c:pt>
                <c:pt idx="14">
                  <c:v>Protecţia mediului</c:v>
                </c:pt>
                <c:pt idx="15">
                  <c:v>Silvicultură</c:v>
                </c:pt>
                <c:pt idx="16">
                  <c:v>Turism şi alimentaţie</c:v>
                </c:pt>
              </c:strCache>
            </c:strRef>
          </c:cat>
          <c:val>
            <c:numRef>
              <c:f>Distr_dom_reg!$J$137:$J$153</c:f>
              <c:numCache>
                <c:formatCode>General</c:formatCode>
                <c:ptCount val="17"/>
                <c:pt idx="0" formatCode="#,##0">
                  <c:v>131</c:v>
                </c:pt>
                <c:pt idx="2" formatCode="#,##0">
                  <c:v>136</c:v>
                </c:pt>
                <c:pt idx="3" formatCode="#,##0">
                  <c:v>118</c:v>
                </c:pt>
                <c:pt idx="4" formatCode="#,##0">
                  <c:v>1062</c:v>
                </c:pt>
                <c:pt idx="5" formatCode="#,##0">
                  <c:v>318</c:v>
                </c:pt>
                <c:pt idx="6" formatCode="#,##0">
                  <c:v>147</c:v>
                </c:pt>
                <c:pt idx="7" formatCode="#,##0">
                  <c:v>505</c:v>
                </c:pt>
                <c:pt idx="8" formatCode="#,##0">
                  <c:v>143</c:v>
                </c:pt>
                <c:pt idx="9" formatCode="#,##0">
                  <c:v>118</c:v>
                </c:pt>
                <c:pt idx="10" formatCode="#,##0">
                  <c:v>281</c:v>
                </c:pt>
                <c:pt idx="11" formatCode="#,##0">
                  <c:v>73</c:v>
                </c:pt>
                <c:pt idx="12" formatCode="#,##0">
                  <c:v>668</c:v>
                </c:pt>
                <c:pt idx="13" formatCode="#,##0">
                  <c:v>51</c:v>
                </c:pt>
                <c:pt idx="14" formatCode="#,##0">
                  <c:v>225</c:v>
                </c:pt>
                <c:pt idx="15" formatCode="#,##0">
                  <c:v>89</c:v>
                </c:pt>
                <c:pt idx="16" formatCode="#,##0">
                  <c:v>715</c:v>
                </c:pt>
              </c:numCache>
            </c:numRef>
          </c:val>
          <c:extLst>
            <c:ext xmlns:c16="http://schemas.microsoft.com/office/drawing/2014/chart" uri="{C3380CC4-5D6E-409C-BE32-E72D297353CC}">
              <c16:uniqueId val="{00000003-7B2E-41B0-B50D-9E87FE29049C}"/>
            </c:ext>
          </c:extLst>
        </c:ser>
        <c:dLbls>
          <c:showLegendKey val="0"/>
          <c:showVal val="0"/>
          <c:showCatName val="0"/>
          <c:showSerName val="0"/>
          <c:showPercent val="0"/>
          <c:showBubbleSize val="0"/>
        </c:dLbls>
        <c:gapWidth val="75"/>
        <c:overlap val="-25"/>
        <c:axId val="153025152"/>
        <c:axId val="152732032"/>
      </c:barChart>
      <c:catAx>
        <c:axId val="153025152"/>
        <c:scaling>
          <c:orientation val="minMax"/>
        </c:scaling>
        <c:delete val="0"/>
        <c:axPos val="b"/>
        <c:numFmt formatCode="General" sourceLinked="1"/>
        <c:majorTickMark val="none"/>
        <c:minorTickMark val="none"/>
        <c:tickLblPos val="nextTo"/>
        <c:crossAx val="152732032"/>
        <c:crosses val="autoZero"/>
        <c:auto val="1"/>
        <c:lblAlgn val="ctr"/>
        <c:lblOffset val="100"/>
        <c:noMultiLvlLbl val="0"/>
      </c:catAx>
      <c:valAx>
        <c:axId val="152732032"/>
        <c:scaling>
          <c:orientation val="minMax"/>
        </c:scaling>
        <c:delete val="0"/>
        <c:axPos val="l"/>
        <c:majorGridlines/>
        <c:numFmt formatCode="#,##0" sourceLinked="1"/>
        <c:majorTickMark val="none"/>
        <c:minorTickMark val="none"/>
        <c:tickLblPos val="nextTo"/>
        <c:spPr>
          <a:ln w="9525">
            <a:noFill/>
          </a:ln>
        </c:spPr>
        <c:crossAx val="153025152"/>
        <c:crosses val="autoZero"/>
        <c:crossBetween val="between"/>
      </c:valAx>
    </c:plotArea>
    <c:legend>
      <c:legendPos val="b"/>
      <c:overlay val="0"/>
    </c:legend>
    <c:plotVisOnly val="1"/>
    <c:dispBlanksAs val="gap"/>
    <c:showDLblsOverMax val="0"/>
  </c:chart>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0">
                <a:latin typeface="Arial Narrow" panose="020B0606020202030204" pitchFamily="34" charset="0"/>
              </a:defRPr>
            </a:pPr>
            <a:r>
              <a:rPr lang="ro-RO" sz="1200" b="0">
                <a:latin typeface="Arial Narrow" panose="020B0606020202030204" pitchFamily="34" charset="0"/>
              </a:rPr>
              <a:t>Evoluţia abaterilor ponderilor elevilor cuprinţi în IPT </a:t>
            </a:r>
            <a:r>
              <a:rPr lang="ro-RO" sz="1200" b="0" baseline="0">
                <a:latin typeface="Arial Narrow" panose="020B0606020202030204" pitchFamily="34" charset="0"/>
              </a:rPr>
              <a:t> pe</a:t>
            </a:r>
            <a:r>
              <a:rPr lang="ro-RO" sz="1200" b="0">
                <a:latin typeface="Arial Narrow" panose="020B0606020202030204" pitchFamily="34" charset="0"/>
              </a:rPr>
              <a:t> domenii</a:t>
            </a:r>
            <a:r>
              <a:rPr lang="ro-RO" sz="1200" b="0" baseline="0">
                <a:latin typeface="Arial Narrow" panose="020B0606020202030204" pitchFamily="34" charset="0"/>
              </a:rPr>
              <a:t> </a:t>
            </a:r>
            <a:r>
              <a:rPr lang="ro-RO" sz="1200" b="0">
                <a:latin typeface="Arial Narrow" panose="020B0606020202030204" pitchFamily="34" charset="0"/>
              </a:rPr>
              <a:t>de fromare profesională  faţă</a:t>
            </a:r>
            <a:r>
              <a:rPr lang="ro-RO" sz="1200" b="0" baseline="0">
                <a:latin typeface="Arial Narrow" panose="020B0606020202030204" pitchFamily="34" charset="0"/>
              </a:rPr>
              <a:t> de ponderile recomandate de PRAI</a:t>
            </a:r>
            <a:endParaRPr lang="vi-VN" sz="1200" b="0"/>
          </a:p>
        </c:rich>
      </c:tx>
      <c:overlay val="0"/>
    </c:title>
    <c:autoTitleDeleted val="0"/>
    <c:plotArea>
      <c:layout>
        <c:manualLayout>
          <c:layoutTarget val="inner"/>
          <c:xMode val="edge"/>
          <c:yMode val="edge"/>
          <c:x val="0.10236493609030548"/>
          <c:y val="0.12781516497289094"/>
          <c:w val="0.88679495550861065"/>
          <c:h val="0.67161353510469235"/>
        </c:manualLayout>
      </c:layout>
      <c:barChart>
        <c:barDir val="col"/>
        <c:grouping val="clustered"/>
        <c:varyColors val="0"/>
        <c:ser>
          <c:idx val="0"/>
          <c:order val="0"/>
          <c:tx>
            <c:strRef>
              <c:f>VEST!$P$4</c:f>
              <c:strCache>
                <c:ptCount val="1"/>
                <c:pt idx="0">
                  <c:v>intrări în IPT 2016-2017</c:v>
                </c:pt>
              </c:strCache>
            </c:strRef>
          </c:tx>
          <c:invertIfNegative val="0"/>
          <c:cat>
            <c:strRef>
              <c:f>VEST!$A$5:$A$21</c:f>
              <c:strCache>
                <c:ptCount val="17"/>
                <c:pt idx="0">
                  <c:v>Agricultură</c:v>
                </c:pt>
                <c:pt idx="1">
                  <c:v>Chimie industrială</c:v>
                </c:pt>
                <c:pt idx="2">
                  <c:v>Comerț</c:v>
                </c:pt>
                <c:pt idx="3">
                  <c:v>Construcţii, instalaţii şi lucrări publice</c:v>
                </c:pt>
                <c:pt idx="4">
                  <c:v>Economic</c:v>
                </c:pt>
                <c:pt idx="5">
                  <c:v>Electric</c:v>
                </c:pt>
                <c:pt idx="6">
                  <c:v>Electromecanică</c:v>
                </c:pt>
                <c:pt idx="7">
                  <c:v>Electronică automatizări</c:v>
                </c:pt>
                <c:pt idx="8">
                  <c:v>Estetica şi igiena corpului omenesc</c:v>
                </c:pt>
                <c:pt idx="9">
                  <c:v>Fabricarea produselor din lemn</c:v>
                </c:pt>
                <c:pt idx="10">
                  <c:v>Industrie alimentară</c:v>
                </c:pt>
                <c:pt idx="11">
                  <c:v>Industrie textilă şi pielărie</c:v>
                </c:pt>
                <c:pt idx="12">
                  <c:v>Mecanică</c:v>
                </c:pt>
                <c:pt idx="13">
                  <c:v>Producţie media</c:v>
                </c:pt>
                <c:pt idx="14">
                  <c:v>Protecţia mediului</c:v>
                </c:pt>
                <c:pt idx="15">
                  <c:v>Silvicultură</c:v>
                </c:pt>
                <c:pt idx="16">
                  <c:v>Turism şi alimentaţie</c:v>
                </c:pt>
              </c:strCache>
            </c:strRef>
          </c:cat>
          <c:val>
            <c:numRef>
              <c:f>VEST!$P$5:$P$21</c:f>
              <c:numCache>
                <c:formatCode>0.0%</c:formatCode>
                <c:ptCount val="17"/>
                <c:pt idx="0">
                  <c:v>-2.3344676024386789E-2</c:v>
                </c:pt>
                <c:pt idx="1">
                  <c:v>-1.3052601729760405E-2</c:v>
                </c:pt>
                <c:pt idx="2">
                  <c:v>-5.1434850418261728E-2</c:v>
                </c:pt>
                <c:pt idx="3">
                  <c:v>-0.10512122501063575</c:v>
                </c:pt>
                <c:pt idx="4">
                  <c:v>0.15057422373458088</c:v>
                </c:pt>
                <c:pt idx="5">
                  <c:v>-3.5488444633489297E-2</c:v>
                </c:pt>
                <c:pt idx="6">
                  <c:v>-1.306961576634056E-2</c:v>
                </c:pt>
                <c:pt idx="7">
                  <c:v>1.5570679143626845E-2</c:v>
                </c:pt>
                <c:pt idx="8">
                  <c:v>1.8706933219906501E-2</c:v>
                </c:pt>
                <c:pt idx="9">
                  <c:v>-2.5471430596909594E-2</c:v>
                </c:pt>
                <c:pt idx="10">
                  <c:v>2.4094711470296352E-2</c:v>
                </c:pt>
                <c:pt idx="11">
                  <c:v>-2.8590670636608539E-2</c:v>
                </c:pt>
                <c:pt idx="12">
                  <c:v>3.2742095562172252E-2</c:v>
                </c:pt>
                <c:pt idx="13">
                  <c:v>-2.7690344534240852E-3</c:v>
                </c:pt>
                <c:pt idx="14">
                  <c:v>3.1901318587835771E-2</c:v>
                </c:pt>
                <c:pt idx="15">
                  <c:v>-1.3269530696157968E-2</c:v>
                </c:pt>
                <c:pt idx="16">
                  <c:v>4.8022118247554216E-2</c:v>
                </c:pt>
              </c:numCache>
            </c:numRef>
          </c:val>
          <c:extLst>
            <c:ext xmlns:c16="http://schemas.microsoft.com/office/drawing/2014/chart" uri="{C3380CC4-5D6E-409C-BE32-E72D297353CC}">
              <c16:uniqueId val="{00000000-1F65-47F3-B910-358B1FE7D30D}"/>
            </c:ext>
          </c:extLst>
        </c:ser>
        <c:ser>
          <c:idx val="1"/>
          <c:order val="1"/>
          <c:tx>
            <c:strRef>
              <c:f>VEST!$Q$4</c:f>
              <c:strCache>
                <c:ptCount val="1"/>
                <c:pt idx="0">
                  <c:v>intrări în IPT 2015-2016</c:v>
                </c:pt>
              </c:strCache>
            </c:strRef>
          </c:tx>
          <c:invertIfNegative val="0"/>
          <c:cat>
            <c:strRef>
              <c:f>VEST!$A$5:$A$21</c:f>
              <c:strCache>
                <c:ptCount val="17"/>
                <c:pt idx="0">
                  <c:v>Agricultură</c:v>
                </c:pt>
                <c:pt idx="1">
                  <c:v>Chimie industrială</c:v>
                </c:pt>
                <c:pt idx="2">
                  <c:v>Comerț</c:v>
                </c:pt>
                <c:pt idx="3">
                  <c:v>Construcţii, instalaţii şi lucrări publice</c:v>
                </c:pt>
                <c:pt idx="4">
                  <c:v>Economic</c:v>
                </c:pt>
                <c:pt idx="5">
                  <c:v>Electric</c:v>
                </c:pt>
                <c:pt idx="6">
                  <c:v>Electromecanică</c:v>
                </c:pt>
                <c:pt idx="7">
                  <c:v>Electronică automatizări</c:v>
                </c:pt>
                <c:pt idx="8">
                  <c:v>Estetica şi igiena corpului omenesc</c:v>
                </c:pt>
                <c:pt idx="9">
                  <c:v>Fabricarea produselor din lemn</c:v>
                </c:pt>
                <c:pt idx="10">
                  <c:v>Industrie alimentară</c:v>
                </c:pt>
                <c:pt idx="11">
                  <c:v>Industrie textilă şi pielărie</c:v>
                </c:pt>
                <c:pt idx="12">
                  <c:v>Mecanică</c:v>
                </c:pt>
                <c:pt idx="13">
                  <c:v>Producţie media</c:v>
                </c:pt>
                <c:pt idx="14">
                  <c:v>Protecţia mediului</c:v>
                </c:pt>
                <c:pt idx="15">
                  <c:v>Silvicultură</c:v>
                </c:pt>
                <c:pt idx="16">
                  <c:v>Turism şi alimentaţie</c:v>
                </c:pt>
              </c:strCache>
            </c:strRef>
          </c:cat>
          <c:val>
            <c:numRef>
              <c:f>VEST!$Q$5:$Q$21</c:f>
              <c:numCache>
                <c:formatCode>0.0%</c:formatCode>
                <c:ptCount val="17"/>
                <c:pt idx="0">
                  <c:v>-2.7748691099476443E-2</c:v>
                </c:pt>
                <c:pt idx="1">
                  <c:v>-1.3891797556719022E-2</c:v>
                </c:pt>
                <c:pt idx="2">
                  <c:v>-4.2734147760325782E-2</c:v>
                </c:pt>
                <c:pt idx="3">
                  <c:v>-0.10625945317044795</c:v>
                </c:pt>
                <c:pt idx="4">
                  <c:v>0.15648632926120074</c:v>
                </c:pt>
                <c:pt idx="5">
                  <c:v>-3.222803955788249E-2</c:v>
                </c:pt>
                <c:pt idx="6">
                  <c:v>-4.0081442699243727E-3</c:v>
                </c:pt>
                <c:pt idx="7">
                  <c:v>1.3298429319371741E-2</c:v>
                </c:pt>
                <c:pt idx="8">
                  <c:v>1.4031413612565461E-2</c:v>
                </c:pt>
                <c:pt idx="9">
                  <c:v>-2.4403723094822586E-2</c:v>
                </c:pt>
                <c:pt idx="10">
                  <c:v>1.5776614310645722E-2</c:v>
                </c:pt>
                <c:pt idx="11">
                  <c:v>-2.5276323443862811E-2</c:v>
                </c:pt>
                <c:pt idx="12">
                  <c:v>1.4915648632926104E-2</c:v>
                </c:pt>
                <c:pt idx="13">
                  <c:v>-6.2187318208260624E-3</c:v>
                </c:pt>
                <c:pt idx="14">
                  <c:v>3.9557882489820291E-2</c:v>
                </c:pt>
                <c:pt idx="15">
                  <c:v>-2.0401396160558482E-2</c:v>
                </c:pt>
                <c:pt idx="16">
                  <c:v>5.9104130308318834E-2</c:v>
                </c:pt>
              </c:numCache>
            </c:numRef>
          </c:val>
          <c:extLst>
            <c:ext xmlns:c16="http://schemas.microsoft.com/office/drawing/2014/chart" uri="{C3380CC4-5D6E-409C-BE32-E72D297353CC}">
              <c16:uniqueId val="{00000001-1F65-47F3-B910-358B1FE7D30D}"/>
            </c:ext>
          </c:extLst>
        </c:ser>
        <c:ser>
          <c:idx val="2"/>
          <c:order val="2"/>
          <c:tx>
            <c:strRef>
              <c:f>VEST!$R$4</c:f>
              <c:strCache>
                <c:ptCount val="1"/>
                <c:pt idx="0">
                  <c:v>intrări în IPT 2014-2015</c:v>
                </c:pt>
              </c:strCache>
            </c:strRef>
          </c:tx>
          <c:invertIfNegative val="0"/>
          <c:cat>
            <c:strRef>
              <c:f>VEST!$A$5:$A$21</c:f>
              <c:strCache>
                <c:ptCount val="17"/>
                <c:pt idx="0">
                  <c:v>Agricultură</c:v>
                </c:pt>
                <c:pt idx="1">
                  <c:v>Chimie industrială</c:v>
                </c:pt>
                <c:pt idx="2">
                  <c:v>Comerț</c:v>
                </c:pt>
                <c:pt idx="3">
                  <c:v>Construcţii, instalaţii şi lucrări publice</c:v>
                </c:pt>
                <c:pt idx="4">
                  <c:v>Economic</c:v>
                </c:pt>
                <c:pt idx="5">
                  <c:v>Electric</c:v>
                </c:pt>
                <c:pt idx="6">
                  <c:v>Electromecanică</c:v>
                </c:pt>
                <c:pt idx="7">
                  <c:v>Electronică automatizări</c:v>
                </c:pt>
                <c:pt idx="8">
                  <c:v>Estetica şi igiena corpului omenesc</c:v>
                </c:pt>
                <c:pt idx="9">
                  <c:v>Fabricarea produselor din lemn</c:v>
                </c:pt>
                <c:pt idx="10">
                  <c:v>Industrie alimentară</c:v>
                </c:pt>
                <c:pt idx="11">
                  <c:v>Industrie textilă şi pielărie</c:v>
                </c:pt>
                <c:pt idx="12">
                  <c:v>Mecanică</c:v>
                </c:pt>
                <c:pt idx="13">
                  <c:v>Producţie media</c:v>
                </c:pt>
                <c:pt idx="14">
                  <c:v>Protecţia mediului</c:v>
                </c:pt>
                <c:pt idx="15">
                  <c:v>Silvicultură</c:v>
                </c:pt>
                <c:pt idx="16">
                  <c:v>Turism şi alimentaţie</c:v>
                </c:pt>
              </c:strCache>
            </c:strRef>
          </c:cat>
          <c:val>
            <c:numRef>
              <c:f>VEST!$R$5:$R$21</c:f>
              <c:numCache>
                <c:formatCode>0.0%</c:formatCode>
                <c:ptCount val="17"/>
                <c:pt idx="0">
                  <c:v>-2.3615182842154001E-2</c:v>
                </c:pt>
                <c:pt idx="1">
                  <c:v>-1.7685542354574913E-2</c:v>
                </c:pt>
                <c:pt idx="2">
                  <c:v>-4.6951087795093362E-2</c:v>
                </c:pt>
                <c:pt idx="3">
                  <c:v>-9.6642493442370025E-2</c:v>
                </c:pt>
                <c:pt idx="4">
                  <c:v>0.16880111093966968</c:v>
                </c:pt>
                <c:pt idx="5">
                  <c:v>-4.4144422157074516E-2</c:v>
                </c:pt>
                <c:pt idx="6">
                  <c:v>-1.9265545440518811E-2</c:v>
                </c:pt>
                <c:pt idx="7">
                  <c:v>1.838296559172968E-2</c:v>
                </c:pt>
                <c:pt idx="8">
                  <c:v>1.3019595741397941E-2</c:v>
                </c:pt>
                <c:pt idx="9">
                  <c:v>-1.4357352260453635E-2</c:v>
                </c:pt>
                <c:pt idx="10">
                  <c:v>1.718561950316309E-2</c:v>
                </c:pt>
                <c:pt idx="11">
                  <c:v>-2.0220644962197193E-2</c:v>
                </c:pt>
                <c:pt idx="12">
                  <c:v>-1.1402561333127888E-3</c:v>
                </c:pt>
                <c:pt idx="13">
                  <c:v>-6.4511649436816195E-3</c:v>
                </c:pt>
                <c:pt idx="14">
                  <c:v>3.4716864681376351E-2</c:v>
                </c:pt>
                <c:pt idx="15">
                  <c:v>-9.941367072982564E-3</c:v>
                </c:pt>
                <c:pt idx="16">
                  <c:v>5.8308902947076878E-2</c:v>
                </c:pt>
              </c:numCache>
            </c:numRef>
          </c:val>
          <c:extLst>
            <c:ext xmlns:c16="http://schemas.microsoft.com/office/drawing/2014/chart" uri="{C3380CC4-5D6E-409C-BE32-E72D297353CC}">
              <c16:uniqueId val="{00000002-1F65-47F3-B910-358B1FE7D30D}"/>
            </c:ext>
          </c:extLst>
        </c:ser>
        <c:dLbls>
          <c:showLegendKey val="0"/>
          <c:showVal val="0"/>
          <c:showCatName val="0"/>
          <c:showSerName val="0"/>
          <c:showPercent val="0"/>
          <c:showBubbleSize val="0"/>
        </c:dLbls>
        <c:gapWidth val="150"/>
        <c:axId val="152747008"/>
        <c:axId val="152748800"/>
      </c:barChart>
      <c:catAx>
        <c:axId val="152747008"/>
        <c:scaling>
          <c:orientation val="minMax"/>
        </c:scaling>
        <c:delete val="0"/>
        <c:axPos val="b"/>
        <c:numFmt formatCode="General" sourceLinked="0"/>
        <c:majorTickMark val="none"/>
        <c:minorTickMark val="none"/>
        <c:tickLblPos val="nextTo"/>
        <c:txPr>
          <a:bodyPr/>
          <a:lstStyle/>
          <a:p>
            <a:pPr>
              <a:defRPr sz="1000">
                <a:latin typeface="Arial Narrow" panose="020B0606020202030204" pitchFamily="34" charset="0"/>
              </a:defRPr>
            </a:pPr>
            <a:endParaRPr lang="en-US"/>
          </a:p>
        </c:txPr>
        <c:crossAx val="152748800"/>
        <c:crosses val="autoZero"/>
        <c:auto val="1"/>
        <c:lblAlgn val="ctr"/>
        <c:lblOffset val="100"/>
        <c:noMultiLvlLbl val="0"/>
      </c:catAx>
      <c:valAx>
        <c:axId val="152748800"/>
        <c:scaling>
          <c:orientation val="minMax"/>
        </c:scaling>
        <c:delete val="0"/>
        <c:axPos val="l"/>
        <c:majorGridlines/>
        <c:numFmt formatCode="0.0%" sourceLinked="1"/>
        <c:majorTickMark val="none"/>
        <c:minorTickMark val="none"/>
        <c:tickLblPos val="nextTo"/>
        <c:txPr>
          <a:bodyPr/>
          <a:lstStyle/>
          <a:p>
            <a:pPr>
              <a:defRPr>
                <a:latin typeface="Arial Narrow" panose="020B0606020202030204" pitchFamily="34" charset="0"/>
              </a:defRPr>
            </a:pPr>
            <a:endParaRPr lang="en-US"/>
          </a:p>
        </c:txPr>
        <c:crossAx val="152747008"/>
        <c:crosses val="autoZero"/>
        <c:crossBetween val="between"/>
      </c:valAx>
    </c:plotArea>
    <c:legend>
      <c:legendPos val="b"/>
      <c:overlay val="0"/>
      <c:txPr>
        <a:bodyPr/>
        <a:lstStyle/>
        <a:p>
          <a:pPr>
            <a:defRPr>
              <a:latin typeface="Arial Narrow" panose="020B0606020202030204" pitchFamily="34" charset="0"/>
            </a:defRPr>
          </a:pPr>
          <a:endParaRPr lang="en-US"/>
        </a:p>
      </c:txPr>
    </c:legend>
    <c:plotVisOnly val="1"/>
    <c:dispBlanksAs val="gap"/>
    <c:showDLblsOverMax val="0"/>
  </c:chart>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100" b="0" i="0" u="none" strike="noStrike" kern="1200" baseline="0">
                <a:solidFill>
                  <a:sysClr val="windowText" lastClr="000000"/>
                </a:solidFill>
                <a:latin typeface="Arial" pitchFamily="34" charset="0"/>
                <a:ea typeface="+mn-ea"/>
                <a:cs typeface="Arial" pitchFamily="34" charset="0"/>
              </a:defRPr>
            </a:pPr>
            <a:r>
              <a:rPr lang="ro-RO" sz="1100" b="0">
                <a:latin typeface="Arial" pitchFamily="34" charset="0"/>
                <a:cs typeface="Arial" pitchFamily="34" charset="0"/>
              </a:rPr>
              <a:t>Numărul </a:t>
            </a:r>
            <a:r>
              <a:rPr lang="ro-RO" sz="1100" b="0" i="1">
                <a:latin typeface="Arial" pitchFamily="34" charset="0"/>
                <a:cs typeface="Arial" pitchFamily="34" charset="0"/>
              </a:rPr>
              <a:t>elevilor în învăţământul postliceal în anul şcolar 2016-2017</a:t>
            </a:r>
            <a:endParaRPr lang="ro-RO" sz="1100" b="0">
              <a:latin typeface="Arial" pitchFamily="34" charset="0"/>
              <a:cs typeface="Arial" pitchFamily="34" charset="0"/>
            </a:endParaRPr>
          </a:p>
        </c:rich>
      </c:tx>
      <c:overlay val="0"/>
    </c:title>
    <c:autoTitleDeleted val="0"/>
    <c:plotArea>
      <c:layout/>
      <c:barChart>
        <c:barDir val="col"/>
        <c:grouping val="clustered"/>
        <c:varyColors val="0"/>
        <c:ser>
          <c:idx val="0"/>
          <c:order val="0"/>
          <c:tx>
            <c:strRef>
              <c:f>'PL REGIUNI, DOMENII'!$F$3</c:f>
              <c:strCache>
                <c:ptCount val="1"/>
                <c:pt idx="0">
                  <c:v>anul III</c:v>
                </c:pt>
              </c:strCache>
            </c:strRef>
          </c:tx>
          <c:invertIfNegative val="0"/>
          <c:cat>
            <c:strRef>
              <c:f>'PL REGIUNI, DOMENII'!$B$122:$B$139</c:f>
              <c:strCache>
                <c:ptCount val="18"/>
                <c:pt idx="0">
                  <c:v>Agricultură  Total</c:v>
                </c:pt>
                <c:pt idx="1">
                  <c:v>Comerţ Total</c:v>
                </c:pt>
                <c:pt idx="2">
                  <c:v>Construcţii, instalaţii și lucrări publice Total</c:v>
                </c:pt>
                <c:pt idx="3">
                  <c:v>Economic  Total</c:v>
                </c:pt>
                <c:pt idx="4">
                  <c:v>Electronică, automatizări  Total</c:v>
                </c:pt>
                <c:pt idx="5">
                  <c:v>Energetică Total</c:v>
                </c:pt>
                <c:pt idx="6">
                  <c:v>Estetica şi igiena corpului omenesc  Total</c:v>
                </c:pt>
                <c:pt idx="7">
                  <c:v>Fabricarea produselor din lemn  Total</c:v>
                </c:pt>
                <c:pt idx="8">
                  <c:v>Industrie alimentară Total</c:v>
                </c:pt>
                <c:pt idx="9">
                  <c:v>Informatică  Total</c:v>
                </c:pt>
                <c:pt idx="10">
                  <c:v>Mecanică  Total</c:v>
                </c:pt>
                <c:pt idx="11">
                  <c:v>Protecţia mediului  Total</c:v>
                </c:pt>
                <c:pt idx="12">
                  <c:v>Sănătate şi asistenţă pedagogică Total</c:v>
                </c:pt>
                <c:pt idx="13">
                  <c:v>Servicii  Total</c:v>
                </c:pt>
                <c:pt idx="14">
                  <c:v>Silvicultură Total</c:v>
                </c:pt>
                <c:pt idx="15">
                  <c:v>Textile-pielărie Total</c:v>
                </c:pt>
                <c:pt idx="16">
                  <c:v>Transporturi Total</c:v>
                </c:pt>
                <c:pt idx="17">
                  <c:v>Turism şi alimentaţie Total</c:v>
                </c:pt>
              </c:strCache>
            </c:strRef>
          </c:cat>
          <c:val>
            <c:numRef>
              <c:f>'PL REGIUNI, DOMENII'!$F$122:$F$139</c:f>
              <c:numCache>
                <c:formatCode>General</c:formatCode>
                <c:ptCount val="18"/>
                <c:pt idx="0">
                  <c:v>0</c:v>
                </c:pt>
                <c:pt idx="1">
                  <c:v>0</c:v>
                </c:pt>
                <c:pt idx="2">
                  <c:v>0</c:v>
                </c:pt>
                <c:pt idx="3">
                  <c:v>0</c:v>
                </c:pt>
                <c:pt idx="4">
                  <c:v>0</c:v>
                </c:pt>
                <c:pt idx="5">
                  <c:v>0</c:v>
                </c:pt>
                <c:pt idx="6">
                  <c:v>0</c:v>
                </c:pt>
                <c:pt idx="7">
                  <c:v>0</c:v>
                </c:pt>
                <c:pt idx="8">
                  <c:v>0</c:v>
                </c:pt>
                <c:pt idx="9">
                  <c:v>0</c:v>
                </c:pt>
                <c:pt idx="10">
                  <c:v>0</c:v>
                </c:pt>
                <c:pt idx="11">
                  <c:v>0</c:v>
                </c:pt>
                <c:pt idx="12">
                  <c:v>864</c:v>
                </c:pt>
                <c:pt idx="13">
                  <c:v>0</c:v>
                </c:pt>
                <c:pt idx="14">
                  <c:v>0</c:v>
                </c:pt>
                <c:pt idx="15">
                  <c:v>0</c:v>
                </c:pt>
                <c:pt idx="16">
                  <c:v>0</c:v>
                </c:pt>
                <c:pt idx="17">
                  <c:v>0</c:v>
                </c:pt>
              </c:numCache>
            </c:numRef>
          </c:val>
          <c:extLst>
            <c:ext xmlns:c16="http://schemas.microsoft.com/office/drawing/2014/chart" uri="{C3380CC4-5D6E-409C-BE32-E72D297353CC}">
              <c16:uniqueId val="{00000000-B85B-407B-B103-F6E244BCD8F6}"/>
            </c:ext>
          </c:extLst>
        </c:ser>
        <c:ser>
          <c:idx val="1"/>
          <c:order val="1"/>
          <c:tx>
            <c:strRef>
              <c:f>'PL REGIUNI, DOMENII'!$G$3</c:f>
              <c:strCache>
                <c:ptCount val="1"/>
                <c:pt idx="0">
                  <c:v>anul II</c:v>
                </c:pt>
              </c:strCache>
            </c:strRef>
          </c:tx>
          <c:invertIfNegative val="0"/>
          <c:cat>
            <c:strRef>
              <c:f>'PL REGIUNI, DOMENII'!$B$122:$B$139</c:f>
              <c:strCache>
                <c:ptCount val="18"/>
                <c:pt idx="0">
                  <c:v>Agricultură  Total</c:v>
                </c:pt>
                <c:pt idx="1">
                  <c:v>Comerţ Total</c:v>
                </c:pt>
                <c:pt idx="2">
                  <c:v>Construcţii, instalaţii și lucrări publice Total</c:v>
                </c:pt>
                <c:pt idx="3">
                  <c:v>Economic  Total</c:v>
                </c:pt>
                <c:pt idx="4">
                  <c:v>Electronică, automatizări  Total</c:v>
                </c:pt>
                <c:pt idx="5">
                  <c:v>Energetică Total</c:v>
                </c:pt>
                <c:pt idx="6">
                  <c:v>Estetica şi igiena corpului omenesc  Total</c:v>
                </c:pt>
                <c:pt idx="7">
                  <c:v>Fabricarea produselor din lemn  Total</c:v>
                </c:pt>
                <c:pt idx="8">
                  <c:v>Industrie alimentară Total</c:v>
                </c:pt>
                <c:pt idx="9">
                  <c:v>Informatică  Total</c:v>
                </c:pt>
                <c:pt idx="10">
                  <c:v>Mecanică  Total</c:v>
                </c:pt>
                <c:pt idx="11">
                  <c:v>Protecţia mediului  Total</c:v>
                </c:pt>
                <c:pt idx="12">
                  <c:v>Sănătate şi asistenţă pedagogică Total</c:v>
                </c:pt>
                <c:pt idx="13">
                  <c:v>Servicii  Total</c:v>
                </c:pt>
                <c:pt idx="14">
                  <c:v>Silvicultură Total</c:v>
                </c:pt>
                <c:pt idx="15">
                  <c:v>Textile-pielărie Total</c:v>
                </c:pt>
                <c:pt idx="16">
                  <c:v>Transporturi Total</c:v>
                </c:pt>
                <c:pt idx="17">
                  <c:v>Turism şi alimentaţie Total</c:v>
                </c:pt>
              </c:strCache>
            </c:strRef>
          </c:cat>
          <c:val>
            <c:numRef>
              <c:f>'PL REGIUNI, DOMENII'!$G$122:$G$139</c:f>
              <c:numCache>
                <c:formatCode>General</c:formatCode>
                <c:ptCount val="18"/>
                <c:pt idx="0">
                  <c:v>118</c:v>
                </c:pt>
                <c:pt idx="1">
                  <c:v>71</c:v>
                </c:pt>
                <c:pt idx="2">
                  <c:v>42</c:v>
                </c:pt>
                <c:pt idx="3">
                  <c:v>57</c:v>
                </c:pt>
                <c:pt idx="4">
                  <c:v>58</c:v>
                </c:pt>
                <c:pt idx="5">
                  <c:v>21</c:v>
                </c:pt>
                <c:pt idx="6">
                  <c:v>34</c:v>
                </c:pt>
                <c:pt idx="7">
                  <c:v>26</c:v>
                </c:pt>
                <c:pt idx="8">
                  <c:v>0</c:v>
                </c:pt>
                <c:pt idx="9">
                  <c:v>158</c:v>
                </c:pt>
                <c:pt idx="10">
                  <c:v>136</c:v>
                </c:pt>
                <c:pt idx="11">
                  <c:v>151</c:v>
                </c:pt>
                <c:pt idx="12">
                  <c:v>871</c:v>
                </c:pt>
                <c:pt idx="13">
                  <c:v>49</c:v>
                </c:pt>
                <c:pt idx="14">
                  <c:v>83</c:v>
                </c:pt>
                <c:pt idx="15">
                  <c:v>45</c:v>
                </c:pt>
                <c:pt idx="16">
                  <c:v>302</c:v>
                </c:pt>
                <c:pt idx="17">
                  <c:v>203</c:v>
                </c:pt>
              </c:numCache>
            </c:numRef>
          </c:val>
          <c:extLst>
            <c:ext xmlns:c16="http://schemas.microsoft.com/office/drawing/2014/chart" uri="{C3380CC4-5D6E-409C-BE32-E72D297353CC}">
              <c16:uniqueId val="{00000001-B85B-407B-B103-F6E244BCD8F6}"/>
            </c:ext>
          </c:extLst>
        </c:ser>
        <c:ser>
          <c:idx val="2"/>
          <c:order val="2"/>
          <c:tx>
            <c:strRef>
              <c:f>'PL REGIUNI, DOMENII'!$H$3</c:f>
              <c:strCache>
                <c:ptCount val="1"/>
                <c:pt idx="0">
                  <c:v>anul I</c:v>
                </c:pt>
              </c:strCache>
            </c:strRef>
          </c:tx>
          <c:invertIfNegative val="0"/>
          <c:cat>
            <c:strRef>
              <c:f>'PL REGIUNI, DOMENII'!$B$122:$B$139</c:f>
              <c:strCache>
                <c:ptCount val="18"/>
                <c:pt idx="0">
                  <c:v>Agricultură  Total</c:v>
                </c:pt>
                <c:pt idx="1">
                  <c:v>Comerţ Total</c:v>
                </c:pt>
                <c:pt idx="2">
                  <c:v>Construcţii, instalaţii și lucrări publice Total</c:v>
                </c:pt>
                <c:pt idx="3">
                  <c:v>Economic  Total</c:v>
                </c:pt>
                <c:pt idx="4">
                  <c:v>Electronică, automatizări  Total</c:v>
                </c:pt>
                <c:pt idx="5">
                  <c:v>Energetică Total</c:v>
                </c:pt>
                <c:pt idx="6">
                  <c:v>Estetica şi igiena corpului omenesc  Total</c:v>
                </c:pt>
                <c:pt idx="7">
                  <c:v>Fabricarea produselor din lemn  Total</c:v>
                </c:pt>
                <c:pt idx="8">
                  <c:v>Industrie alimentară Total</c:v>
                </c:pt>
                <c:pt idx="9">
                  <c:v>Informatică  Total</c:v>
                </c:pt>
                <c:pt idx="10">
                  <c:v>Mecanică  Total</c:v>
                </c:pt>
                <c:pt idx="11">
                  <c:v>Protecţia mediului  Total</c:v>
                </c:pt>
                <c:pt idx="12">
                  <c:v>Sănătate şi asistenţă pedagogică Total</c:v>
                </c:pt>
                <c:pt idx="13">
                  <c:v>Servicii  Total</c:v>
                </c:pt>
                <c:pt idx="14">
                  <c:v>Silvicultură Total</c:v>
                </c:pt>
                <c:pt idx="15">
                  <c:v>Textile-pielărie Total</c:v>
                </c:pt>
                <c:pt idx="16">
                  <c:v>Transporturi Total</c:v>
                </c:pt>
                <c:pt idx="17">
                  <c:v>Turism şi alimentaţie Total</c:v>
                </c:pt>
              </c:strCache>
            </c:strRef>
          </c:cat>
          <c:val>
            <c:numRef>
              <c:f>'PL REGIUNI, DOMENII'!$H$122:$H$139</c:f>
              <c:numCache>
                <c:formatCode>General</c:formatCode>
                <c:ptCount val="18"/>
                <c:pt idx="0">
                  <c:v>30</c:v>
                </c:pt>
                <c:pt idx="1">
                  <c:v>33</c:v>
                </c:pt>
                <c:pt idx="2">
                  <c:v>77</c:v>
                </c:pt>
                <c:pt idx="3">
                  <c:v>27</c:v>
                </c:pt>
                <c:pt idx="4">
                  <c:v>28</c:v>
                </c:pt>
                <c:pt idx="5">
                  <c:v>72</c:v>
                </c:pt>
                <c:pt idx="6">
                  <c:v>30</c:v>
                </c:pt>
                <c:pt idx="7">
                  <c:v>24</c:v>
                </c:pt>
                <c:pt idx="8">
                  <c:v>31</c:v>
                </c:pt>
                <c:pt idx="9">
                  <c:v>236</c:v>
                </c:pt>
                <c:pt idx="10">
                  <c:v>162</c:v>
                </c:pt>
                <c:pt idx="11">
                  <c:v>111</c:v>
                </c:pt>
                <c:pt idx="12">
                  <c:v>967</c:v>
                </c:pt>
                <c:pt idx="13">
                  <c:v>55</c:v>
                </c:pt>
                <c:pt idx="14">
                  <c:v>56</c:v>
                </c:pt>
                <c:pt idx="15">
                  <c:v>0</c:v>
                </c:pt>
                <c:pt idx="16">
                  <c:v>258</c:v>
                </c:pt>
                <c:pt idx="17">
                  <c:v>285</c:v>
                </c:pt>
              </c:numCache>
            </c:numRef>
          </c:val>
          <c:extLst>
            <c:ext xmlns:c16="http://schemas.microsoft.com/office/drawing/2014/chart" uri="{C3380CC4-5D6E-409C-BE32-E72D297353CC}">
              <c16:uniqueId val="{00000002-B85B-407B-B103-F6E244BCD8F6}"/>
            </c:ext>
          </c:extLst>
        </c:ser>
        <c:dLbls>
          <c:showLegendKey val="0"/>
          <c:showVal val="0"/>
          <c:showCatName val="0"/>
          <c:showSerName val="0"/>
          <c:showPercent val="0"/>
          <c:showBubbleSize val="0"/>
        </c:dLbls>
        <c:gapWidth val="150"/>
        <c:axId val="152651648"/>
        <c:axId val="152653184"/>
      </c:barChart>
      <c:catAx>
        <c:axId val="152651648"/>
        <c:scaling>
          <c:orientation val="minMax"/>
        </c:scaling>
        <c:delete val="0"/>
        <c:axPos val="b"/>
        <c:numFmt formatCode="General" sourceLinked="1"/>
        <c:majorTickMark val="none"/>
        <c:minorTickMark val="none"/>
        <c:tickLblPos val="nextTo"/>
        <c:crossAx val="152653184"/>
        <c:crosses val="autoZero"/>
        <c:auto val="1"/>
        <c:lblAlgn val="ctr"/>
        <c:lblOffset val="100"/>
        <c:noMultiLvlLbl val="0"/>
      </c:catAx>
      <c:valAx>
        <c:axId val="152653184"/>
        <c:scaling>
          <c:orientation val="minMax"/>
        </c:scaling>
        <c:delete val="0"/>
        <c:axPos val="l"/>
        <c:majorGridlines/>
        <c:numFmt formatCode="General" sourceLinked="1"/>
        <c:majorTickMark val="out"/>
        <c:minorTickMark val="none"/>
        <c:tickLblPos val="nextTo"/>
        <c:txPr>
          <a:bodyPr/>
          <a:lstStyle/>
          <a:p>
            <a:pPr>
              <a:defRPr>
                <a:latin typeface="Arial Narrow" panose="020B0606020202030204" pitchFamily="34" charset="0"/>
              </a:defRPr>
            </a:pPr>
            <a:endParaRPr lang="en-US"/>
          </a:p>
        </c:txPr>
        <c:crossAx val="152651648"/>
        <c:crosses val="autoZero"/>
        <c:crossBetween val="between"/>
      </c:valAx>
    </c:plotArea>
    <c:plotVisOnly val="1"/>
    <c:dispBlanksAs val="gap"/>
    <c:showDLblsOverMax val="0"/>
  </c:chart>
  <c:externalData r:id="rId1">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latin typeface="Arial Narrow" panose="020B0606020202030204" pitchFamily="34" charset="0"/>
              </a:defRPr>
            </a:pPr>
            <a:r>
              <a:rPr lang="vi-VN" sz="1200"/>
              <a:t>Gradul de satisfacere a solicitărilor operatorilor economici</a:t>
            </a:r>
          </a:p>
        </c:rich>
      </c:tx>
      <c:overlay val="0"/>
    </c:title>
    <c:autoTitleDeleted val="0"/>
    <c:plotArea>
      <c:layout>
        <c:manualLayout>
          <c:layoutTarget val="inner"/>
          <c:xMode val="edge"/>
          <c:yMode val="edge"/>
          <c:x val="0.10625025592828652"/>
          <c:y val="0.22438538205980074"/>
          <c:w val="0.86872077901175671"/>
          <c:h val="0.53892432050644834"/>
        </c:manualLayout>
      </c:layout>
      <c:barChart>
        <c:barDir val="col"/>
        <c:grouping val="clustered"/>
        <c:varyColors val="0"/>
        <c:ser>
          <c:idx val="0"/>
          <c:order val="0"/>
          <c:invertIfNegative val="0"/>
          <c:dLbls>
            <c:dLbl>
              <c:idx val="1"/>
              <c:layout>
                <c:manualLayout>
                  <c:x val="-1.8848634906466052E-7"/>
                  <c:y val="-1.47506561679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094-4AB2-9CE6-6F506129E827}"/>
                </c:ext>
              </c:extLst>
            </c:dLbl>
            <c:dLbl>
              <c:idx val="5"/>
              <c:layout>
                <c:manualLayout>
                  <c:x val="0"/>
                  <c:y val="8.484753042233421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094-4AB2-9CE6-6F506129E827}"/>
                </c:ext>
              </c:extLst>
            </c:dLbl>
            <c:spPr>
              <a:noFill/>
              <a:ln>
                <a:noFill/>
              </a:ln>
              <a:effectLst/>
            </c:spPr>
            <c:txPr>
              <a:bodyPr/>
              <a:lstStyle/>
              <a:p>
                <a:pPr>
                  <a:defRPr b="1">
                    <a:latin typeface="Arial Narrow" panose="020B0606020202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Foaie1!$A$26:$A$30</c:f>
              <c:strCache>
                <c:ptCount val="5"/>
                <c:pt idx="0">
                  <c:v>Regiunea Vest</c:v>
                </c:pt>
                <c:pt idx="1">
                  <c:v>Arad </c:v>
                </c:pt>
                <c:pt idx="2">
                  <c:v>Caraș - Severin</c:v>
                </c:pt>
                <c:pt idx="3">
                  <c:v>Hunedoara</c:v>
                </c:pt>
                <c:pt idx="4">
                  <c:v>Timiș</c:v>
                </c:pt>
              </c:strCache>
            </c:strRef>
          </c:cat>
          <c:val>
            <c:numRef>
              <c:f>Foaie1!$B$26:$B$30</c:f>
              <c:numCache>
                <c:formatCode>0.0%</c:formatCode>
                <c:ptCount val="5"/>
                <c:pt idx="0">
                  <c:v>0.73085846867750293</c:v>
                </c:pt>
                <c:pt idx="1">
                  <c:v>0.74231177094379663</c:v>
                </c:pt>
                <c:pt idx="2">
                  <c:v>0.49061326658322901</c:v>
                </c:pt>
                <c:pt idx="3">
                  <c:v>0.86498855835240274</c:v>
                </c:pt>
                <c:pt idx="4">
                  <c:v>0.80769230769230771</c:v>
                </c:pt>
              </c:numCache>
            </c:numRef>
          </c:val>
          <c:extLst>
            <c:ext xmlns:c16="http://schemas.microsoft.com/office/drawing/2014/chart" uri="{C3380CC4-5D6E-409C-BE32-E72D297353CC}">
              <c16:uniqueId val="{00000002-D094-4AB2-9CE6-6F506129E827}"/>
            </c:ext>
          </c:extLst>
        </c:ser>
        <c:ser>
          <c:idx val="1"/>
          <c:order val="1"/>
          <c:spPr>
            <a:noFill/>
          </c:spPr>
          <c:invertIfNegative val="0"/>
          <c:trendline>
            <c:spPr>
              <a:ln w="28575"/>
            </c:spPr>
            <c:trendlineType val="linear"/>
            <c:dispRSqr val="0"/>
            <c:dispEq val="0"/>
          </c:trendline>
          <c:cat>
            <c:strRef>
              <c:f>Foaie1!$A$26:$A$30</c:f>
              <c:strCache>
                <c:ptCount val="5"/>
                <c:pt idx="0">
                  <c:v>Regiunea Vest</c:v>
                </c:pt>
                <c:pt idx="1">
                  <c:v>Arad </c:v>
                </c:pt>
                <c:pt idx="2">
                  <c:v>Caraș - Severin</c:v>
                </c:pt>
                <c:pt idx="3">
                  <c:v>Hunedoara</c:v>
                </c:pt>
                <c:pt idx="4">
                  <c:v>Timiș</c:v>
                </c:pt>
              </c:strCache>
            </c:strRef>
          </c:cat>
          <c:val>
            <c:numRef>
              <c:f>Foaie1!$C$26:$C$30</c:f>
              <c:numCache>
                <c:formatCode>0.0%</c:formatCode>
                <c:ptCount val="5"/>
                <c:pt idx="0">
                  <c:v>0.73085846867750293</c:v>
                </c:pt>
                <c:pt idx="1">
                  <c:v>0.73085846867750293</c:v>
                </c:pt>
                <c:pt idx="2">
                  <c:v>0.73085846867750293</c:v>
                </c:pt>
                <c:pt idx="3">
                  <c:v>0.73085846867750293</c:v>
                </c:pt>
                <c:pt idx="4">
                  <c:v>0.73085846867750293</c:v>
                </c:pt>
              </c:numCache>
            </c:numRef>
          </c:val>
          <c:extLst>
            <c:ext xmlns:c16="http://schemas.microsoft.com/office/drawing/2014/chart" uri="{C3380CC4-5D6E-409C-BE32-E72D297353CC}">
              <c16:uniqueId val="{00000004-D094-4AB2-9CE6-6F506129E827}"/>
            </c:ext>
          </c:extLst>
        </c:ser>
        <c:dLbls>
          <c:showLegendKey val="0"/>
          <c:showVal val="0"/>
          <c:showCatName val="0"/>
          <c:showSerName val="0"/>
          <c:showPercent val="0"/>
          <c:showBubbleSize val="0"/>
        </c:dLbls>
        <c:gapWidth val="55"/>
        <c:axId val="152691456"/>
        <c:axId val="152692992"/>
      </c:barChart>
      <c:catAx>
        <c:axId val="152691456"/>
        <c:scaling>
          <c:orientation val="minMax"/>
        </c:scaling>
        <c:delete val="0"/>
        <c:axPos val="b"/>
        <c:numFmt formatCode="General" sourceLinked="0"/>
        <c:majorTickMark val="none"/>
        <c:minorTickMark val="none"/>
        <c:tickLblPos val="nextTo"/>
        <c:txPr>
          <a:bodyPr/>
          <a:lstStyle/>
          <a:p>
            <a:pPr>
              <a:defRPr b="1">
                <a:latin typeface="Arial Narrow" panose="020B0606020202030204" pitchFamily="34" charset="0"/>
              </a:defRPr>
            </a:pPr>
            <a:endParaRPr lang="en-US"/>
          </a:p>
        </c:txPr>
        <c:crossAx val="152692992"/>
        <c:crosses val="autoZero"/>
        <c:auto val="1"/>
        <c:lblAlgn val="ctr"/>
        <c:lblOffset val="100"/>
        <c:noMultiLvlLbl val="0"/>
      </c:catAx>
      <c:valAx>
        <c:axId val="152692992"/>
        <c:scaling>
          <c:orientation val="minMax"/>
          <c:min val="0.2"/>
        </c:scaling>
        <c:delete val="0"/>
        <c:axPos val="l"/>
        <c:majorGridlines/>
        <c:numFmt formatCode="0%" sourceLinked="0"/>
        <c:majorTickMark val="none"/>
        <c:minorTickMark val="none"/>
        <c:tickLblPos val="nextTo"/>
        <c:txPr>
          <a:bodyPr/>
          <a:lstStyle/>
          <a:p>
            <a:pPr>
              <a:defRPr>
                <a:latin typeface="Arial Narrow" panose="020B0606020202030204" pitchFamily="34" charset="0"/>
              </a:defRPr>
            </a:pPr>
            <a:endParaRPr lang="en-US"/>
          </a:p>
        </c:txPr>
        <c:crossAx val="152691456"/>
        <c:crosses val="autoZero"/>
        <c:crossBetween val="between"/>
      </c:valAx>
    </c:plotArea>
    <c:plotVisOnly val="1"/>
    <c:dispBlanksAs val="gap"/>
    <c:showDLblsOverMax val="0"/>
  </c:chart>
  <c:externalData r:id="rId1">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sz="1100" b="0">
                <a:latin typeface="Arial" pitchFamily="34" charset="0"/>
                <a:cs typeface="Arial" pitchFamily="34" charset="0"/>
              </a:defRPr>
            </a:pPr>
            <a:r>
              <a:rPr lang="en-US" sz="1100" b="0">
                <a:latin typeface="Arial" pitchFamily="34" charset="0"/>
                <a:cs typeface="Arial" pitchFamily="34" charset="0"/>
              </a:rPr>
              <a:t>Evolu</a:t>
            </a:r>
            <a:r>
              <a:rPr lang="ro-RO" sz="1100" b="0">
                <a:latin typeface="Arial" pitchFamily="34" charset="0"/>
                <a:cs typeface="Arial" pitchFamily="34" charset="0"/>
              </a:rPr>
              <a:t>ţia ponderilor personalului didactic pe grupe de vârstă</a:t>
            </a:r>
            <a:endParaRPr lang="vi-VN" sz="1100" b="0">
              <a:latin typeface="Arial" pitchFamily="34" charset="0"/>
              <a:cs typeface="Arial" pitchFamily="34" charset="0"/>
            </a:endParaRPr>
          </a:p>
        </c:rich>
      </c:tx>
      <c:overlay val="0"/>
    </c:title>
    <c:autoTitleDeleted val="0"/>
    <c:plotArea>
      <c:layout>
        <c:manualLayout>
          <c:layoutTarget val="inner"/>
          <c:xMode val="edge"/>
          <c:yMode val="edge"/>
          <c:x val="0.10727652376786365"/>
          <c:y val="0.18710708331270148"/>
          <c:w val="0.86013088363955381"/>
          <c:h val="0.61505901384969586"/>
        </c:manualLayout>
      </c:layout>
      <c:barChart>
        <c:barDir val="col"/>
        <c:grouping val="percentStacked"/>
        <c:varyColors val="0"/>
        <c:ser>
          <c:idx val="0"/>
          <c:order val="0"/>
          <c:tx>
            <c:strRef>
              <c:f>'IPT Grupe de varsta'!$P$44</c:f>
              <c:strCache>
                <c:ptCount val="1"/>
                <c:pt idx="0">
                  <c:v>25 -34 ani</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'IPT Grupe de varsta'!$O$45:$O$49</c:f>
              <c:strCache>
                <c:ptCount val="5"/>
                <c:pt idx="0">
                  <c:v>2011-2012</c:v>
                </c:pt>
                <c:pt idx="1">
                  <c:v>2012-2013</c:v>
                </c:pt>
                <c:pt idx="2">
                  <c:v>2013-2014</c:v>
                </c:pt>
                <c:pt idx="3">
                  <c:v>2014-2015</c:v>
                </c:pt>
                <c:pt idx="4">
                  <c:v>2015-2016</c:v>
                </c:pt>
              </c:strCache>
            </c:strRef>
          </c:cat>
          <c:val>
            <c:numRef>
              <c:f>'IPT Grupe de varsta'!$P$45:$P$49</c:f>
              <c:numCache>
                <c:formatCode>0.0%</c:formatCode>
                <c:ptCount val="5"/>
                <c:pt idx="0">
                  <c:v>0.26072607260726088</c:v>
                </c:pt>
                <c:pt idx="1">
                  <c:v>0.23439197789574989</c:v>
                </c:pt>
                <c:pt idx="2">
                  <c:v>0.21033424834490574</c:v>
                </c:pt>
                <c:pt idx="3">
                  <c:v>0.18977024987422769</c:v>
                </c:pt>
                <c:pt idx="4">
                  <c:v>0.16786076377154438</c:v>
                </c:pt>
              </c:numCache>
            </c:numRef>
          </c:val>
          <c:extLst>
            <c:ext xmlns:c16="http://schemas.microsoft.com/office/drawing/2014/chart" uri="{C3380CC4-5D6E-409C-BE32-E72D297353CC}">
              <c16:uniqueId val="{00000000-329F-4892-94DF-A362877EE261}"/>
            </c:ext>
          </c:extLst>
        </c:ser>
        <c:ser>
          <c:idx val="1"/>
          <c:order val="1"/>
          <c:tx>
            <c:strRef>
              <c:f>'IPT Grupe de varsta'!$Q$44</c:f>
              <c:strCache>
                <c:ptCount val="1"/>
                <c:pt idx="0">
                  <c:v>35-54 ani</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'IPT Grupe de varsta'!$O$45:$O$49</c:f>
              <c:strCache>
                <c:ptCount val="5"/>
                <c:pt idx="0">
                  <c:v>2011-2012</c:v>
                </c:pt>
                <c:pt idx="1">
                  <c:v>2012-2013</c:v>
                </c:pt>
                <c:pt idx="2">
                  <c:v>2013-2014</c:v>
                </c:pt>
                <c:pt idx="3">
                  <c:v>2014-2015</c:v>
                </c:pt>
                <c:pt idx="4">
                  <c:v>2015-2016</c:v>
                </c:pt>
              </c:strCache>
            </c:strRef>
          </c:cat>
          <c:val>
            <c:numRef>
              <c:f>'IPT Grupe de varsta'!$Q$45:$Q$49</c:f>
              <c:numCache>
                <c:formatCode>0.0%</c:formatCode>
                <c:ptCount val="5"/>
                <c:pt idx="0">
                  <c:v>0.54222302964241376</c:v>
                </c:pt>
                <c:pt idx="1">
                  <c:v>0.55468628729316072</c:v>
                </c:pt>
                <c:pt idx="2">
                  <c:v>0.57206523494267714</c:v>
                </c:pt>
                <c:pt idx="3">
                  <c:v>0.58527586785175156</c:v>
                </c:pt>
                <c:pt idx="4">
                  <c:v>0.59858060155457971</c:v>
                </c:pt>
              </c:numCache>
            </c:numRef>
          </c:val>
          <c:extLst>
            <c:ext xmlns:c16="http://schemas.microsoft.com/office/drawing/2014/chart" uri="{C3380CC4-5D6E-409C-BE32-E72D297353CC}">
              <c16:uniqueId val="{00000001-329F-4892-94DF-A362877EE261}"/>
            </c:ext>
          </c:extLst>
        </c:ser>
        <c:ser>
          <c:idx val="2"/>
          <c:order val="2"/>
          <c:tx>
            <c:strRef>
              <c:f>'IPT Grupe de varsta'!$R$44</c:f>
              <c:strCache>
                <c:ptCount val="1"/>
                <c:pt idx="0">
                  <c:v>55-64 ani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'IPT Grupe de varsta'!$O$45:$O$49</c:f>
              <c:strCache>
                <c:ptCount val="5"/>
                <c:pt idx="0">
                  <c:v>2011-2012</c:v>
                </c:pt>
                <c:pt idx="1">
                  <c:v>2012-2013</c:v>
                </c:pt>
                <c:pt idx="2">
                  <c:v>2013-2014</c:v>
                </c:pt>
                <c:pt idx="3">
                  <c:v>2014-2015</c:v>
                </c:pt>
                <c:pt idx="4">
                  <c:v>2015-2016</c:v>
                </c:pt>
              </c:strCache>
            </c:strRef>
          </c:cat>
          <c:val>
            <c:numRef>
              <c:f>'IPT Grupe de varsta'!$R$45:$R$49</c:f>
              <c:numCache>
                <c:formatCode>0.0%</c:formatCode>
                <c:ptCount val="5"/>
                <c:pt idx="0">
                  <c:v>0.18981439428346814</c:v>
                </c:pt>
                <c:pt idx="1">
                  <c:v>0.20229114277731536</c:v>
                </c:pt>
                <c:pt idx="2">
                  <c:v>0.20636202163733294</c:v>
                </c:pt>
                <c:pt idx="3">
                  <c:v>0.21053161160489686</c:v>
                </c:pt>
                <c:pt idx="4">
                  <c:v>0.21382223724231339</c:v>
                </c:pt>
              </c:numCache>
            </c:numRef>
          </c:val>
          <c:extLst>
            <c:ext xmlns:c16="http://schemas.microsoft.com/office/drawing/2014/chart" uri="{C3380CC4-5D6E-409C-BE32-E72D297353CC}">
              <c16:uniqueId val="{00000002-329F-4892-94DF-A362877EE261}"/>
            </c:ext>
          </c:extLst>
        </c:ser>
        <c:ser>
          <c:idx val="3"/>
          <c:order val="3"/>
          <c:tx>
            <c:strRef>
              <c:f>'IPT Grupe de varsta'!$S$44</c:f>
              <c:strCache>
                <c:ptCount val="1"/>
                <c:pt idx="0">
                  <c:v>65 ani si peste</c:v>
                </c:pt>
              </c:strCache>
            </c:strRef>
          </c:tx>
          <c:invertIfNegative val="0"/>
          <c:dLbls>
            <c:dLbl>
              <c:idx val="0"/>
              <c:layout>
                <c:manualLayout>
                  <c:x val="1.1851851851851863E-2"/>
                  <c:y val="-2.9350104821802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29F-4892-94DF-A362877EE261}"/>
                </c:ext>
              </c:extLst>
            </c:dLbl>
            <c:dLbl>
              <c:idx val="1"/>
              <c:layout>
                <c:manualLayout>
                  <c:x val="0"/>
                  <c:y val="-2.51572327044025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29F-4892-94DF-A362877EE261}"/>
                </c:ext>
              </c:extLst>
            </c:dLbl>
            <c:dLbl>
              <c:idx val="2"/>
              <c:layout>
                <c:manualLayout>
                  <c:x val="-5.9259259259259274E-3"/>
                  <c:y val="-2.51572327044025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29F-4892-94DF-A362877EE261}"/>
                </c:ext>
              </c:extLst>
            </c:dLbl>
            <c:dLbl>
              <c:idx val="3"/>
              <c:layout>
                <c:manualLayout>
                  <c:x val="-2.9629629629630005E-3"/>
                  <c:y val="-2.51572327044025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29F-4892-94DF-A362877EE261}"/>
                </c:ext>
              </c:extLst>
            </c:dLbl>
            <c:dLbl>
              <c:idx val="4"/>
              <c:layout>
                <c:manualLayout>
                  <c:x val="0"/>
                  <c:y val="-2.935010482180290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29F-4892-94DF-A362877EE261}"/>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'IPT Grupe de varsta'!$O$45:$O$49</c:f>
              <c:strCache>
                <c:ptCount val="5"/>
                <c:pt idx="0">
                  <c:v>2011-2012</c:v>
                </c:pt>
                <c:pt idx="1">
                  <c:v>2012-2013</c:v>
                </c:pt>
                <c:pt idx="2">
                  <c:v>2013-2014</c:v>
                </c:pt>
                <c:pt idx="3">
                  <c:v>2014-2015</c:v>
                </c:pt>
                <c:pt idx="4">
                  <c:v>2015-2016</c:v>
                </c:pt>
              </c:strCache>
            </c:strRef>
          </c:cat>
          <c:val>
            <c:numRef>
              <c:f>'IPT Grupe de varsta'!$S$45:$S$49</c:f>
              <c:numCache>
                <c:formatCode>0.0%</c:formatCode>
                <c:ptCount val="5"/>
                <c:pt idx="0">
                  <c:v>7.2365034668605251E-3</c:v>
                </c:pt>
                <c:pt idx="1">
                  <c:v>8.6305920337773727E-3</c:v>
                </c:pt>
                <c:pt idx="2">
                  <c:v>1.1238495075084773E-2</c:v>
                </c:pt>
                <c:pt idx="3">
                  <c:v>1.4422270669126281E-2</c:v>
                </c:pt>
                <c:pt idx="4">
                  <c:v>1.9736397431564717E-2</c:v>
                </c:pt>
              </c:numCache>
            </c:numRef>
          </c:val>
          <c:extLst>
            <c:ext xmlns:c16="http://schemas.microsoft.com/office/drawing/2014/chart" uri="{C3380CC4-5D6E-409C-BE32-E72D297353CC}">
              <c16:uniqueId val="{00000008-329F-4892-94DF-A362877EE261}"/>
            </c:ext>
          </c:extLst>
        </c:ser>
        <c:dLbls>
          <c:showLegendKey val="0"/>
          <c:showVal val="0"/>
          <c:showCatName val="0"/>
          <c:showSerName val="0"/>
          <c:showPercent val="0"/>
          <c:showBubbleSize val="0"/>
        </c:dLbls>
        <c:gapWidth val="55"/>
        <c:overlap val="100"/>
        <c:axId val="152871296"/>
        <c:axId val="152872832"/>
      </c:barChart>
      <c:catAx>
        <c:axId val="152871296"/>
        <c:scaling>
          <c:orientation val="minMax"/>
        </c:scaling>
        <c:delete val="0"/>
        <c:axPos val="b"/>
        <c:numFmt formatCode="General" sourceLinked="0"/>
        <c:majorTickMark val="none"/>
        <c:minorTickMark val="none"/>
        <c:tickLblPos val="nextTo"/>
        <c:crossAx val="152872832"/>
        <c:crosses val="autoZero"/>
        <c:auto val="1"/>
        <c:lblAlgn val="ctr"/>
        <c:lblOffset val="100"/>
        <c:noMultiLvlLbl val="0"/>
      </c:catAx>
      <c:valAx>
        <c:axId val="152872832"/>
        <c:scaling>
          <c:orientation val="minMax"/>
        </c:scaling>
        <c:delete val="0"/>
        <c:axPos val="l"/>
        <c:majorGridlines/>
        <c:numFmt formatCode="0%" sourceLinked="1"/>
        <c:majorTickMark val="none"/>
        <c:minorTickMark val="none"/>
        <c:tickLblPos val="nextTo"/>
        <c:crossAx val="152871296"/>
        <c:crosses val="autoZero"/>
        <c:crossBetween val="between"/>
      </c:valAx>
    </c:plotArea>
    <c:legend>
      <c:legendPos val="b"/>
      <c:overlay val="0"/>
    </c:legend>
    <c:plotVisOnly val="1"/>
    <c:dispBlanksAs val="gap"/>
    <c:showDLblsOverMax val="0"/>
  </c:chart>
  <c:externalData r:id="rId1">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latin typeface="Arial Narrow" panose="020B0606020202030204" pitchFamily="34" charset="0"/>
              </a:defRPr>
            </a:pPr>
            <a:r>
              <a:rPr lang="vi-VN" sz="1000" b="1" i="0" baseline="0">
                <a:effectLst/>
              </a:rPr>
              <a:t>Cheltuielile publice totale pentru educație </a:t>
            </a:r>
            <a:r>
              <a:rPr lang="ro-RO" sz="1000" b="1" i="0" baseline="0">
                <a:effectLst/>
              </a:rPr>
              <a:t>, în România</a:t>
            </a:r>
            <a:endParaRPr lang="ro-RO" sz="1000">
              <a:effectLst/>
              <a:latin typeface="Arial Narrow" panose="020B0606020202030204" pitchFamily="34" charset="0"/>
            </a:endParaRPr>
          </a:p>
          <a:p>
            <a:pPr>
              <a:defRPr sz="1000">
                <a:latin typeface="Arial Narrow" panose="020B0606020202030204" pitchFamily="34" charset="0"/>
              </a:defRPr>
            </a:pPr>
            <a:r>
              <a:rPr lang="vi-VN" sz="1000" b="1" i="0" baseline="0">
                <a:effectLst/>
              </a:rPr>
              <a:t>Toate nivelurile ISCED 2011, excluzând dezvoltarea educațională timpurie a copiilor</a:t>
            </a:r>
            <a:endParaRPr lang="ro-RO" sz="1000">
              <a:effectLst/>
              <a:latin typeface="Arial Narrow" panose="020B0606020202030204" pitchFamily="34" charset="0"/>
            </a:endParaRPr>
          </a:p>
        </c:rich>
      </c:tx>
      <c:layout>
        <c:manualLayout>
          <c:xMode val="edge"/>
          <c:yMode val="edge"/>
          <c:x val="9.6719206071220087E-2"/>
          <c:y val="4.0712468193384234E-2"/>
        </c:manualLayout>
      </c:layout>
      <c:overlay val="0"/>
    </c:title>
    <c:autoTitleDeleted val="0"/>
    <c:plotArea>
      <c:layout/>
      <c:lineChart>
        <c:grouping val="standard"/>
        <c:varyColors val="0"/>
        <c:ser>
          <c:idx val="0"/>
          <c:order val="0"/>
          <c:tx>
            <c:strRef>
              <c:f>'Cheltuieli PIB'!$A$31</c:f>
              <c:strCache>
                <c:ptCount val="1"/>
                <c:pt idx="0">
                  <c:v>Romania</c:v>
                </c:pt>
              </c:strCache>
            </c:strRef>
          </c:tx>
          <c:marker>
            <c:symbol val="none"/>
          </c:marker>
          <c:dLbls>
            <c:dLbl>
              <c:idx val="0"/>
              <c:layout>
                <c:manualLayout>
                  <c:x val="4.6208245866539649E-17"/>
                  <c:y val="3.5623409669211292E-2"/>
                </c:manualLayout>
              </c:layout>
              <c:spPr/>
              <c:txPr>
                <a:bodyPr/>
                <a:lstStyle/>
                <a:p>
                  <a:pPr>
                    <a:defRPr b="1">
                      <a:latin typeface="Arial Narrow" panose="020B0606020202030204" pitchFamily="34" charset="0"/>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BDB-4CD4-A60E-FA13287D8736}"/>
                </c:ext>
              </c:extLst>
            </c:dLbl>
            <c:spPr>
              <a:noFill/>
              <a:ln>
                <a:noFill/>
              </a:ln>
              <a:effectLst/>
            </c:spPr>
            <c:txPr>
              <a:bodyPr/>
              <a:lstStyle/>
              <a:p>
                <a:pPr>
                  <a:defRPr b="1">
                    <a:latin typeface="Arial Narrow" panose="020B0606020202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'Cheltuieli PIB'!$B$8:$D$8</c:f>
              <c:strCache>
                <c:ptCount val="3"/>
                <c:pt idx="0">
                  <c:v>2012</c:v>
                </c:pt>
                <c:pt idx="1">
                  <c:v>2013</c:v>
                </c:pt>
                <c:pt idx="2">
                  <c:v>2014</c:v>
                </c:pt>
              </c:strCache>
            </c:strRef>
          </c:cat>
          <c:val>
            <c:numRef>
              <c:f>'Cheltuieli PIB'!$B$31:$D$31</c:f>
              <c:numCache>
                <c:formatCode>#,##0.00</c:formatCode>
                <c:ptCount val="3"/>
                <c:pt idx="0">
                  <c:v>2.64</c:v>
                </c:pt>
                <c:pt idx="1">
                  <c:v>2.67</c:v>
                </c:pt>
                <c:pt idx="2">
                  <c:v>2.75</c:v>
                </c:pt>
              </c:numCache>
            </c:numRef>
          </c:val>
          <c:smooth val="0"/>
          <c:extLst>
            <c:ext xmlns:c16="http://schemas.microsoft.com/office/drawing/2014/chart" uri="{C3380CC4-5D6E-409C-BE32-E72D297353CC}">
              <c16:uniqueId val="{00000001-2BDB-4CD4-A60E-FA13287D8736}"/>
            </c:ext>
          </c:extLst>
        </c:ser>
        <c:dLbls>
          <c:showLegendKey val="0"/>
          <c:showVal val="0"/>
          <c:showCatName val="0"/>
          <c:showSerName val="0"/>
          <c:showPercent val="0"/>
          <c:showBubbleSize val="0"/>
        </c:dLbls>
        <c:smooth val="0"/>
        <c:axId val="152890752"/>
        <c:axId val="153044096"/>
      </c:lineChart>
      <c:catAx>
        <c:axId val="152890752"/>
        <c:scaling>
          <c:orientation val="minMax"/>
        </c:scaling>
        <c:delete val="0"/>
        <c:axPos val="b"/>
        <c:numFmt formatCode="General" sourceLinked="1"/>
        <c:majorTickMark val="none"/>
        <c:minorTickMark val="none"/>
        <c:tickLblPos val="nextTo"/>
        <c:txPr>
          <a:bodyPr/>
          <a:lstStyle/>
          <a:p>
            <a:pPr>
              <a:defRPr b="1">
                <a:latin typeface="Arial Narrow" panose="020B0606020202030204" pitchFamily="34" charset="0"/>
              </a:defRPr>
            </a:pPr>
            <a:endParaRPr lang="en-US"/>
          </a:p>
        </c:txPr>
        <c:crossAx val="153044096"/>
        <c:crosses val="autoZero"/>
        <c:auto val="1"/>
        <c:lblAlgn val="ctr"/>
        <c:lblOffset val="100"/>
        <c:noMultiLvlLbl val="0"/>
      </c:catAx>
      <c:valAx>
        <c:axId val="153044096"/>
        <c:scaling>
          <c:orientation val="minMax"/>
        </c:scaling>
        <c:delete val="0"/>
        <c:axPos val="l"/>
        <c:majorGridlines/>
        <c:title>
          <c:tx>
            <c:rich>
              <a:bodyPr/>
              <a:lstStyle/>
              <a:p>
                <a:pPr>
                  <a:defRPr/>
                </a:pPr>
                <a:r>
                  <a:rPr lang="en-US"/>
                  <a:t>% din PIB
</a:t>
                </a:r>
              </a:p>
            </c:rich>
          </c:tx>
          <c:layout>
            <c:manualLayout>
              <c:xMode val="edge"/>
              <c:yMode val="edge"/>
              <c:x val="6.0491562897895333E-2"/>
              <c:y val="0.41779447416401388"/>
            </c:manualLayout>
          </c:layout>
          <c:overlay val="0"/>
        </c:title>
        <c:numFmt formatCode="#,##0.00" sourceLinked="1"/>
        <c:majorTickMark val="none"/>
        <c:minorTickMark val="none"/>
        <c:tickLblPos val="nextTo"/>
        <c:txPr>
          <a:bodyPr/>
          <a:lstStyle/>
          <a:p>
            <a:pPr>
              <a:defRPr b="1">
                <a:latin typeface="Arial Narrow" panose="020B0606020202030204" pitchFamily="34" charset="0"/>
              </a:defRPr>
            </a:pPr>
            <a:endParaRPr lang="en-US"/>
          </a:p>
        </c:txPr>
        <c:crossAx val="152890752"/>
        <c:crosses val="autoZero"/>
        <c:crossBetween val="between"/>
      </c:valAx>
    </c:plotArea>
    <c:plotVisOnly val="1"/>
    <c:dispBlanksAs val="gap"/>
    <c:showDLblsOverMax val="0"/>
  </c:chart>
  <c:externalData r:id="rId1">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latin typeface="Arial Narrow" panose="020B0606020202030204" pitchFamily="34" charset="0"/>
              </a:defRPr>
            </a:pPr>
            <a:r>
              <a:rPr lang="vi-VN" sz="1100"/>
              <a:t>Cheltuielile publice totale pentru educație</a:t>
            </a:r>
            <a:r>
              <a:rPr lang="ro-RO" sz="1100"/>
              <a:t>, în</a:t>
            </a:r>
            <a:r>
              <a:rPr lang="ro-RO" sz="1100" baseline="0"/>
              <a:t> anul 2014</a:t>
            </a:r>
            <a:endParaRPr lang="ro-RO" sz="1100"/>
          </a:p>
          <a:p>
            <a:pPr>
              <a:defRPr sz="1200">
                <a:latin typeface="Arial Narrow" panose="020B0606020202030204" pitchFamily="34" charset="0"/>
              </a:defRPr>
            </a:pPr>
            <a:r>
              <a:rPr lang="vi-VN" sz="1100"/>
              <a:t>Toate nivelurile ISCED 2011, excluzând dezvoltarea educațională timpurie a copiilor</a:t>
            </a:r>
          </a:p>
        </c:rich>
      </c:tx>
      <c:overlay val="0"/>
    </c:title>
    <c:autoTitleDeleted val="0"/>
    <c:plotArea>
      <c:layout/>
      <c:barChart>
        <c:barDir val="col"/>
        <c:grouping val="clustered"/>
        <c:varyColors val="0"/>
        <c:ser>
          <c:idx val="0"/>
          <c:order val="0"/>
          <c:invertIfNegative val="0"/>
          <c:dPt>
            <c:idx val="16"/>
            <c:invertIfNegative val="0"/>
            <c:bubble3D val="0"/>
            <c:spPr>
              <a:solidFill>
                <a:schemeClr val="accent6">
                  <a:lumMod val="75000"/>
                </a:schemeClr>
              </a:solidFill>
            </c:spPr>
            <c:extLst>
              <c:ext xmlns:c16="http://schemas.microsoft.com/office/drawing/2014/chart" uri="{C3380CC4-5D6E-409C-BE32-E72D297353CC}">
                <c16:uniqueId val="{00000000-3819-4FA4-93CA-A6C74CF7B3B5}"/>
              </c:ext>
            </c:extLst>
          </c:dPt>
          <c:cat>
            <c:strRef>
              <c:f>('Cheltuieli PIB'!$A$10:$A$12,'Cheltuieli PIB'!$A$14,'Cheltuieli PIB'!$A$17:$A$18,'Cheltuieli PIB'!$A$20:$A$24,'Cheltuieli PIB'!$A$26:$A$37,'Cheltuieli PIB'!$A$40)</c:f>
              <c:strCache>
                <c:ptCount val="24"/>
                <c:pt idx="0">
                  <c:v>Belgia</c:v>
                </c:pt>
                <c:pt idx="1">
                  <c:v>Bulgaria</c:v>
                </c:pt>
                <c:pt idx="2">
                  <c:v>Republica Cehă</c:v>
                </c:pt>
                <c:pt idx="3">
                  <c:v>Germania</c:v>
                </c:pt>
                <c:pt idx="4">
                  <c:v>Spania</c:v>
                </c:pt>
                <c:pt idx="5">
                  <c:v>Franţa</c:v>
                </c:pt>
                <c:pt idx="6">
                  <c:v>Italia</c:v>
                </c:pt>
                <c:pt idx="7">
                  <c:v>Cipru</c:v>
                </c:pt>
                <c:pt idx="8">
                  <c:v>Letonia</c:v>
                </c:pt>
                <c:pt idx="9">
                  <c:v>Lituania</c:v>
                </c:pt>
                <c:pt idx="10">
                  <c:v>Luxemburg</c:v>
                </c:pt>
                <c:pt idx="11">
                  <c:v>Malta</c:v>
                </c:pt>
                <c:pt idx="12">
                  <c:v>Olanda</c:v>
                </c:pt>
                <c:pt idx="13">
                  <c:v>Austria</c:v>
                </c:pt>
                <c:pt idx="14">
                  <c:v>Polonia</c:v>
                </c:pt>
                <c:pt idx="15">
                  <c:v>Portugalia</c:v>
                </c:pt>
                <c:pt idx="16">
                  <c:v>Romania</c:v>
                </c:pt>
                <c:pt idx="17">
                  <c:v>Slovenia</c:v>
                </c:pt>
                <c:pt idx="18">
                  <c:v>Slovacia</c:v>
                </c:pt>
                <c:pt idx="19">
                  <c:v>Finlanda</c:v>
                </c:pt>
                <c:pt idx="20">
                  <c:v>Suedia</c:v>
                </c:pt>
                <c:pt idx="21">
                  <c:v>Regatul Unit</c:v>
                </c:pt>
                <c:pt idx="22">
                  <c:v>Islana</c:v>
                </c:pt>
                <c:pt idx="23">
                  <c:v>Elveţia</c:v>
                </c:pt>
              </c:strCache>
            </c:strRef>
          </c:cat>
          <c:val>
            <c:numRef>
              <c:f>('Cheltuieli PIB'!$D$10:$D$12,'Cheltuieli PIB'!$D$14,'Cheltuieli PIB'!$D$17:$D$18,'Cheltuieli PIB'!$D$20:$D$24,'Cheltuieli PIB'!$D$26:$D$37,'Cheltuieli PIB'!$D$40)</c:f>
              <c:numCache>
                <c:formatCode>#,##0.00</c:formatCode>
                <c:ptCount val="24"/>
                <c:pt idx="0">
                  <c:v>6.46</c:v>
                </c:pt>
                <c:pt idx="1">
                  <c:v>4.22</c:v>
                </c:pt>
                <c:pt idx="2">
                  <c:v>3.84</c:v>
                </c:pt>
                <c:pt idx="3">
                  <c:v>4.63</c:v>
                </c:pt>
                <c:pt idx="4">
                  <c:v>4.1499999999999995</c:v>
                </c:pt>
                <c:pt idx="5">
                  <c:v>5.54</c:v>
                </c:pt>
                <c:pt idx="6">
                  <c:v>4.08</c:v>
                </c:pt>
                <c:pt idx="7">
                  <c:v>6.14</c:v>
                </c:pt>
                <c:pt idx="8">
                  <c:v>5.28</c:v>
                </c:pt>
                <c:pt idx="9">
                  <c:v>4.37</c:v>
                </c:pt>
                <c:pt idx="10">
                  <c:v>4</c:v>
                </c:pt>
                <c:pt idx="11">
                  <c:v>6.05</c:v>
                </c:pt>
                <c:pt idx="12">
                  <c:v>5.53</c:v>
                </c:pt>
                <c:pt idx="13">
                  <c:v>5.4</c:v>
                </c:pt>
                <c:pt idx="14">
                  <c:v>4.91</c:v>
                </c:pt>
                <c:pt idx="15">
                  <c:v>5.04</c:v>
                </c:pt>
                <c:pt idx="16">
                  <c:v>2.75</c:v>
                </c:pt>
                <c:pt idx="17">
                  <c:v>4.99</c:v>
                </c:pt>
                <c:pt idx="18">
                  <c:v>4.09</c:v>
                </c:pt>
                <c:pt idx="19">
                  <c:v>6.81</c:v>
                </c:pt>
                <c:pt idx="20">
                  <c:v>7.14</c:v>
                </c:pt>
                <c:pt idx="21">
                  <c:v>5.85</c:v>
                </c:pt>
                <c:pt idx="22">
                  <c:v>6.98</c:v>
                </c:pt>
                <c:pt idx="23">
                  <c:v>5.01</c:v>
                </c:pt>
              </c:numCache>
            </c:numRef>
          </c:val>
          <c:extLst>
            <c:ext xmlns:c16="http://schemas.microsoft.com/office/drawing/2014/chart" uri="{C3380CC4-5D6E-409C-BE32-E72D297353CC}">
              <c16:uniqueId val="{00000001-3819-4FA4-93CA-A6C74CF7B3B5}"/>
            </c:ext>
          </c:extLst>
        </c:ser>
        <c:dLbls>
          <c:showLegendKey val="0"/>
          <c:showVal val="0"/>
          <c:showCatName val="0"/>
          <c:showSerName val="0"/>
          <c:showPercent val="0"/>
          <c:showBubbleSize val="0"/>
        </c:dLbls>
        <c:gapWidth val="71"/>
        <c:axId val="153060480"/>
        <c:axId val="153062016"/>
      </c:barChart>
      <c:catAx>
        <c:axId val="153060480"/>
        <c:scaling>
          <c:orientation val="minMax"/>
        </c:scaling>
        <c:delete val="0"/>
        <c:axPos val="b"/>
        <c:numFmt formatCode="General" sourceLinked="1"/>
        <c:majorTickMark val="none"/>
        <c:minorTickMark val="none"/>
        <c:tickLblPos val="nextTo"/>
        <c:crossAx val="153062016"/>
        <c:crosses val="autoZero"/>
        <c:auto val="1"/>
        <c:lblAlgn val="ctr"/>
        <c:lblOffset val="100"/>
        <c:noMultiLvlLbl val="0"/>
      </c:catAx>
      <c:valAx>
        <c:axId val="153062016"/>
        <c:scaling>
          <c:orientation val="minMax"/>
        </c:scaling>
        <c:delete val="0"/>
        <c:axPos val="l"/>
        <c:majorGridlines/>
        <c:title>
          <c:tx>
            <c:rich>
              <a:bodyPr/>
              <a:lstStyle/>
              <a:p>
                <a:pPr>
                  <a:defRPr/>
                </a:pPr>
                <a:r>
                  <a:rPr lang="en-US"/>
                  <a:t>% din PIB</a:t>
                </a:r>
              </a:p>
            </c:rich>
          </c:tx>
          <c:overlay val="0"/>
        </c:title>
        <c:numFmt formatCode="#,##0.00" sourceLinked="1"/>
        <c:majorTickMark val="out"/>
        <c:minorTickMark val="none"/>
        <c:tickLblPos val="nextTo"/>
        <c:crossAx val="153060480"/>
        <c:crosses val="autoZero"/>
        <c:crossBetween val="between"/>
      </c:valAx>
    </c:plotArea>
    <c:plotVisOnly val="1"/>
    <c:dispBlanksAs val="gap"/>
    <c:showDLblsOverMax val="0"/>
  </c:chart>
  <c:externalData r:id="rId1">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o-RO"/>
              <a:t>Ponderea elevilor promovaţi la sfârşitul anului şcolar 2014-2015 </a:t>
            </a:r>
            <a:endParaRPr lang="vi-VN"/>
          </a:p>
        </c:rich>
      </c:tx>
      <c:overlay val="0"/>
    </c:title>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'V Clase Judete'!$A$6:$B$29</c:f>
              <c:multiLvlStrCache>
                <c:ptCount val="24"/>
                <c:lvl>
                  <c:pt idx="0">
                    <c:v>Clasa a IX-a</c:v>
                  </c:pt>
                  <c:pt idx="1">
                    <c:v>Clasa a X-a</c:v>
                  </c:pt>
                  <c:pt idx="2">
                    <c:v>Clasa a XI-a</c:v>
                  </c:pt>
                  <c:pt idx="3">
                    <c:v>Clasa a XII-a</c:v>
                  </c:pt>
                  <c:pt idx="4">
                    <c:v>Clasa a IX-a</c:v>
                  </c:pt>
                  <c:pt idx="5">
                    <c:v>Clasa a X-a</c:v>
                  </c:pt>
                  <c:pt idx="6">
                    <c:v>Clasa a XI-a</c:v>
                  </c:pt>
                  <c:pt idx="7">
                    <c:v>Clasa a XII-a</c:v>
                  </c:pt>
                  <c:pt idx="8">
                    <c:v>Clasa a IX-a</c:v>
                  </c:pt>
                  <c:pt idx="9">
                    <c:v>Clasa a X-a</c:v>
                  </c:pt>
                  <c:pt idx="10">
                    <c:v>Clasa a XI-a</c:v>
                  </c:pt>
                  <c:pt idx="11">
                    <c:v>Clasa a XII-a</c:v>
                  </c:pt>
                  <c:pt idx="12">
                    <c:v>Clasa a IX-a</c:v>
                  </c:pt>
                  <c:pt idx="13">
                    <c:v>Clasa a X-a</c:v>
                  </c:pt>
                  <c:pt idx="14">
                    <c:v>Clasa a XI-a</c:v>
                  </c:pt>
                  <c:pt idx="15">
                    <c:v>Clasa a XII-a</c:v>
                  </c:pt>
                  <c:pt idx="16">
                    <c:v>Clasa a IX-a</c:v>
                  </c:pt>
                  <c:pt idx="17">
                    <c:v>Clasa a X-a</c:v>
                  </c:pt>
                  <c:pt idx="18">
                    <c:v>Clasa a XI-a</c:v>
                  </c:pt>
                  <c:pt idx="19">
                    <c:v>Clasa a XII-a</c:v>
                  </c:pt>
                  <c:pt idx="20">
                    <c:v>Clasa a IX-a</c:v>
                  </c:pt>
                  <c:pt idx="21">
                    <c:v>Clasa a X-a</c:v>
                  </c:pt>
                  <c:pt idx="22">
                    <c:v>Clasa a XI-a</c:v>
                  </c:pt>
                  <c:pt idx="23">
                    <c:v>Clasa a XII-a</c:v>
                  </c:pt>
                </c:lvl>
                <c:lvl>
                  <c:pt idx="0">
                    <c:v>ROMÂNIA</c:v>
                  </c:pt>
                  <c:pt idx="4">
                    <c:v>VEST</c:v>
                  </c:pt>
                  <c:pt idx="8">
                    <c:v>ARAD</c:v>
                  </c:pt>
                  <c:pt idx="12">
                    <c:v>CARAS-SEVERIN</c:v>
                  </c:pt>
                  <c:pt idx="16">
                    <c:v>HUNEDOARA</c:v>
                  </c:pt>
                  <c:pt idx="20">
                    <c:v>TIMIS</c:v>
                  </c:pt>
                </c:lvl>
              </c:multiLvlStrCache>
            </c:multiLvlStrRef>
          </c:cat>
          <c:val>
            <c:numRef>
              <c:f>'V Clase Judete'!$I$6:$I$29</c:f>
              <c:numCache>
                <c:formatCode>0.0%</c:formatCode>
                <c:ptCount val="24"/>
                <c:pt idx="0">
                  <c:v>0.94286498421925857</c:v>
                </c:pt>
                <c:pt idx="1">
                  <c:v>0.96071789350158865</c:v>
                </c:pt>
                <c:pt idx="2">
                  <c:v>0.96804375283571864</c:v>
                </c:pt>
                <c:pt idx="3">
                  <c:v>0.98296555857310264</c:v>
                </c:pt>
                <c:pt idx="4">
                  <c:v>0.93990384615385492</c:v>
                </c:pt>
                <c:pt idx="5">
                  <c:v>0.95726495726495731</c:v>
                </c:pt>
                <c:pt idx="6">
                  <c:v>0.95927662424648363</c:v>
                </c:pt>
                <c:pt idx="7">
                  <c:v>0.97784016246565564</c:v>
                </c:pt>
                <c:pt idx="8">
                  <c:v>0.94617478076806749</c:v>
                </c:pt>
                <c:pt idx="9">
                  <c:v>0.96062518785692819</c:v>
                </c:pt>
                <c:pt idx="10">
                  <c:v>0.96811261131859583</c:v>
                </c:pt>
                <c:pt idx="11">
                  <c:v>0.98697847462131283</c:v>
                </c:pt>
                <c:pt idx="12">
                  <c:v>0.91793814432989695</c:v>
                </c:pt>
                <c:pt idx="13">
                  <c:v>0.9528632645111027</c:v>
                </c:pt>
                <c:pt idx="14">
                  <c:v>0.93907392363931763</c:v>
                </c:pt>
                <c:pt idx="15">
                  <c:v>0.96813353566009164</c:v>
                </c:pt>
                <c:pt idx="16">
                  <c:v>0.93650333429979704</c:v>
                </c:pt>
                <c:pt idx="17">
                  <c:v>0.9559274755927476</c:v>
                </c:pt>
                <c:pt idx="18">
                  <c:v>0.96877567789647834</c:v>
                </c:pt>
                <c:pt idx="19">
                  <c:v>0.97505197505197505</c:v>
                </c:pt>
                <c:pt idx="20">
                  <c:v>0.94882127745316858</c:v>
                </c:pt>
                <c:pt idx="21">
                  <c:v>0.95819874596237886</c:v>
                </c:pt>
                <c:pt idx="22">
                  <c:v>0.95633433283359193</c:v>
                </c:pt>
                <c:pt idx="23">
                  <c:v>0.9783837712005321</c:v>
                </c:pt>
              </c:numCache>
            </c:numRef>
          </c:val>
          <c:extLst>
            <c:ext xmlns:c16="http://schemas.microsoft.com/office/drawing/2014/chart" uri="{C3380CC4-5D6E-409C-BE32-E72D297353CC}">
              <c16:uniqueId val="{00000000-7AF6-4950-8533-E7E5B50AE0FB}"/>
            </c:ext>
          </c:extLst>
        </c:ser>
        <c:dLbls>
          <c:showLegendKey val="0"/>
          <c:showVal val="0"/>
          <c:showCatName val="0"/>
          <c:showSerName val="0"/>
          <c:showPercent val="0"/>
          <c:showBubbleSize val="0"/>
        </c:dLbls>
        <c:gapWidth val="150"/>
        <c:axId val="153086976"/>
        <c:axId val="125113088"/>
      </c:barChart>
      <c:catAx>
        <c:axId val="153086976"/>
        <c:scaling>
          <c:orientation val="maxMin"/>
        </c:scaling>
        <c:delete val="0"/>
        <c:axPos val="b"/>
        <c:numFmt formatCode="General" sourceLinked="0"/>
        <c:majorTickMark val="none"/>
        <c:minorTickMark val="none"/>
        <c:tickLblPos val="nextTo"/>
        <c:crossAx val="125113088"/>
        <c:crosses val="autoZero"/>
        <c:auto val="1"/>
        <c:lblAlgn val="ctr"/>
        <c:lblOffset val="100"/>
        <c:noMultiLvlLbl val="0"/>
      </c:catAx>
      <c:valAx>
        <c:axId val="125113088"/>
        <c:scaling>
          <c:orientation val="minMax"/>
        </c:scaling>
        <c:delete val="0"/>
        <c:axPos val="r"/>
        <c:majorGridlines/>
        <c:numFmt formatCode="0.0%" sourceLinked="1"/>
        <c:majorTickMark val="none"/>
        <c:minorTickMark val="none"/>
        <c:tickLblPos val="nextTo"/>
        <c:crossAx val="153086976"/>
        <c:crosses val="autoZero"/>
        <c:crossBetween val="between"/>
      </c:valAx>
    </c:plotArea>
    <c:plotVisOnly val="1"/>
    <c:dispBlanksAs val="gap"/>
    <c:showDLblsOverMax val="0"/>
  </c:chart>
  <c:txPr>
    <a:bodyPr/>
    <a:lstStyle/>
    <a:p>
      <a:pPr>
        <a:defRPr sz="800">
          <a:latin typeface="Arial Narrow" panose="020B0606020202030204" pitchFamily="34" charset="0"/>
        </a:defRPr>
      </a:pPr>
      <a:endParaRPr lang="en-US"/>
    </a:p>
  </c:txPr>
  <c:externalData r:id="rId1">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latin typeface="Arial Narrow" panose="020B0606020202030204" pitchFamily="34" charset="0"/>
              </a:defRPr>
            </a:pPr>
            <a:r>
              <a:rPr lang="ro-RO" sz="1200">
                <a:latin typeface="Arial Narrow" panose="020B0606020202030204" pitchFamily="34" charset="0"/>
              </a:rPr>
              <a:t>Evoluţia numărului</a:t>
            </a:r>
            <a:r>
              <a:rPr lang="ro-RO" sz="1200" baseline="0">
                <a:latin typeface="Arial Narrow" panose="020B0606020202030204" pitchFamily="34" charset="0"/>
              </a:rPr>
              <a:t> de absolvenţi de liceu</a:t>
            </a:r>
            <a:endParaRPr lang="vi-VN" sz="1200"/>
          </a:p>
        </c:rich>
      </c:tx>
      <c:overlay val="0"/>
    </c:title>
    <c:autoTitleDeleted val="0"/>
    <c:plotArea>
      <c:layout>
        <c:manualLayout>
          <c:layoutTarget val="inner"/>
          <c:xMode val="edge"/>
          <c:yMode val="edge"/>
          <c:x val="0.10543539423327512"/>
          <c:y val="0.19324503311258481"/>
          <c:w val="0.86407258193012548"/>
          <c:h val="0.52738141176061559"/>
        </c:manualLayout>
      </c:layout>
      <c:lineChart>
        <c:grouping val="standard"/>
        <c:varyColors val="0"/>
        <c:ser>
          <c:idx val="0"/>
          <c:order val="0"/>
          <c:tx>
            <c:strRef>
              <c:f>VEST!$B$6</c:f>
              <c:strCache>
                <c:ptCount val="1"/>
                <c:pt idx="0">
                  <c:v>Licee si colegii teoretice</c:v>
                </c:pt>
              </c:strCache>
            </c:strRef>
          </c:tx>
          <c:marker>
            <c:symbol val="none"/>
          </c:marker>
          <c:dLbls>
            <c:spPr>
              <a:noFill/>
              <a:ln>
                <a:noFill/>
              </a:ln>
              <a:effectLst/>
            </c:spPr>
            <c:txPr>
              <a:bodyPr/>
              <a:lstStyle/>
              <a:p>
                <a:pPr>
                  <a:defRPr b="1">
                    <a:latin typeface="Arial Narrow" panose="020B0606020202030204" pitchFamily="34" charset="0"/>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VEST!$C$4:$G$4</c:f>
              <c:numCache>
                <c:formatCode>General</c:formatCode>
                <c:ptCount val="4"/>
                <c:pt idx="0">
                  <c:v>2010</c:v>
                </c:pt>
                <c:pt idx="1">
                  <c:v>2012</c:v>
                </c:pt>
                <c:pt idx="2">
                  <c:v>2013</c:v>
                </c:pt>
                <c:pt idx="3">
                  <c:v>2014</c:v>
                </c:pt>
              </c:numCache>
            </c:numRef>
          </c:cat>
          <c:val>
            <c:numRef>
              <c:f>VEST!$C$6:$G$6</c:f>
              <c:numCache>
                <c:formatCode>General</c:formatCode>
                <c:ptCount val="4"/>
                <c:pt idx="0">
                  <c:v>6928</c:v>
                </c:pt>
                <c:pt idx="1">
                  <c:v>6682</c:v>
                </c:pt>
                <c:pt idx="2">
                  <c:v>6766</c:v>
                </c:pt>
                <c:pt idx="3">
                  <c:v>7495</c:v>
                </c:pt>
              </c:numCache>
            </c:numRef>
          </c:val>
          <c:smooth val="0"/>
          <c:extLst>
            <c:ext xmlns:c16="http://schemas.microsoft.com/office/drawing/2014/chart" uri="{C3380CC4-5D6E-409C-BE32-E72D297353CC}">
              <c16:uniqueId val="{00000000-B38E-4F7D-A39D-D4C0AB8B0C19}"/>
            </c:ext>
          </c:extLst>
        </c:ser>
        <c:ser>
          <c:idx val="1"/>
          <c:order val="1"/>
          <c:tx>
            <c:strRef>
              <c:f>VEST!$B$7</c:f>
              <c:strCache>
                <c:ptCount val="1"/>
                <c:pt idx="0">
                  <c:v>Licee filiera tehnologică:</c:v>
                </c:pt>
              </c:strCache>
            </c:strRef>
          </c:tx>
          <c:marker>
            <c:symbol val="none"/>
          </c:marker>
          <c:dLbls>
            <c:spPr>
              <a:noFill/>
              <a:ln>
                <a:noFill/>
              </a:ln>
              <a:effectLst/>
            </c:spPr>
            <c:txPr>
              <a:bodyPr/>
              <a:lstStyle/>
              <a:p>
                <a:pPr>
                  <a:defRPr b="1">
                    <a:latin typeface="Arial Narrow" panose="020B0606020202030204" pitchFamily="34"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VEST!$C$4:$G$4</c:f>
              <c:numCache>
                <c:formatCode>General</c:formatCode>
                <c:ptCount val="4"/>
                <c:pt idx="0">
                  <c:v>2010</c:v>
                </c:pt>
                <c:pt idx="1">
                  <c:v>2012</c:v>
                </c:pt>
                <c:pt idx="2">
                  <c:v>2013</c:v>
                </c:pt>
                <c:pt idx="3">
                  <c:v>2014</c:v>
                </c:pt>
              </c:numCache>
            </c:numRef>
          </c:cat>
          <c:val>
            <c:numRef>
              <c:f>VEST!$C$7:$G$7</c:f>
              <c:numCache>
                <c:formatCode>General</c:formatCode>
                <c:ptCount val="4"/>
                <c:pt idx="0">
                  <c:v>12557</c:v>
                </c:pt>
                <c:pt idx="1">
                  <c:v>11473</c:v>
                </c:pt>
                <c:pt idx="2">
                  <c:v>8538</c:v>
                </c:pt>
                <c:pt idx="3">
                  <c:v>8604</c:v>
                </c:pt>
              </c:numCache>
            </c:numRef>
          </c:val>
          <c:smooth val="0"/>
          <c:extLst>
            <c:ext xmlns:c16="http://schemas.microsoft.com/office/drawing/2014/chart" uri="{C3380CC4-5D6E-409C-BE32-E72D297353CC}">
              <c16:uniqueId val="{00000001-B38E-4F7D-A39D-D4C0AB8B0C19}"/>
            </c:ext>
          </c:extLst>
        </c:ser>
        <c:ser>
          <c:idx val="2"/>
          <c:order val="2"/>
          <c:tx>
            <c:strRef>
              <c:f>VEST!$B$16</c:f>
              <c:strCache>
                <c:ptCount val="1"/>
                <c:pt idx="0">
                  <c:v>Licee filiera vocaţională:</c:v>
                </c:pt>
              </c:strCache>
            </c:strRef>
          </c:tx>
          <c:marker>
            <c:symbol val="none"/>
          </c:marker>
          <c:dLbls>
            <c:spPr>
              <a:noFill/>
              <a:ln>
                <a:noFill/>
              </a:ln>
              <a:effectLst/>
            </c:spPr>
            <c:txPr>
              <a:bodyPr/>
              <a:lstStyle/>
              <a:p>
                <a:pPr>
                  <a:defRPr b="1">
                    <a:latin typeface="Arial Narrow" panose="020B0606020202030204" pitchFamily="34"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VEST!$C$4:$G$4</c:f>
              <c:numCache>
                <c:formatCode>General</c:formatCode>
                <c:ptCount val="4"/>
                <c:pt idx="0">
                  <c:v>2010</c:v>
                </c:pt>
                <c:pt idx="1">
                  <c:v>2012</c:v>
                </c:pt>
                <c:pt idx="2">
                  <c:v>2013</c:v>
                </c:pt>
                <c:pt idx="3">
                  <c:v>2014</c:v>
                </c:pt>
              </c:numCache>
            </c:numRef>
          </c:cat>
          <c:val>
            <c:numRef>
              <c:f>VEST!$C$16:$G$16</c:f>
              <c:numCache>
                <c:formatCode>General</c:formatCode>
                <c:ptCount val="4"/>
                <c:pt idx="0">
                  <c:v>1049</c:v>
                </c:pt>
                <c:pt idx="1">
                  <c:v>1025</c:v>
                </c:pt>
                <c:pt idx="2">
                  <c:v>1047</c:v>
                </c:pt>
                <c:pt idx="3">
                  <c:v>1187</c:v>
                </c:pt>
              </c:numCache>
            </c:numRef>
          </c:val>
          <c:smooth val="0"/>
          <c:extLst>
            <c:ext xmlns:c16="http://schemas.microsoft.com/office/drawing/2014/chart" uri="{C3380CC4-5D6E-409C-BE32-E72D297353CC}">
              <c16:uniqueId val="{00000002-B38E-4F7D-A39D-D4C0AB8B0C19}"/>
            </c:ext>
          </c:extLst>
        </c:ser>
        <c:dLbls>
          <c:showLegendKey val="0"/>
          <c:showVal val="0"/>
          <c:showCatName val="0"/>
          <c:showSerName val="0"/>
          <c:showPercent val="0"/>
          <c:showBubbleSize val="0"/>
        </c:dLbls>
        <c:smooth val="0"/>
        <c:axId val="125155584"/>
        <c:axId val="125165568"/>
      </c:lineChart>
      <c:catAx>
        <c:axId val="125155584"/>
        <c:scaling>
          <c:orientation val="minMax"/>
        </c:scaling>
        <c:delete val="0"/>
        <c:axPos val="b"/>
        <c:numFmt formatCode="General" sourceLinked="1"/>
        <c:majorTickMark val="none"/>
        <c:minorTickMark val="none"/>
        <c:tickLblPos val="nextTo"/>
        <c:txPr>
          <a:bodyPr/>
          <a:lstStyle/>
          <a:p>
            <a:pPr>
              <a:defRPr b="1">
                <a:latin typeface="Arial Narrow" panose="020B0606020202030204" pitchFamily="34" charset="0"/>
              </a:defRPr>
            </a:pPr>
            <a:endParaRPr lang="en-US"/>
          </a:p>
        </c:txPr>
        <c:crossAx val="125165568"/>
        <c:crosses val="autoZero"/>
        <c:auto val="1"/>
        <c:lblAlgn val="ctr"/>
        <c:lblOffset val="100"/>
        <c:noMultiLvlLbl val="0"/>
      </c:catAx>
      <c:valAx>
        <c:axId val="125165568"/>
        <c:scaling>
          <c:orientation val="minMax"/>
        </c:scaling>
        <c:delete val="0"/>
        <c:axPos val="l"/>
        <c:majorGridlines/>
        <c:numFmt formatCode="General" sourceLinked="1"/>
        <c:majorTickMark val="none"/>
        <c:minorTickMark val="none"/>
        <c:tickLblPos val="nextTo"/>
        <c:txPr>
          <a:bodyPr/>
          <a:lstStyle/>
          <a:p>
            <a:pPr>
              <a:defRPr>
                <a:latin typeface="Arial Narrow" panose="020B0606020202030204" pitchFamily="34" charset="0"/>
              </a:defRPr>
            </a:pPr>
            <a:endParaRPr lang="en-US"/>
          </a:p>
        </c:txPr>
        <c:crossAx val="125155584"/>
        <c:crosses val="autoZero"/>
        <c:crossBetween val="between"/>
      </c:valAx>
    </c:plotArea>
    <c:legend>
      <c:legendPos val="b"/>
      <c:overlay val="0"/>
      <c:txPr>
        <a:bodyPr/>
        <a:lstStyle/>
        <a:p>
          <a:pPr>
            <a:defRPr b="1">
              <a:latin typeface="Arial Narrow" panose="020B0606020202030204" pitchFamily="34" charset="0"/>
            </a:defRPr>
          </a:pPr>
          <a:endParaRPr lang="en-US"/>
        </a:p>
      </c:txPr>
    </c:legend>
    <c:plotVisOnly val="1"/>
    <c:dispBlanksAs val="gap"/>
    <c:showDLblsOverMax val="0"/>
  </c:chart>
  <c:externalData r:id="rId1">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sz="1100" b="0"/>
            </a:pPr>
            <a:r>
              <a:rPr lang="vi-VN" sz="1100" b="0"/>
              <a:t>Evoluţia Ratei de tranziţie în învăţământul secundar superior la nivel naţional şi regional</a:t>
            </a:r>
          </a:p>
        </c:rich>
      </c:tx>
      <c:overlay val="0"/>
    </c:title>
    <c:autoTitleDeleted val="0"/>
    <c:plotArea>
      <c:layout/>
      <c:barChart>
        <c:barDir val="col"/>
        <c:grouping val="clustered"/>
        <c:varyColors val="0"/>
        <c:ser>
          <c:idx val="0"/>
          <c:order val="0"/>
          <c:tx>
            <c:strRef>
              <c:f>'Rata tranzitie in inv sec sup'!$B$3:$F$3</c:f>
              <c:strCache>
                <c:ptCount val="1"/>
                <c:pt idx="0">
                  <c:v>2007 2008</c:v>
                </c:pt>
              </c:strCache>
            </c:strRef>
          </c:tx>
          <c:invertIfNegative val="0"/>
          <c:cat>
            <c:strRef>
              <c:f>('Rata tranzitie in inv sec sup'!$A$5:$A$6,'Rata tranzitie in inv sec sup'!$A$11:$A$17)</c:f>
              <c:strCache>
                <c:ptCount val="9"/>
                <c:pt idx="0">
                  <c:v>România</c:v>
                </c:pt>
                <c:pt idx="1">
                  <c:v>Vest </c:v>
                </c:pt>
                <c:pt idx="2">
                  <c:v>Nord - Est </c:v>
                </c:pt>
                <c:pt idx="3">
                  <c:v>Sud - Est </c:v>
                </c:pt>
                <c:pt idx="4">
                  <c:v>Sud - Muntenia</c:v>
                </c:pt>
                <c:pt idx="5">
                  <c:v>Sud - Vest - Oltenia</c:v>
                </c:pt>
                <c:pt idx="6">
                  <c:v>Nord - Vest </c:v>
                </c:pt>
                <c:pt idx="7">
                  <c:v>Centru </c:v>
                </c:pt>
                <c:pt idx="8">
                  <c:v>Bucureşti - Ilfov</c:v>
                </c:pt>
              </c:strCache>
            </c:strRef>
          </c:cat>
          <c:val>
            <c:numRef>
              <c:f>('Rata tranzitie in inv sec sup'!$B$5:$B$6,'Rata tranzitie in inv sec sup'!$B$11:$B$17)</c:f>
              <c:numCache>
                <c:formatCode>General</c:formatCode>
                <c:ptCount val="9"/>
                <c:pt idx="0">
                  <c:v>97.7</c:v>
                </c:pt>
                <c:pt idx="1">
                  <c:v>98.4</c:v>
                </c:pt>
                <c:pt idx="2">
                  <c:v>96.6</c:v>
                </c:pt>
                <c:pt idx="3">
                  <c:v>94.9</c:v>
                </c:pt>
                <c:pt idx="4">
                  <c:v>93.4</c:v>
                </c:pt>
                <c:pt idx="5">
                  <c:v>97.7</c:v>
                </c:pt>
                <c:pt idx="6">
                  <c:v>97.2</c:v>
                </c:pt>
                <c:pt idx="7">
                  <c:v>98</c:v>
                </c:pt>
                <c:pt idx="8">
                  <c:v>113.4</c:v>
                </c:pt>
              </c:numCache>
            </c:numRef>
          </c:val>
          <c:extLst>
            <c:ext xmlns:c16="http://schemas.microsoft.com/office/drawing/2014/chart" uri="{C3380CC4-5D6E-409C-BE32-E72D297353CC}">
              <c16:uniqueId val="{00000000-846F-4A55-9411-FE2AE5BCF7E2}"/>
            </c:ext>
          </c:extLst>
        </c:ser>
        <c:ser>
          <c:idx val="1"/>
          <c:order val="1"/>
          <c:tx>
            <c:strRef>
              <c:f>'Rata tranzitie in inv sec sup'!$G$3:$K$3</c:f>
              <c:strCache>
                <c:ptCount val="1"/>
                <c:pt idx="0">
                  <c:v>2008 2009</c:v>
                </c:pt>
              </c:strCache>
            </c:strRef>
          </c:tx>
          <c:invertIfNegative val="0"/>
          <c:cat>
            <c:strRef>
              <c:f>('Rata tranzitie in inv sec sup'!$A$5:$A$6,'Rata tranzitie in inv sec sup'!$A$11:$A$17)</c:f>
              <c:strCache>
                <c:ptCount val="9"/>
                <c:pt idx="0">
                  <c:v>România</c:v>
                </c:pt>
                <c:pt idx="1">
                  <c:v>Vest </c:v>
                </c:pt>
                <c:pt idx="2">
                  <c:v>Nord - Est </c:v>
                </c:pt>
                <c:pt idx="3">
                  <c:v>Sud - Est </c:v>
                </c:pt>
                <c:pt idx="4">
                  <c:v>Sud - Muntenia</c:v>
                </c:pt>
                <c:pt idx="5">
                  <c:v>Sud - Vest - Oltenia</c:v>
                </c:pt>
                <c:pt idx="6">
                  <c:v>Nord - Vest </c:v>
                </c:pt>
                <c:pt idx="7">
                  <c:v>Centru </c:v>
                </c:pt>
                <c:pt idx="8">
                  <c:v>Bucureşti - Ilfov</c:v>
                </c:pt>
              </c:strCache>
            </c:strRef>
          </c:cat>
          <c:val>
            <c:numRef>
              <c:f>('Rata tranzitie in inv sec sup'!$G$5:$G$6,'Rata tranzitie in inv sec sup'!$G$11:$G$17)</c:f>
              <c:numCache>
                <c:formatCode>General</c:formatCode>
                <c:ptCount val="9"/>
                <c:pt idx="0">
                  <c:v>98.8</c:v>
                </c:pt>
                <c:pt idx="1">
                  <c:v>99.5</c:v>
                </c:pt>
                <c:pt idx="2">
                  <c:v>96.5</c:v>
                </c:pt>
                <c:pt idx="3">
                  <c:v>97</c:v>
                </c:pt>
                <c:pt idx="4">
                  <c:v>94.6</c:v>
                </c:pt>
                <c:pt idx="5">
                  <c:v>99.7</c:v>
                </c:pt>
                <c:pt idx="6">
                  <c:v>98.5</c:v>
                </c:pt>
                <c:pt idx="7">
                  <c:v>99.5</c:v>
                </c:pt>
                <c:pt idx="8">
                  <c:v>114.1</c:v>
                </c:pt>
              </c:numCache>
            </c:numRef>
          </c:val>
          <c:extLst>
            <c:ext xmlns:c16="http://schemas.microsoft.com/office/drawing/2014/chart" uri="{C3380CC4-5D6E-409C-BE32-E72D297353CC}">
              <c16:uniqueId val="{00000001-846F-4A55-9411-FE2AE5BCF7E2}"/>
            </c:ext>
          </c:extLst>
        </c:ser>
        <c:ser>
          <c:idx val="2"/>
          <c:order val="2"/>
          <c:tx>
            <c:strRef>
              <c:f>'Rata tranzitie in inv sec sup'!$L$3:$P$3</c:f>
              <c:strCache>
                <c:ptCount val="1"/>
                <c:pt idx="0">
                  <c:v>2009 2010</c:v>
                </c:pt>
              </c:strCache>
            </c:strRef>
          </c:tx>
          <c:invertIfNegative val="0"/>
          <c:cat>
            <c:strRef>
              <c:f>('Rata tranzitie in inv sec sup'!$A$5:$A$6,'Rata tranzitie in inv sec sup'!$A$11:$A$17)</c:f>
              <c:strCache>
                <c:ptCount val="9"/>
                <c:pt idx="0">
                  <c:v>România</c:v>
                </c:pt>
                <c:pt idx="1">
                  <c:v>Vest </c:v>
                </c:pt>
                <c:pt idx="2">
                  <c:v>Nord - Est </c:v>
                </c:pt>
                <c:pt idx="3">
                  <c:v>Sud - Est </c:v>
                </c:pt>
                <c:pt idx="4">
                  <c:v>Sud - Muntenia</c:v>
                </c:pt>
                <c:pt idx="5">
                  <c:v>Sud - Vest - Oltenia</c:v>
                </c:pt>
                <c:pt idx="6">
                  <c:v>Nord - Vest </c:v>
                </c:pt>
                <c:pt idx="7">
                  <c:v>Centru </c:v>
                </c:pt>
                <c:pt idx="8">
                  <c:v>Bucureşti - Ilfov</c:v>
                </c:pt>
              </c:strCache>
            </c:strRef>
          </c:cat>
          <c:val>
            <c:numRef>
              <c:f>('Rata tranzitie in inv sec sup'!$L$5:$L$6,'Rata tranzitie in inv sec sup'!$L$11:$L$17)</c:f>
              <c:numCache>
                <c:formatCode>General</c:formatCode>
                <c:ptCount val="9"/>
                <c:pt idx="0">
                  <c:v>96.9</c:v>
                </c:pt>
                <c:pt idx="1">
                  <c:v>96.9</c:v>
                </c:pt>
                <c:pt idx="2">
                  <c:v>95.7</c:v>
                </c:pt>
                <c:pt idx="3">
                  <c:v>95.3</c:v>
                </c:pt>
                <c:pt idx="4">
                  <c:v>92.2</c:v>
                </c:pt>
                <c:pt idx="5">
                  <c:v>98.4</c:v>
                </c:pt>
                <c:pt idx="6">
                  <c:v>97.4</c:v>
                </c:pt>
                <c:pt idx="7">
                  <c:v>97.8</c:v>
                </c:pt>
                <c:pt idx="8">
                  <c:v>108.1</c:v>
                </c:pt>
              </c:numCache>
            </c:numRef>
          </c:val>
          <c:extLst>
            <c:ext xmlns:c16="http://schemas.microsoft.com/office/drawing/2014/chart" uri="{C3380CC4-5D6E-409C-BE32-E72D297353CC}">
              <c16:uniqueId val="{00000002-846F-4A55-9411-FE2AE5BCF7E2}"/>
            </c:ext>
          </c:extLst>
        </c:ser>
        <c:ser>
          <c:idx val="3"/>
          <c:order val="3"/>
          <c:tx>
            <c:strRef>
              <c:f>'Rata tranzitie in inv sec sup'!$Q$3:$U$3</c:f>
              <c:strCache>
                <c:ptCount val="1"/>
                <c:pt idx="0">
                  <c:v>2010 2011</c:v>
                </c:pt>
              </c:strCache>
            </c:strRef>
          </c:tx>
          <c:invertIfNegative val="0"/>
          <c:cat>
            <c:strRef>
              <c:f>('Rata tranzitie in inv sec sup'!$A$5:$A$6,'Rata tranzitie in inv sec sup'!$A$11:$A$17)</c:f>
              <c:strCache>
                <c:ptCount val="9"/>
                <c:pt idx="0">
                  <c:v>România</c:v>
                </c:pt>
                <c:pt idx="1">
                  <c:v>Vest </c:v>
                </c:pt>
                <c:pt idx="2">
                  <c:v>Nord - Est </c:v>
                </c:pt>
                <c:pt idx="3">
                  <c:v>Sud - Est </c:v>
                </c:pt>
                <c:pt idx="4">
                  <c:v>Sud - Muntenia</c:v>
                </c:pt>
                <c:pt idx="5">
                  <c:v>Sud - Vest - Oltenia</c:v>
                </c:pt>
                <c:pt idx="6">
                  <c:v>Nord - Vest </c:v>
                </c:pt>
                <c:pt idx="7">
                  <c:v>Centru </c:v>
                </c:pt>
                <c:pt idx="8">
                  <c:v>Bucureşti - Ilfov</c:v>
                </c:pt>
              </c:strCache>
            </c:strRef>
          </c:cat>
          <c:val>
            <c:numRef>
              <c:f>('Rata tranzitie in inv sec sup'!$Q$5:$Q$6,'Rata tranzitie in inv sec sup'!$Q$11:$Q$17)</c:f>
              <c:numCache>
                <c:formatCode>General</c:formatCode>
                <c:ptCount val="9"/>
                <c:pt idx="0">
                  <c:v>97.1</c:v>
                </c:pt>
                <c:pt idx="1">
                  <c:v>96.5</c:v>
                </c:pt>
                <c:pt idx="2">
                  <c:v>93.5</c:v>
                </c:pt>
                <c:pt idx="3">
                  <c:v>95.5</c:v>
                </c:pt>
                <c:pt idx="4">
                  <c:v>92.6</c:v>
                </c:pt>
                <c:pt idx="5">
                  <c:v>100.4</c:v>
                </c:pt>
                <c:pt idx="6">
                  <c:v>96.8</c:v>
                </c:pt>
                <c:pt idx="7">
                  <c:v>98.5</c:v>
                </c:pt>
                <c:pt idx="8">
                  <c:v>112</c:v>
                </c:pt>
              </c:numCache>
            </c:numRef>
          </c:val>
          <c:extLst>
            <c:ext xmlns:c16="http://schemas.microsoft.com/office/drawing/2014/chart" uri="{C3380CC4-5D6E-409C-BE32-E72D297353CC}">
              <c16:uniqueId val="{00000003-846F-4A55-9411-FE2AE5BCF7E2}"/>
            </c:ext>
          </c:extLst>
        </c:ser>
        <c:ser>
          <c:idx val="4"/>
          <c:order val="4"/>
          <c:tx>
            <c:strRef>
              <c:f>'Rata tranzitie in inv sec sup'!$V$3:$Z$3</c:f>
              <c:strCache>
                <c:ptCount val="1"/>
                <c:pt idx="0">
                  <c:v>2011 2012</c:v>
                </c:pt>
              </c:strCache>
            </c:strRef>
          </c:tx>
          <c:invertIfNegative val="0"/>
          <c:cat>
            <c:strRef>
              <c:f>('Rata tranzitie in inv sec sup'!$A$5:$A$6,'Rata tranzitie in inv sec sup'!$A$11:$A$17)</c:f>
              <c:strCache>
                <c:ptCount val="9"/>
                <c:pt idx="0">
                  <c:v>România</c:v>
                </c:pt>
                <c:pt idx="1">
                  <c:v>Vest </c:v>
                </c:pt>
                <c:pt idx="2">
                  <c:v>Nord - Est </c:v>
                </c:pt>
                <c:pt idx="3">
                  <c:v>Sud - Est </c:v>
                </c:pt>
                <c:pt idx="4">
                  <c:v>Sud - Muntenia</c:v>
                </c:pt>
                <c:pt idx="5">
                  <c:v>Sud - Vest - Oltenia</c:v>
                </c:pt>
                <c:pt idx="6">
                  <c:v>Nord - Vest </c:v>
                </c:pt>
                <c:pt idx="7">
                  <c:v>Centru </c:v>
                </c:pt>
                <c:pt idx="8">
                  <c:v>Bucureşti - Ilfov</c:v>
                </c:pt>
              </c:strCache>
            </c:strRef>
          </c:cat>
          <c:val>
            <c:numRef>
              <c:f>('Rata tranzitie in inv sec sup'!$V$5:$V$6,'Rata tranzitie in inv sec sup'!$V$11:$V$17)</c:f>
              <c:numCache>
                <c:formatCode>General</c:formatCode>
                <c:ptCount val="9"/>
                <c:pt idx="0">
                  <c:v>96</c:v>
                </c:pt>
                <c:pt idx="1">
                  <c:v>0</c:v>
                </c:pt>
                <c:pt idx="2">
                  <c:v>0</c:v>
                </c:pt>
                <c:pt idx="3">
                  <c:v>0</c:v>
                </c:pt>
                <c:pt idx="4">
                  <c:v>91</c:v>
                </c:pt>
                <c:pt idx="5">
                  <c:v>95.7</c:v>
                </c:pt>
                <c:pt idx="6">
                  <c:v>96.2</c:v>
                </c:pt>
                <c:pt idx="7">
                  <c:v>97.5</c:v>
                </c:pt>
                <c:pt idx="8">
                  <c:v>110.6</c:v>
                </c:pt>
              </c:numCache>
            </c:numRef>
          </c:val>
          <c:extLst>
            <c:ext xmlns:c16="http://schemas.microsoft.com/office/drawing/2014/chart" uri="{C3380CC4-5D6E-409C-BE32-E72D297353CC}">
              <c16:uniqueId val="{00000004-846F-4A55-9411-FE2AE5BCF7E2}"/>
            </c:ext>
          </c:extLst>
        </c:ser>
        <c:ser>
          <c:idx val="5"/>
          <c:order val="5"/>
          <c:tx>
            <c:strRef>
              <c:f>'Rata tranzitie in inv sec sup'!$AA$3:$AE$3</c:f>
              <c:strCache>
                <c:ptCount val="1"/>
                <c:pt idx="0">
                  <c:v>2012 2013</c:v>
                </c:pt>
              </c:strCache>
            </c:strRef>
          </c:tx>
          <c:invertIfNegative val="0"/>
          <c:cat>
            <c:strRef>
              <c:f>('Rata tranzitie in inv sec sup'!$A$5:$A$6,'Rata tranzitie in inv sec sup'!$A$11:$A$17)</c:f>
              <c:strCache>
                <c:ptCount val="9"/>
                <c:pt idx="0">
                  <c:v>România</c:v>
                </c:pt>
                <c:pt idx="1">
                  <c:v>Vest </c:v>
                </c:pt>
                <c:pt idx="2">
                  <c:v>Nord - Est </c:v>
                </c:pt>
                <c:pt idx="3">
                  <c:v>Sud - Est </c:v>
                </c:pt>
                <c:pt idx="4">
                  <c:v>Sud - Muntenia</c:v>
                </c:pt>
                <c:pt idx="5">
                  <c:v>Sud - Vest - Oltenia</c:v>
                </c:pt>
                <c:pt idx="6">
                  <c:v>Nord - Vest </c:v>
                </c:pt>
                <c:pt idx="7">
                  <c:v>Centru </c:v>
                </c:pt>
                <c:pt idx="8">
                  <c:v>Bucureşti - Ilfov</c:v>
                </c:pt>
              </c:strCache>
            </c:strRef>
          </c:cat>
          <c:val>
            <c:numRef>
              <c:f>('Rata tranzitie in inv sec sup'!$AA$5:$AA$6,'Rata tranzitie in inv sec sup'!$AA$11:$AA$17)</c:f>
              <c:numCache>
                <c:formatCode>General</c:formatCode>
                <c:ptCount val="9"/>
                <c:pt idx="0">
                  <c:v>96</c:v>
                </c:pt>
                <c:pt idx="1">
                  <c:v>96.4</c:v>
                </c:pt>
                <c:pt idx="2">
                  <c:v>93.3</c:v>
                </c:pt>
                <c:pt idx="3">
                  <c:v>95.1</c:v>
                </c:pt>
                <c:pt idx="4">
                  <c:v>91.2</c:v>
                </c:pt>
                <c:pt idx="5">
                  <c:v>97.6</c:v>
                </c:pt>
                <c:pt idx="6">
                  <c:v>95.1</c:v>
                </c:pt>
                <c:pt idx="7">
                  <c:v>97.2</c:v>
                </c:pt>
                <c:pt idx="8">
                  <c:v>109.5</c:v>
                </c:pt>
              </c:numCache>
            </c:numRef>
          </c:val>
          <c:extLst>
            <c:ext xmlns:c16="http://schemas.microsoft.com/office/drawing/2014/chart" uri="{C3380CC4-5D6E-409C-BE32-E72D297353CC}">
              <c16:uniqueId val="{00000005-846F-4A55-9411-FE2AE5BCF7E2}"/>
            </c:ext>
          </c:extLst>
        </c:ser>
        <c:ser>
          <c:idx val="6"/>
          <c:order val="6"/>
          <c:tx>
            <c:strRef>
              <c:f>'Rata tranzitie in inv sec sup'!$AF$3:$AJ$3</c:f>
              <c:strCache>
                <c:ptCount val="1"/>
                <c:pt idx="0">
                  <c:v>2013 2014</c:v>
                </c:pt>
              </c:strCache>
            </c:strRef>
          </c:tx>
          <c:invertIfNegative val="0"/>
          <c:cat>
            <c:strRef>
              <c:f>('Rata tranzitie in inv sec sup'!$A$5:$A$6,'Rata tranzitie in inv sec sup'!$A$11:$A$17)</c:f>
              <c:strCache>
                <c:ptCount val="9"/>
                <c:pt idx="0">
                  <c:v>România</c:v>
                </c:pt>
                <c:pt idx="1">
                  <c:v>Vest </c:v>
                </c:pt>
                <c:pt idx="2">
                  <c:v>Nord - Est </c:v>
                </c:pt>
                <c:pt idx="3">
                  <c:v>Sud - Est </c:v>
                </c:pt>
                <c:pt idx="4">
                  <c:v>Sud - Muntenia</c:v>
                </c:pt>
                <c:pt idx="5">
                  <c:v>Sud - Vest - Oltenia</c:v>
                </c:pt>
                <c:pt idx="6">
                  <c:v>Nord - Vest </c:v>
                </c:pt>
                <c:pt idx="7">
                  <c:v>Centru </c:v>
                </c:pt>
                <c:pt idx="8">
                  <c:v>Bucureşti - Ilfov</c:v>
                </c:pt>
              </c:strCache>
            </c:strRef>
          </c:cat>
          <c:val>
            <c:numRef>
              <c:f>('Rata tranzitie in inv sec sup'!$AF$5:$AF$6,'Rata tranzitie in inv sec sup'!$AF$11:$AF$17)</c:f>
              <c:numCache>
                <c:formatCode>General</c:formatCode>
                <c:ptCount val="9"/>
                <c:pt idx="0">
                  <c:v>97.1</c:v>
                </c:pt>
                <c:pt idx="1">
                  <c:v>98.7</c:v>
                </c:pt>
                <c:pt idx="2">
                  <c:v>94</c:v>
                </c:pt>
                <c:pt idx="3">
                  <c:v>96.2</c:v>
                </c:pt>
                <c:pt idx="4">
                  <c:v>93.3</c:v>
                </c:pt>
                <c:pt idx="5">
                  <c:v>97.1</c:v>
                </c:pt>
                <c:pt idx="6">
                  <c:v>96.1</c:v>
                </c:pt>
                <c:pt idx="7">
                  <c:v>99.8</c:v>
                </c:pt>
                <c:pt idx="8">
                  <c:v>109.7</c:v>
                </c:pt>
              </c:numCache>
            </c:numRef>
          </c:val>
          <c:extLst>
            <c:ext xmlns:c16="http://schemas.microsoft.com/office/drawing/2014/chart" uri="{C3380CC4-5D6E-409C-BE32-E72D297353CC}">
              <c16:uniqueId val="{00000006-846F-4A55-9411-FE2AE5BCF7E2}"/>
            </c:ext>
          </c:extLst>
        </c:ser>
        <c:ser>
          <c:idx val="7"/>
          <c:order val="7"/>
          <c:tx>
            <c:strRef>
              <c:f>'Rata tranzitie in inv sec sup'!$AK$3:$AO$3</c:f>
              <c:strCache>
                <c:ptCount val="1"/>
                <c:pt idx="0">
                  <c:v>2014 2015</c:v>
                </c:pt>
              </c:strCache>
            </c:strRef>
          </c:tx>
          <c:invertIfNegative val="0"/>
          <c:cat>
            <c:strRef>
              <c:f>('Rata tranzitie in inv sec sup'!$A$5:$A$6,'Rata tranzitie in inv sec sup'!$A$11:$A$17)</c:f>
              <c:strCache>
                <c:ptCount val="9"/>
                <c:pt idx="0">
                  <c:v>România</c:v>
                </c:pt>
                <c:pt idx="1">
                  <c:v>Vest </c:v>
                </c:pt>
                <c:pt idx="2">
                  <c:v>Nord - Est </c:v>
                </c:pt>
                <c:pt idx="3">
                  <c:v>Sud - Est </c:v>
                </c:pt>
                <c:pt idx="4">
                  <c:v>Sud - Muntenia</c:v>
                </c:pt>
                <c:pt idx="5">
                  <c:v>Sud - Vest - Oltenia</c:v>
                </c:pt>
                <c:pt idx="6">
                  <c:v>Nord - Vest </c:v>
                </c:pt>
                <c:pt idx="7">
                  <c:v>Centru </c:v>
                </c:pt>
                <c:pt idx="8">
                  <c:v>Bucureşti - Ilfov</c:v>
                </c:pt>
              </c:strCache>
            </c:strRef>
          </c:cat>
          <c:val>
            <c:numRef>
              <c:f>('Rata tranzitie in inv sec sup'!$AK$5:$AK$6,'Rata tranzitie in inv sec sup'!$AK$11:$AK$17)</c:f>
              <c:numCache>
                <c:formatCode>General</c:formatCode>
                <c:ptCount val="9"/>
                <c:pt idx="0">
                  <c:v>99.6</c:v>
                </c:pt>
                <c:pt idx="1">
                  <c:v>100.7</c:v>
                </c:pt>
                <c:pt idx="2">
                  <c:v>99.5</c:v>
                </c:pt>
                <c:pt idx="3">
                  <c:v>96.9</c:v>
                </c:pt>
                <c:pt idx="4">
                  <c:v>95.8</c:v>
                </c:pt>
                <c:pt idx="5">
                  <c:v>99.5</c:v>
                </c:pt>
                <c:pt idx="6">
                  <c:v>98.7</c:v>
                </c:pt>
                <c:pt idx="7">
                  <c:v>97.6</c:v>
                </c:pt>
                <c:pt idx="8">
                  <c:v>113.9</c:v>
                </c:pt>
              </c:numCache>
            </c:numRef>
          </c:val>
          <c:extLst>
            <c:ext xmlns:c16="http://schemas.microsoft.com/office/drawing/2014/chart" uri="{C3380CC4-5D6E-409C-BE32-E72D297353CC}">
              <c16:uniqueId val="{00000007-846F-4A55-9411-FE2AE5BCF7E2}"/>
            </c:ext>
          </c:extLst>
        </c:ser>
        <c:ser>
          <c:idx val="8"/>
          <c:order val="8"/>
          <c:tx>
            <c:strRef>
              <c:f>'Rata tranzitie in inv sec sup'!$AP$3:$AT$3</c:f>
              <c:strCache>
                <c:ptCount val="1"/>
                <c:pt idx="0">
                  <c:v>2015 2016</c:v>
                </c:pt>
              </c:strCache>
            </c:strRef>
          </c:tx>
          <c:invertIfNegative val="0"/>
          <c:cat>
            <c:strRef>
              <c:f>('Rata tranzitie in inv sec sup'!$A$5:$A$6,'Rata tranzitie in inv sec sup'!$A$11:$A$17)</c:f>
              <c:strCache>
                <c:ptCount val="9"/>
                <c:pt idx="0">
                  <c:v>România</c:v>
                </c:pt>
                <c:pt idx="1">
                  <c:v>Vest </c:v>
                </c:pt>
                <c:pt idx="2">
                  <c:v>Nord - Est </c:v>
                </c:pt>
                <c:pt idx="3">
                  <c:v>Sud - Est </c:v>
                </c:pt>
                <c:pt idx="4">
                  <c:v>Sud - Muntenia</c:v>
                </c:pt>
                <c:pt idx="5">
                  <c:v>Sud - Vest - Oltenia</c:v>
                </c:pt>
                <c:pt idx="6">
                  <c:v>Nord - Vest </c:v>
                </c:pt>
                <c:pt idx="7">
                  <c:v>Centru </c:v>
                </c:pt>
                <c:pt idx="8">
                  <c:v>Bucureşti - Ilfov</c:v>
                </c:pt>
              </c:strCache>
            </c:strRef>
          </c:cat>
          <c:val>
            <c:numRef>
              <c:f>('Rata tranzitie in inv sec sup'!$AP$5:$AP$6,'Rata tranzitie in inv sec sup'!$AP$11:$AP$17)</c:f>
              <c:numCache>
                <c:formatCode>General</c:formatCode>
                <c:ptCount val="9"/>
                <c:pt idx="0">
                  <c:v>96.7</c:v>
                </c:pt>
                <c:pt idx="1">
                  <c:v>96.8</c:v>
                </c:pt>
                <c:pt idx="2">
                  <c:v>95.4</c:v>
                </c:pt>
                <c:pt idx="3">
                  <c:v>95</c:v>
                </c:pt>
                <c:pt idx="4">
                  <c:v>92.2</c:v>
                </c:pt>
                <c:pt idx="5">
                  <c:v>97.9</c:v>
                </c:pt>
                <c:pt idx="6">
                  <c:v>95.7</c:v>
                </c:pt>
                <c:pt idx="7">
                  <c:v>96.4</c:v>
                </c:pt>
                <c:pt idx="8">
                  <c:v>110.6</c:v>
                </c:pt>
              </c:numCache>
            </c:numRef>
          </c:val>
          <c:extLst>
            <c:ext xmlns:c16="http://schemas.microsoft.com/office/drawing/2014/chart" uri="{C3380CC4-5D6E-409C-BE32-E72D297353CC}">
              <c16:uniqueId val="{00000008-846F-4A55-9411-FE2AE5BCF7E2}"/>
            </c:ext>
          </c:extLst>
        </c:ser>
        <c:dLbls>
          <c:showLegendKey val="0"/>
          <c:showVal val="0"/>
          <c:showCatName val="0"/>
          <c:showSerName val="0"/>
          <c:showPercent val="0"/>
          <c:showBubbleSize val="0"/>
        </c:dLbls>
        <c:gapWidth val="75"/>
        <c:overlap val="-25"/>
        <c:axId val="125216640"/>
        <c:axId val="125218176"/>
      </c:barChart>
      <c:catAx>
        <c:axId val="125216640"/>
        <c:scaling>
          <c:orientation val="minMax"/>
        </c:scaling>
        <c:delete val="0"/>
        <c:axPos val="b"/>
        <c:numFmt formatCode="General" sourceLinked="1"/>
        <c:majorTickMark val="none"/>
        <c:minorTickMark val="none"/>
        <c:tickLblPos val="nextTo"/>
        <c:txPr>
          <a:bodyPr rot="0" vert="horz"/>
          <a:lstStyle/>
          <a:p>
            <a:pPr>
              <a:defRPr/>
            </a:pPr>
            <a:endParaRPr lang="en-US"/>
          </a:p>
        </c:txPr>
        <c:crossAx val="125218176"/>
        <c:crosses val="autoZero"/>
        <c:auto val="1"/>
        <c:lblAlgn val="ctr"/>
        <c:lblOffset val="100"/>
        <c:noMultiLvlLbl val="0"/>
      </c:catAx>
      <c:valAx>
        <c:axId val="125218176"/>
        <c:scaling>
          <c:orientation val="minMax"/>
        </c:scaling>
        <c:delete val="0"/>
        <c:axPos val="l"/>
        <c:majorGridlines/>
        <c:numFmt formatCode="General" sourceLinked="1"/>
        <c:majorTickMark val="none"/>
        <c:minorTickMark val="none"/>
        <c:tickLblPos val="nextTo"/>
        <c:spPr>
          <a:ln w="9525">
            <a:noFill/>
          </a:ln>
        </c:spPr>
        <c:txPr>
          <a:bodyPr rot="0" vert="horz"/>
          <a:lstStyle/>
          <a:p>
            <a:pPr>
              <a:defRPr/>
            </a:pPr>
            <a:endParaRPr lang="en-US"/>
          </a:p>
        </c:txPr>
        <c:crossAx val="125216640"/>
        <c:crosses val="autoZero"/>
        <c:crossBetween val="between"/>
      </c:valAx>
    </c:plotArea>
    <c:legend>
      <c:legendPos val="b"/>
      <c:overlay val="0"/>
    </c:legend>
    <c:plotVisOnly val="1"/>
    <c:dispBlanksAs val="gap"/>
    <c:showDLblsOverMax val="0"/>
  </c:chart>
  <c:externalData r:id="rId1">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sz="1100" b="0"/>
            </a:pPr>
            <a:r>
              <a:rPr lang="vi-VN" sz="1100" b="0">
                <a:latin typeface="Arial" pitchFamily="34" charset="0"/>
                <a:cs typeface="Arial" pitchFamily="34" charset="0"/>
              </a:rPr>
              <a:t>Evoluţia Ratei de tranziţie în învăţământul post-secundar non-tertiar/tertiar </a:t>
            </a:r>
          </a:p>
        </c:rich>
      </c:tx>
      <c:layout>
        <c:manualLayout>
          <c:xMode val="edge"/>
          <c:yMode val="edge"/>
          <c:x val="0.17953442678676562"/>
          <c:y val="2.2984102662325524E-2"/>
        </c:manualLayout>
      </c:layout>
      <c:overlay val="0"/>
    </c:title>
    <c:autoTitleDeleted val="0"/>
    <c:plotArea>
      <c:layout/>
      <c:barChart>
        <c:barDir val="col"/>
        <c:grouping val="clustered"/>
        <c:varyColors val="0"/>
        <c:ser>
          <c:idx val="0"/>
          <c:order val="0"/>
          <c:tx>
            <c:strRef>
              <c:f>'Rata tranzite in inv postsec '!$B$3:$F$3</c:f>
              <c:strCache>
                <c:ptCount val="1"/>
                <c:pt idx="0">
                  <c:v>2007 2008</c:v>
                </c:pt>
              </c:strCache>
            </c:strRef>
          </c:tx>
          <c:invertIfNegative val="0"/>
          <c:cat>
            <c:strRef>
              <c:f>'Rata tranzite in inv postsec '!$A$6:$A$10</c:f>
              <c:strCache>
                <c:ptCount val="5"/>
                <c:pt idx="0">
                  <c:v>Vest </c:v>
                </c:pt>
                <c:pt idx="1">
                  <c:v>Arad</c:v>
                </c:pt>
                <c:pt idx="2">
                  <c:v>Caraş-Severin</c:v>
                </c:pt>
                <c:pt idx="3">
                  <c:v>Hunedoara</c:v>
                </c:pt>
                <c:pt idx="4">
                  <c:v>Timiş</c:v>
                </c:pt>
              </c:strCache>
            </c:strRef>
          </c:cat>
          <c:val>
            <c:numRef>
              <c:f>'Rata tranzite in inv postsec '!$B$6:$B$10</c:f>
              <c:numCache>
                <c:formatCode>General</c:formatCode>
                <c:ptCount val="5"/>
                <c:pt idx="0">
                  <c:v>85.4</c:v>
                </c:pt>
                <c:pt idx="1">
                  <c:v>77.7</c:v>
                </c:pt>
                <c:pt idx="2">
                  <c:v>30.1</c:v>
                </c:pt>
                <c:pt idx="3">
                  <c:v>26.8</c:v>
                </c:pt>
                <c:pt idx="4">
                  <c:v>156.9</c:v>
                </c:pt>
              </c:numCache>
            </c:numRef>
          </c:val>
          <c:extLst>
            <c:ext xmlns:c16="http://schemas.microsoft.com/office/drawing/2014/chart" uri="{C3380CC4-5D6E-409C-BE32-E72D297353CC}">
              <c16:uniqueId val="{00000000-72D4-4B52-9E47-7DA4813CCEFD}"/>
            </c:ext>
          </c:extLst>
        </c:ser>
        <c:ser>
          <c:idx val="1"/>
          <c:order val="1"/>
          <c:tx>
            <c:strRef>
              <c:f>'Rata tranzite in inv postsec '!$G$3:$K$3</c:f>
              <c:strCache>
                <c:ptCount val="1"/>
                <c:pt idx="0">
                  <c:v>2008 2009</c:v>
                </c:pt>
              </c:strCache>
            </c:strRef>
          </c:tx>
          <c:invertIfNegative val="0"/>
          <c:cat>
            <c:strRef>
              <c:f>'Rata tranzite in inv postsec '!$A$6:$A$10</c:f>
              <c:strCache>
                <c:ptCount val="5"/>
                <c:pt idx="0">
                  <c:v>Vest </c:v>
                </c:pt>
                <c:pt idx="1">
                  <c:v>Arad</c:v>
                </c:pt>
                <c:pt idx="2">
                  <c:v>Caraş-Severin</c:v>
                </c:pt>
                <c:pt idx="3">
                  <c:v>Hunedoara</c:v>
                </c:pt>
                <c:pt idx="4">
                  <c:v>Timiş</c:v>
                </c:pt>
              </c:strCache>
            </c:strRef>
          </c:cat>
          <c:val>
            <c:numRef>
              <c:f>'Rata tranzite in inv postsec '!$G$6:$G$10</c:f>
              <c:numCache>
                <c:formatCode>General</c:formatCode>
                <c:ptCount val="5"/>
                <c:pt idx="0">
                  <c:v>81.400000000000006</c:v>
                </c:pt>
                <c:pt idx="1">
                  <c:v>84.5</c:v>
                </c:pt>
                <c:pt idx="2">
                  <c:v>25.8</c:v>
                </c:pt>
                <c:pt idx="3">
                  <c:v>21.8</c:v>
                </c:pt>
                <c:pt idx="4">
                  <c:v>147.30000000000001</c:v>
                </c:pt>
              </c:numCache>
            </c:numRef>
          </c:val>
          <c:extLst>
            <c:ext xmlns:c16="http://schemas.microsoft.com/office/drawing/2014/chart" uri="{C3380CC4-5D6E-409C-BE32-E72D297353CC}">
              <c16:uniqueId val="{00000001-72D4-4B52-9E47-7DA4813CCEFD}"/>
            </c:ext>
          </c:extLst>
        </c:ser>
        <c:ser>
          <c:idx val="2"/>
          <c:order val="2"/>
          <c:tx>
            <c:strRef>
              <c:f>'Rata tranzite in inv postsec '!$L$3:$P$3</c:f>
              <c:strCache>
                <c:ptCount val="1"/>
                <c:pt idx="0">
                  <c:v>2009 2010</c:v>
                </c:pt>
              </c:strCache>
            </c:strRef>
          </c:tx>
          <c:invertIfNegative val="0"/>
          <c:cat>
            <c:strRef>
              <c:f>'Rata tranzite in inv postsec '!$A$6:$A$10</c:f>
              <c:strCache>
                <c:ptCount val="5"/>
                <c:pt idx="0">
                  <c:v>Vest </c:v>
                </c:pt>
                <c:pt idx="1">
                  <c:v>Arad</c:v>
                </c:pt>
                <c:pt idx="2">
                  <c:v>Caraş-Severin</c:v>
                </c:pt>
                <c:pt idx="3">
                  <c:v>Hunedoara</c:v>
                </c:pt>
                <c:pt idx="4">
                  <c:v>Timiş</c:v>
                </c:pt>
              </c:strCache>
            </c:strRef>
          </c:cat>
          <c:val>
            <c:numRef>
              <c:f>'Rata tranzite in inv postsec '!$L$6:$L$10</c:f>
              <c:numCache>
                <c:formatCode>General</c:formatCode>
                <c:ptCount val="5"/>
                <c:pt idx="0">
                  <c:v>72.5</c:v>
                </c:pt>
                <c:pt idx="1">
                  <c:v>74.3</c:v>
                </c:pt>
                <c:pt idx="2">
                  <c:v>19.7</c:v>
                </c:pt>
                <c:pt idx="3">
                  <c:v>21.7</c:v>
                </c:pt>
                <c:pt idx="4">
                  <c:v>135.69999999999999</c:v>
                </c:pt>
              </c:numCache>
            </c:numRef>
          </c:val>
          <c:extLst>
            <c:ext xmlns:c16="http://schemas.microsoft.com/office/drawing/2014/chart" uri="{C3380CC4-5D6E-409C-BE32-E72D297353CC}">
              <c16:uniqueId val="{00000002-72D4-4B52-9E47-7DA4813CCEFD}"/>
            </c:ext>
          </c:extLst>
        </c:ser>
        <c:ser>
          <c:idx val="3"/>
          <c:order val="3"/>
          <c:tx>
            <c:strRef>
              <c:f>'Rata tranzite in inv postsec '!$Q$3:$U$3</c:f>
              <c:strCache>
                <c:ptCount val="1"/>
                <c:pt idx="0">
                  <c:v>2010 2011</c:v>
                </c:pt>
              </c:strCache>
            </c:strRef>
          </c:tx>
          <c:invertIfNegative val="0"/>
          <c:cat>
            <c:strRef>
              <c:f>'Rata tranzite in inv postsec '!$A$6:$A$10</c:f>
              <c:strCache>
                <c:ptCount val="5"/>
                <c:pt idx="0">
                  <c:v>Vest </c:v>
                </c:pt>
                <c:pt idx="1">
                  <c:v>Arad</c:v>
                </c:pt>
                <c:pt idx="2">
                  <c:v>Caraş-Severin</c:v>
                </c:pt>
                <c:pt idx="3">
                  <c:v>Hunedoara</c:v>
                </c:pt>
                <c:pt idx="4">
                  <c:v>Timiş</c:v>
                </c:pt>
              </c:strCache>
            </c:strRef>
          </c:cat>
          <c:val>
            <c:numRef>
              <c:f>'Rata tranzite in inv postsec '!$Q$6:$Q$10</c:f>
              <c:numCache>
                <c:formatCode>General</c:formatCode>
                <c:ptCount val="5"/>
                <c:pt idx="0">
                  <c:v>65.099999999999994</c:v>
                </c:pt>
                <c:pt idx="1">
                  <c:v>78.2</c:v>
                </c:pt>
                <c:pt idx="2">
                  <c:v>20.6</c:v>
                </c:pt>
                <c:pt idx="3">
                  <c:v>17.3</c:v>
                </c:pt>
                <c:pt idx="4">
                  <c:v>111.2</c:v>
                </c:pt>
              </c:numCache>
            </c:numRef>
          </c:val>
          <c:extLst>
            <c:ext xmlns:c16="http://schemas.microsoft.com/office/drawing/2014/chart" uri="{C3380CC4-5D6E-409C-BE32-E72D297353CC}">
              <c16:uniqueId val="{00000003-72D4-4B52-9E47-7DA4813CCEFD}"/>
            </c:ext>
          </c:extLst>
        </c:ser>
        <c:ser>
          <c:idx val="4"/>
          <c:order val="4"/>
          <c:tx>
            <c:strRef>
              <c:f>'Rata tranzite in inv postsec '!$V$3:$Z$3</c:f>
              <c:strCache>
                <c:ptCount val="1"/>
                <c:pt idx="0">
                  <c:v>2011 2012</c:v>
                </c:pt>
              </c:strCache>
            </c:strRef>
          </c:tx>
          <c:invertIfNegative val="0"/>
          <c:cat>
            <c:strRef>
              <c:f>'Rata tranzite in inv postsec '!$A$6:$A$10</c:f>
              <c:strCache>
                <c:ptCount val="5"/>
                <c:pt idx="0">
                  <c:v>Vest </c:v>
                </c:pt>
                <c:pt idx="1">
                  <c:v>Arad</c:v>
                </c:pt>
                <c:pt idx="2">
                  <c:v>Caraş-Severin</c:v>
                </c:pt>
                <c:pt idx="3">
                  <c:v>Hunedoara</c:v>
                </c:pt>
                <c:pt idx="4">
                  <c:v>Timiş</c:v>
                </c:pt>
              </c:strCache>
            </c:strRef>
          </c:cat>
          <c:val>
            <c:numRef>
              <c:f>'Rata tranzite in inv postsec '!$W$6:$W$10</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4-72D4-4B52-9E47-7DA4813CCEFD}"/>
            </c:ext>
          </c:extLst>
        </c:ser>
        <c:ser>
          <c:idx val="5"/>
          <c:order val="5"/>
          <c:tx>
            <c:strRef>
              <c:f>'Rata tranzite in inv postsec '!$AA$3:$AE$3</c:f>
              <c:strCache>
                <c:ptCount val="1"/>
                <c:pt idx="0">
                  <c:v>2012 2013</c:v>
                </c:pt>
              </c:strCache>
            </c:strRef>
          </c:tx>
          <c:invertIfNegative val="0"/>
          <c:cat>
            <c:strRef>
              <c:f>'Rata tranzite in inv postsec '!$A$6:$A$10</c:f>
              <c:strCache>
                <c:ptCount val="5"/>
                <c:pt idx="0">
                  <c:v>Vest </c:v>
                </c:pt>
                <c:pt idx="1">
                  <c:v>Arad</c:v>
                </c:pt>
                <c:pt idx="2">
                  <c:v>Caraş-Severin</c:v>
                </c:pt>
                <c:pt idx="3">
                  <c:v>Hunedoara</c:v>
                </c:pt>
                <c:pt idx="4">
                  <c:v>Timiş</c:v>
                </c:pt>
              </c:strCache>
            </c:strRef>
          </c:cat>
          <c:val>
            <c:numRef>
              <c:f>'Rata tranzite in inv postsec '!$AA$6:$AA$10</c:f>
              <c:numCache>
                <c:formatCode>General</c:formatCode>
                <c:ptCount val="5"/>
                <c:pt idx="0">
                  <c:v>58.6</c:v>
                </c:pt>
                <c:pt idx="1">
                  <c:v>49</c:v>
                </c:pt>
                <c:pt idx="2">
                  <c:v>14.6</c:v>
                </c:pt>
                <c:pt idx="3">
                  <c:v>19.600000000000001</c:v>
                </c:pt>
                <c:pt idx="4">
                  <c:v>113.7</c:v>
                </c:pt>
              </c:numCache>
            </c:numRef>
          </c:val>
          <c:extLst>
            <c:ext xmlns:c16="http://schemas.microsoft.com/office/drawing/2014/chart" uri="{C3380CC4-5D6E-409C-BE32-E72D297353CC}">
              <c16:uniqueId val="{00000005-72D4-4B52-9E47-7DA4813CCEFD}"/>
            </c:ext>
          </c:extLst>
        </c:ser>
        <c:ser>
          <c:idx val="6"/>
          <c:order val="6"/>
          <c:tx>
            <c:strRef>
              <c:f>'Rata tranzite in inv postsec '!$AF$3:$AJ$3</c:f>
              <c:strCache>
                <c:ptCount val="1"/>
                <c:pt idx="0">
                  <c:v>2013 2014</c:v>
                </c:pt>
              </c:strCache>
            </c:strRef>
          </c:tx>
          <c:invertIfNegative val="0"/>
          <c:cat>
            <c:strRef>
              <c:f>'Rata tranzite in inv postsec '!$A$6:$A$10</c:f>
              <c:strCache>
                <c:ptCount val="5"/>
                <c:pt idx="0">
                  <c:v>Vest </c:v>
                </c:pt>
                <c:pt idx="1">
                  <c:v>Arad</c:v>
                </c:pt>
                <c:pt idx="2">
                  <c:v>Caraş-Severin</c:v>
                </c:pt>
                <c:pt idx="3">
                  <c:v>Hunedoara</c:v>
                </c:pt>
                <c:pt idx="4">
                  <c:v>Timiş</c:v>
                </c:pt>
              </c:strCache>
            </c:strRef>
          </c:cat>
          <c:val>
            <c:numRef>
              <c:f>'Rata tranzite in inv postsec '!$AF$6:$AF$10</c:f>
              <c:numCache>
                <c:formatCode>General</c:formatCode>
                <c:ptCount val="5"/>
                <c:pt idx="0">
                  <c:v>56.9</c:v>
                </c:pt>
                <c:pt idx="1">
                  <c:v>41.1</c:v>
                </c:pt>
                <c:pt idx="2">
                  <c:v>22</c:v>
                </c:pt>
                <c:pt idx="3">
                  <c:v>24.1</c:v>
                </c:pt>
                <c:pt idx="4">
                  <c:v>108.1</c:v>
                </c:pt>
              </c:numCache>
            </c:numRef>
          </c:val>
          <c:extLst>
            <c:ext xmlns:c16="http://schemas.microsoft.com/office/drawing/2014/chart" uri="{C3380CC4-5D6E-409C-BE32-E72D297353CC}">
              <c16:uniqueId val="{00000006-72D4-4B52-9E47-7DA4813CCEFD}"/>
            </c:ext>
          </c:extLst>
        </c:ser>
        <c:ser>
          <c:idx val="7"/>
          <c:order val="7"/>
          <c:tx>
            <c:strRef>
              <c:f>'Rata tranzite in inv postsec '!$AK$3:$AO$3</c:f>
              <c:strCache>
                <c:ptCount val="1"/>
                <c:pt idx="0">
                  <c:v>2014 2015</c:v>
                </c:pt>
              </c:strCache>
            </c:strRef>
          </c:tx>
          <c:invertIfNegative val="0"/>
          <c:cat>
            <c:strRef>
              <c:f>'Rata tranzite in inv postsec '!$A$6:$A$10</c:f>
              <c:strCache>
                <c:ptCount val="5"/>
                <c:pt idx="0">
                  <c:v>Vest </c:v>
                </c:pt>
                <c:pt idx="1">
                  <c:v>Arad</c:v>
                </c:pt>
                <c:pt idx="2">
                  <c:v>Caraş-Severin</c:v>
                </c:pt>
                <c:pt idx="3">
                  <c:v>Hunedoara</c:v>
                </c:pt>
                <c:pt idx="4">
                  <c:v>Timiş</c:v>
                </c:pt>
              </c:strCache>
            </c:strRef>
          </c:cat>
          <c:val>
            <c:numRef>
              <c:f>'Rata tranzite in inv postsec '!$AK$6:$AK$10</c:f>
              <c:numCache>
                <c:formatCode>General</c:formatCode>
                <c:ptCount val="5"/>
                <c:pt idx="0">
                  <c:v>61.5</c:v>
                </c:pt>
                <c:pt idx="1">
                  <c:v>41</c:v>
                </c:pt>
                <c:pt idx="2">
                  <c:v>27</c:v>
                </c:pt>
                <c:pt idx="3">
                  <c:v>28</c:v>
                </c:pt>
                <c:pt idx="4">
                  <c:v>116.2</c:v>
                </c:pt>
              </c:numCache>
            </c:numRef>
          </c:val>
          <c:extLst>
            <c:ext xmlns:c16="http://schemas.microsoft.com/office/drawing/2014/chart" uri="{C3380CC4-5D6E-409C-BE32-E72D297353CC}">
              <c16:uniqueId val="{00000007-72D4-4B52-9E47-7DA4813CCEFD}"/>
            </c:ext>
          </c:extLst>
        </c:ser>
        <c:ser>
          <c:idx val="8"/>
          <c:order val="8"/>
          <c:tx>
            <c:strRef>
              <c:f>'Rata tranzite in inv postsec '!$AP$3:$AT$3</c:f>
              <c:strCache>
                <c:ptCount val="1"/>
                <c:pt idx="0">
                  <c:v>2015 2016</c:v>
                </c:pt>
              </c:strCache>
            </c:strRef>
          </c:tx>
          <c:invertIfNegative val="0"/>
          <c:cat>
            <c:strRef>
              <c:f>'Rata tranzite in inv postsec '!$A$6:$A$10</c:f>
              <c:strCache>
                <c:ptCount val="5"/>
                <c:pt idx="0">
                  <c:v>Vest </c:v>
                </c:pt>
                <c:pt idx="1">
                  <c:v>Arad</c:v>
                </c:pt>
                <c:pt idx="2">
                  <c:v>Caraş-Severin</c:v>
                </c:pt>
                <c:pt idx="3">
                  <c:v>Hunedoara</c:v>
                </c:pt>
                <c:pt idx="4">
                  <c:v>Timiş</c:v>
                </c:pt>
              </c:strCache>
            </c:strRef>
          </c:cat>
          <c:val>
            <c:numRef>
              <c:f>'Rata tranzite in inv postsec '!$AP$6:$AP$10</c:f>
              <c:numCache>
                <c:formatCode>General</c:formatCode>
                <c:ptCount val="5"/>
                <c:pt idx="0">
                  <c:v>63.2</c:v>
                </c:pt>
                <c:pt idx="1">
                  <c:v>39.5</c:v>
                </c:pt>
                <c:pt idx="2">
                  <c:v>24.6</c:v>
                </c:pt>
                <c:pt idx="3">
                  <c:v>26.4</c:v>
                </c:pt>
                <c:pt idx="4">
                  <c:v>122.5</c:v>
                </c:pt>
              </c:numCache>
            </c:numRef>
          </c:val>
          <c:extLst>
            <c:ext xmlns:c16="http://schemas.microsoft.com/office/drawing/2014/chart" uri="{C3380CC4-5D6E-409C-BE32-E72D297353CC}">
              <c16:uniqueId val="{00000008-72D4-4B52-9E47-7DA4813CCEFD}"/>
            </c:ext>
          </c:extLst>
        </c:ser>
        <c:dLbls>
          <c:showLegendKey val="0"/>
          <c:showVal val="0"/>
          <c:showCatName val="0"/>
          <c:showSerName val="0"/>
          <c:showPercent val="0"/>
          <c:showBubbleSize val="0"/>
        </c:dLbls>
        <c:gapWidth val="75"/>
        <c:overlap val="-25"/>
        <c:axId val="125265408"/>
        <c:axId val="125266944"/>
      </c:barChart>
      <c:catAx>
        <c:axId val="125265408"/>
        <c:scaling>
          <c:orientation val="minMax"/>
        </c:scaling>
        <c:delete val="0"/>
        <c:axPos val="b"/>
        <c:numFmt formatCode="General" sourceLinked="1"/>
        <c:majorTickMark val="none"/>
        <c:minorTickMark val="none"/>
        <c:tickLblPos val="nextTo"/>
        <c:txPr>
          <a:bodyPr rot="0" vert="horz"/>
          <a:lstStyle/>
          <a:p>
            <a:pPr>
              <a:defRPr/>
            </a:pPr>
            <a:endParaRPr lang="en-US"/>
          </a:p>
        </c:txPr>
        <c:crossAx val="125266944"/>
        <c:crosses val="autoZero"/>
        <c:auto val="1"/>
        <c:lblAlgn val="ctr"/>
        <c:lblOffset val="100"/>
        <c:noMultiLvlLbl val="0"/>
      </c:catAx>
      <c:valAx>
        <c:axId val="125266944"/>
        <c:scaling>
          <c:orientation val="minMax"/>
        </c:scaling>
        <c:delete val="0"/>
        <c:axPos val="l"/>
        <c:majorGridlines/>
        <c:numFmt formatCode="General" sourceLinked="1"/>
        <c:majorTickMark val="none"/>
        <c:minorTickMark val="none"/>
        <c:tickLblPos val="nextTo"/>
        <c:spPr>
          <a:ln w="9525">
            <a:noFill/>
          </a:ln>
        </c:spPr>
        <c:txPr>
          <a:bodyPr rot="0" vert="horz"/>
          <a:lstStyle/>
          <a:p>
            <a:pPr>
              <a:defRPr/>
            </a:pPr>
            <a:endParaRPr lang="en-US"/>
          </a:p>
        </c:txPr>
        <c:crossAx val="125265408"/>
        <c:crosses val="autoZero"/>
        <c:crossBetween val="between"/>
      </c:valAx>
    </c:plotArea>
    <c:legend>
      <c:legendPos val="b"/>
      <c:overlay val="0"/>
    </c:legend>
    <c:plotVisOnly val="1"/>
    <c:dispBlanksAs val="gap"/>
    <c:showDLblsOverMax val="0"/>
  </c:chart>
  <c:externalData r:id="rId1">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sz="1100" b="0">
                <a:latin typeface="Arial" pitchFamily="34" charset="0"/>
                <a:cs typeface="Arial" pitchFamily="34" charset="0"/>
              </a:defRPr>
            </a:pPr>
            <a:r>
              <a:rPr lang="vi-VN" sz="1100" b="0">
                <a:latin typeface="Arial" pitchFamily="34" charset="0"/>
                <a:cs typeface="Arial" pitchFamily="34" charset="0"/>
              </a:rPr>
              <a:t>Rata abandonului şcolar </a:t>
            </a:r>
            <a:r>
              <a:rPr lang="ro-RO" sz="1100" b="0">
                <a:latin typeface="Arial" pitchFamily="34" charset="0"/>
                <a:cs typeface="Arial" pitchFamily="34" charset="0"/>
              </a:rPr>
              <a:t>în </a:t>
            </a:r>
            <a:r>
              <a:rPr lang="vi-VN" sz="1100" b="0">
                <a:latin typeface="Arial" pitchFamily="34" charset="0"/>
                <a:cs typeface="Arial" pitchFamily="34" charset="0"/>
              </a:rPr>
              <a:t>învăţământul </a:t>
            </a:r>
            <a:r>
              <a:rPr lang="ro-RO" sz="1100" b="0">
                <a:latin typeface="Arial" pitchFamily="34" charset="0"/>
                <a:cs typeface="Arial" pitchFamily="34" charset="0"/>
              </a:rPr>
              <a:t>liceal</a:t>
            </a:r>
          </a:p>
          <a:p>
            <a:pPr>
              <a:defRPr sz="1100" b="0">
                <a:latin typeface="Arial" pitchFamily="34" charset="0"/>
                <a:cs typeface="Arial" pitchFamily="34" charset="0"/>
              </a:defRPr>
            </a:pPr>
            <a:r>
              <a:rPr lang="ro-RO" sz="1100" b="0">
                <a:latin typeface="Arial" pitchFamily="34" charset="0"/>
                <a:cs typeface="Arial" pitchFamily="34" charset="0"/>
              </a:rPr>
              <a:t>Regiunea  VEST </a:t>
            </a:r>
            <a:endParaRPr lang="vi-VN" sz="1100" b="0">
              <a:latin typeface="Arial" pitchFamily="34" charset="0"/>
              <a:cs typeface="Arial" pitchFamily="34" charset="0"/>
            </a:endParaRPr>
          </a:p>
        </c:rich>
      </c:tx>
      <c:overlay val="0"/>
    </c:title>
    <c:autoTitleDeleted val="0"/>
    <c:plotArea>
      <c:layout/>
      <c:barChart>
        <c:barDir val="col"/>
        <c:grouping val="clustered"/>
        <c:varyColors val="0"/>
        <c:ser>
          <c:idx val="0"/>
          <c:order val="0"/>
          <c:tx>
            <c:strRef>
              <c:f>Liceal!$B$2</c:f>
              <c:strCache>
                <c:ptCount val="1"/>
                <c:pt idx="0">
                  <c:v>2006 2007</c:v>
                </c:pt>
              </c:strCache>
            </c:strRef>
          </c:tx>
          <c:invertIfNegative val="0"/>
          <c:cat>
            <c:strRef>
              <c:f>Liceal!$A$4:$A$9</c:f>
              <c:strCache>
                <c:ptCount val="6"/>
                <c:pt idx="0">
                  <c:v>România</c:v>
                </c:pt>
                <c:pt idx="1">
                  <c:v>Vest </c:v>
                </c:pt>
                <c:pt idx="2">
                  <c:v>Arad</c:v>
                </c:pt>
                <c:pt idx="3">
                  <c:v>Caraş-Severin</c:v>
                </c:pt>
                <c:pt idx="4">
                  <c:v>Hunedoara</c:v>
                </c:pt>
                <c:pt idx="5">
                  <c:v>Timiş</c:v>
                </c:pt>
              </c:strCache>
            </c:strRef>
          </c:cat>
          <c:val>
            <c:numRef>
              <c:f>Liceal!$B$4:$B$9</c:f>
              <c:numCache>
                <c:formatCode>General</c:formatCode>
                <c:ptCount val="6"/>
                <c:pt idx="0">
                  <c:v>3.3</c:v>
                </c:pt>
                <c:pt idx="1">
                  <c:v>3.3</c:v>
                </c:pt>
                <c:pt idx="2">
                  <c:v>1.9000000000000001</c:v>
                </c:pt>
                <c:pt idx="3">
                  <c:v>3.7</c:v>
                </c:pt>
                <c:pt idx="4">
                  <c:v>3.9</c:v>
                </c:pt>
                <c:pt idx="5">
                  <c:v>3.5</c:v>
                </c:pt>
              </c:numCache>
            </c:numRef>
          </c:val>
          <c:extLst>
            <c:ext xmlns:c16="http://schemas.microsoft.com/office/drawing/2014/chart" uri="{C3380CC4-5D6E-409C-BE32-E72D297353CC}">
              <c16:uniqueId val="{00000000-FBDD-4332-883E-8B96752AEDCE}"/>
            </c:ext>
          </c:extLst>
        </c:ser>
        <c:ser>
          <c:idx val="1"/>
          <c:order val="1"/>
          <c:tx>
            <c:strRef>
              <c:f>Liceal!$G$2</c:f>
              <c:strCache>
                <c:ptCount val="1"/>
                <c:pt idx="0">
                  <c:v>2007 2008</c:v>
                </c:pt>
              </c:strCache>
            </c:strRef>
          </c:tx>
          <c:invertIfNegative val="0"/>
          <c:cat>
            <c:strRef>
              <c:f>Liceal!$A$4:$A$9</c:f>
              <c:strCache>
                <c:ptCount val="6"/>
                <c:pt idx="0">
                  <c:v>România</c:v>
                </c:pt>
                <c:pt idx="1">
                  <c:v>Vest </c:v>
                </c:pt>
                <c:pt idx="2">
                  <c:v>Arad</c:v>
                </c:pt>
                <c:pt idx="3">
                  <c:v>Caraş-Severin</c:v>
                </c:pt>
                <c:pt idx="4">
                  <c:v>Hunedoara</c:v>
                </c:pt>
                <c:pt idx="5">
                  <c:v>Timiş</c:v>
                </c:pt>
              </c:strCache>
            </c:strRef>
          </c:cat>
          <c:val>
            <c:numRef>
              <c:f>Liceal!$G$4:$G$9</c:f>
              <c:numCache>
                <c:formatCode>General</c:formatCode>
                <c:ptCount val="6"/>
                <c:pt idx="0">
                  <c:v>2.9</c:v>
                </c:pt>
                <c:pt idx="1">
                  <c:v>3.2</c:v>
                </c:pt>
                <c:pt idx="2">
                  <c:v>1.7</c:v>
                </c:pt>
                <c:pt idx="3">
                  <c:v>3</c:v>
                </c:pt>
                <c:pt idx="4">
                  <c:v>3.9</c:v>
                </c:pt>
                <c:pt idx="5">
                  <c:v>3.8</c:v>
                </c:pt>
              </c:numCache>
            </c:numRef>
          </c:val>
          <c:extLst>
            <c:ext xmlns:c16="http://schemas.microsoft.com/office/drawing/2014/chart" uri="{C3380CC4-5D6E-409C-BE32-E72D297353CC}">
              <c16:uniqueId val="{00000001-FBDD-4332-883E-8B96752AEDCE}"/>
            </c:ext>
          </c:extLst>
        </c:ser>
        <c:ser>
          <c:idx val="2"/>
          <c:order val="2"/>
          <c:tx>
            <c:strRef>
              <c:f>Liceal!$L$2</c:f>
              <c:strCache>
                <c:ptCount val="1"/>
                <c:pt idx="0">
                  <c:v>2008 2009</c:v>
                </c:pt>
              </c:strCache>
            </c:strRef>
          </c:tx>
          <c:invertIfNegative val="0"/>
          <c:cat>
            <c:strRef>
              <c:f>Liceal!$A$4:$A$9</c:f>
              <c:strCache>
                <c:ptCount val="6"/>
                <c:pt idx="0">
                  <c:v>România</c:v>
                </c:pt>
                <c:pt idx="1">
                  <c:v>Vest </c:v>
                </c:pt>
                <c:pt idx="2">
                  <c:v>Arad</c:v>
                </c:pt>
                <c:pt idx="3">
                  <c:v>Caraş-Severin</c:v>
                </c:pt>
                <c:pt idx="4">
                  <c:v>Hunedoara</c:v>
                </c:pt>
                <c:pt idx="5">
                  <c:v>Timiş</c:v>
                </c:pt>
              </c:strCache>
            </c:strRef>
          </c:cat>
          <c:val>
            <c:numRef>
              <c:f>Liceal!$L$4:$L$9</c:f>
              <c:numCache>
                <c:formatCode>General</c:formatCode>
                <c:ptCount val="6"/>
                <c:pt idx="0">
                  <c:v>2.4</c:v>
                </c:pt>
                <c:pt idx="1">
                  <c:v>2.2000000000000002</c:v>
                </c:pt>
                <c:pt idx="2">
                  <c:v>1.3</c:v>
                </c:pt>
                <c:pt idx="3">
                  <c:v>2</c:v>
                </c:pt>
                <c:pt idx="4">
                  <c:v>2</c:v>
                </c:pt>
                <c:pt idx="5">
                  <c:v>2.9</c:v>
                </c:pt>
              </c:numCache>
            </c:numRef>
          </c:val>
          <c:extLst>
            <c:ext xmlns:c16="http://schemas.microsoft.com/office/drawing/2014/chart" uri="{C3380CC4-5D6E-409C-BE32-E72D297353CC}">
              <c16:uniqueId val="{00000002-FBDD-4332-883E-8B96752AEDCE}"/>
            </c:ext>
          </c:extLst>
        </c:ser>
        <c:ser>
          <c:idx val="3"/>
          <c:order val="3"/>
          <c:tx>
            <c:strRef>
              <c:f>Liceal!$Q$2</c:f>
              <c:strCache>
                <c:ptCount val="1"/>
                <c:pt idx="0">
                  <c:v>2009 2010</c:v>
                </c:pt>
              </c:strCache>
            </c:strRef>
          </c:tx>
          <c:invertIfNegative val="0"/>
          <c:cat>
            <c:strRef>
              <c:f>Liceal!$A$4:$A$9</c:f>
              <c:strCache>
                <c:ptCount val="6"/>
                <c:pt idx="0">
                  <c:v>România</c:v>
                </c:pt>
                <c:pt idx="1">
                  <c:v>Vest </c:v>
                </c:pt>
                <c:pt idx="2">
                  <c:v>Arad</c:v>
                </c:pt>
                <c:pt idx="3">
                  <c:v>Caraş-Severin</c:v>
                </c:pt>
                <c:pt idx="4">
                  <c:v>Hunedoara</c:v>
                </c:pt>
                <c:pt idx="5">
                  <c:v>Timiş</c:v>
                </c:pt>
              </c:strCache>
            </c:strRef>
          </c:cat>
          <c:val>
            <c:numRef>
              <c:f>Liceal!$Q$4:$Q$9</c:f>
              <c:numCache>
                <c:formatCode>General</c:formatCode>
                <c:ptCount val="6"/>
                <c:pt idx="0">
                  <c:v>2.2000000000000002</c:v>
                </c:pt>
                <c:pt idx="1">
                  <c:v>2.2999999999999998</c:v>
                </c:pt>
                <c:pt idx="2">
                  <c:v>1.2</c:v>
                </c:pt>
                <c:pt idx="3">
                  <c:v>2.5</c:v>
                </c:pt>
                <c:pt idx="4">
                  <c:v>2.6</c:v>
                </c:pt>
                <c:pt idx="5">
                  <c:v>2.6</c:v>
                </c:pt>
              </c:numCache>
            </c:numRef>
          </c:val>
          <c:extLst>
            <c:ext xmlns:c16="http://schemas.microsoft.com/office/drawing/2014/chart" uri="{C3380CC4-5D6E-409C-BE32-E72D297353CC}">
              <c16:uniqueId val="{00000003-FBDD-4332-883E-8B96752AEDCE}"/>
            </c:ext>
          </c:extLst>
        </c:ser>
        <c:ser>
          <c:idx val="4"/>
          <c:order val="4"/>
          <c:tx>
            <c:strRef>
              <c:f>Liceal!$V$2</c:f>
              <c:strCache>
                <c:ptCount val="1"/>
                <c:pt idx="0">
                  <c:v>2010 2011</c:v>
                </c:pt>
              </c:strCache>
            </c:strRef>
          </c:tx>
          <c:invertIfNegative val="0"/>
          <c:cat>
            <c:strRef>
              <c:f>Liceal!$A$4:$A$9</c:f>
              <c:strCache>
                <c:ptCount val="6"/>
                <c:pt idx="0">
                  <c:v>România</c:v>
                </c:pt>
                <c:pt idx="1">
                  <c:v>Vest </c:v>
                </c:pt>
                <c:pt idx="2">
                  <c:v>Arad</c:v>
                </c:pt>
                <c:pt idx="3">
                  <c:v>Caraş-Severin</c:v>
                </c:pt>
                <c:pt idx="4">
                  <c:v>Hunedoara</c:v>
                </c:pt>
                <c:pt idx="5">
                  <c:v>Timiş</c:v>
                </c:pt>
              </c:strCache>
            </c:strRef>
          </c:cat>
          <c:val>
            <c:numRef>
              <c:f>Liceal!$V$4:$V$9</c:f>
              <c:numCache>
                <c:formatCode>General</c:formatCode>
                <c:ptCount val="6"/>
                <c:pt idx="0">
                  <c:v>3.2</c:v>
                </c:pt>
                <c:pt idx="1">
                  <c:v>3.9</c:v>
                </c:pt>
                <c:pt idx="2">
                  <c:v>3.3</c:v>
                </c:pt>
                <c:pt idx="3">
                  <c:v>3.7</c:v>
                </c:pt>
                <c:pt idx="4">
                  <c:v>3.2</c:v>
                </c:pt>
                <c:pt idx="5">
                  <c:v>4.8</c:v>
                </c:pt>
              </c:numCache>
            </c:numRef>
          </c:val>
          <c:extLst>
            <c:ext xmlns:c16="http://schemas.microsoft.com/office/drawing/2014/chart" uri="{C3380CC4-5D6E-409C-BE32-E72D297353CC}">
              <c16:uniqueId val="{00000004-FBDD-4332-883E-8B96752AEDCE}"/>
            </c:ext>
          </c:extLst>
        </c:ser>
        <c:dLbls>
          <c:showLegendKey val="0"/>
          <c:showVal val="0"/>
          <c:showCatName val="0"/>
          <c:showSerName val="0"/>
          <c:showPercent val="0"/>
          <c:showBubbleSize val="0"/>
        </c:dLbls>
        <c:gapWidth val="75"/>
        <c:overlap val="-25"/>
        <c:axId val="124785408"/>
        <c:axId val="124786944"/>
      </c:barChart>
      <c:catAx>
        <c:axId val="124785408"/>
        <c:scaling>
          <c:orientation val="minMax"/>
        </c:scaling>
        <c:delete val="0"/>
        <c:axPos val="b"/>
        <c:numFmt formatCode="General" sourceLinked="1"/>
        <c:majorTickMark val="none"/>
        <c:minorTickMark val="none"/>
        <c:tickLblPos val="nextTo"/>
        <c:crossAx val="124786944"/>
        <c:crosses val="autoZero"/>
        <c:auto val="1"/>
        <c:lblAlgn val="ctr"/>
        <c:lblOffset val="100"/>
        <c:noMultiLvlLbl val="0"/>
      </c:catAx>
      <c:valAx>
        <c:axId val="124786944"/>
        <c:scaling>
          <c:orientation val="minMax"/>
        </c:scaling>
        <c:delete val="0"/>
        <c:axPos val="l"/>
        <c:majorGridlines/>
        <c:numFmt formatCode="General" sourceLinked="1"/>
        <c:majorTickMark val="none"/>
        <c:minorTickMark val="none"/>
        <c:tickLblPos val="nextTo"/>
        <c:spPr>
          <a:ln w="9525">
            <a:noFill/>
          </a:ln>
        </c:spPr>
        <c:crossAx val="124785408"/>
        <c:crosses val="autoZero"/>
        <c:crossBetween val="between"/>
      </c:valAx>
    </c:plotArea>
    <c:legend>
      <c:legendPos val="b"/>
      <c:overlay val="0"/>
    </c:legend>
    <c:plotVisOnly val="1"/>
    <c:dispBlanksAs val="gap"/>
    <c:showDLblsOverMax val="0"/>
  </c:chart>
  <c:externalData r:id="rId1">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a:lstStyle/>
          <a:p>
            <a:pPr>
              <a:defRPr sz="1100" b="0">
                <a:latin typeface="Arial" pitchFamily="34" charset="0"/>
                <a:cs typeface="Arial" pitchFamily="34" charset="0"/>
              </a:defRPr>
            </a:pPr>
            <a:r>
              <a:rPr lang="en-US" sz="1100" b="0">
                <a:latin typeface="Arial" pitchFamily="34" charset="0"/>
                <a:cs typeface="Arial" pitchFamily="34" charset="0"/>
              </a:rPr>
              <a:t>Evolu</a:t>
            </a:r>
            <a:r>
              <a:rPr lang="ro-RO" sz="1100" b="0">
                <a:latin typeface="Arial" pitchFamily="34" charset="0"/>
                <a:cs typeface="Arial" pitchFamily="34" charset="0"/>
              </a:rPr>
              <a:t>ţia ratei de părăsire timpurie a sistemului educaţional 8-24 ani - în%</a:t>
            </a:r>
          </a:p>
        </c:rich>
      </c:tx>
      <c:overlay val="0"/>
    </c:title>
    <c:autoTitleDeleted val="0"/>
    <c:plotArea>
      <c:layout/>
      <c:barChart>
        <c:barDir val="col"/>
        <c:grouping val="clustered"/>
        <c:varyColors val="0"/>
        <c:ser>
          <c:idx val="0"/>
          <c:order val="0"/>
          <c:tx>
            <c:strRef>
              <c:f>'Rata de parasire timpurie'!$B$22</c:f>
              <c:strCache>
                <c:ptCount val="1"/>
                <c:pt idx="0">
                  <c:v>2000</c:v>
                </c:pt>
              </c:strCache>
            </c:strRef>
          </c:tx>
          <c:invertIfNegative val="0"/>
          <c:cat>
            <c:strRef>
              <c:f>'Rata de parasire timpurie'!$A$23:$A$32</c:f>
              <c:strCache>
                <c:ptCount val="10"/>
                <c:pt idx="0">
                  <c:v>UE (28 state)</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'Rata de parasire timpurie'!$B$23:$B$32</c:f>
              <c:numCache>
                <c:formatCode>#,##0.0</c:formatCode>
                <c:ptCount val="10"/>
                <c:pt idx="0" formatCode="General">
                  <c:v>0</c:v>
                </c:pt>
                <c:pt idx="1">
                  <c:v>22.9</c:v>
                </c:pt>
                <c:pt idx="2">
                  <c:v>23.7</c:v>
                </c:pt>
                <c:pt idx="3">
                  <c:v>22.1</c:v>
                </c:pt>
                <c:pt idx="4">
                  <c:v>29</c:v>
                </c:pt>
                <c:pt idx="5">
                  <c:v>23.8</c:v>
                </c:pt>
                <c:pt idx="6">
                  <c:v>22.1</c:v>
                </c:pt>
                <c:pt idx="7">
                  <c:v>11.6</c:v>
                </c:pt>
                <c:pt idx="8">
                  <c:v>22.6</c:v>
                </c:pt>
                <c:pt idx="9">
                  <c:v>23.7</c:v>
                </c:pt>
              </c:numCache>
            </c:numRef>
          </c:val>
          <c:extLst>
            <c:ext xmlns:c16="http://schemas.microsoft.com/office/drawing/2014/chart" uri="{C3380CC4-5D6E-409C-BE32-E72D297353CC}">
              <c16:uniqueId val="{00000000-2F22-46A8-A3B8-87FA79E93C85}"/>
            </c:ext>
          </c:extLst>
        </c:ser>
        <c:ser>
          <c:idx val="1"/>
          <c:order val="1"/>
          <c:tx>
            <c:strRef>
              <c:f>'Rata de parasire timpurie'!$C$22</c:f>
              <c:strCache>
                <c:ptCount val="1"/>
                <c:pt idx="0">
                  <c:v>2001</c:v>
                </c:pt>
              </c:strCache>
            </c:strRef>
          </c:tx>
          <c:invertIfNegative val="0"/>
          <c:cat>
            <c:strRef>
              <c:f>'Rata de parasire timpurie'!$A$23:$A$32</c:f>
              <c:strCache>
                <c:ptCount val="10"/>
                <c:pt idx="0">
                  <c:v>UE (28 state)</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'Rata de parasire timpurie'!$C$23:$C$32</c:f>
              <c:numCache>
                <c:formatCode>#,##0.0</c:formatCode>
                <c:ptCount val="10"/>
                <c:pt idx="0" formatCode="General">
                  <c:v>0</c:v>
                </c:pt>
                <c:pt idx="1">
                  <c:v>21.7</c:v>
                </c:pt>
                <c:pt idx="2">
                  <c:v>25</c:v>
                </c:pt>
                <c:pt idx="3">
                  <c:v>18.3</c:v>
                </c:pt>
                <c:pt idx="4">
                  <c:v>26.3</c:v>
                </c:pt>
                <c:pt idx="5">
                  <c:v>23.1</c:v>
                </c:pt>
                <c:pt idx="6">
                  <c:v>23.5</c:v>
                </c:pt>
                <c:pt idx="7">
                  <c:v>11.6</c:v>
                </c:pt>
                <c:pt idx="8">
                  <c:v>19.600000000000001</c:v>
                </c:pt>
                <c:pt idx="9">
                  <c:v>21.3</c:v>
                </c:pt>
              </c:numCache>
            </c:numRef>
          </c:val>
          <c:extLst>
            <c:ext xmlns:c16="http://schemas.microsoft.com/office/drawing/2014/chart" uri="{C3380CC4-5D6E-409C-BE32-E72D297353CC}">
              <c16:uniqueId val="{00000001-2F22-46A8-A3B8-87FA79E93C85}"/>
            </c:ext>
          </c:extLst>
        </c:ser>
        <c:ser>
          <c:idx val="2"/>
          <c:order val="2"/>
          <c:tx>
            <c:strRef>
              <c:f>'Rata de parasire timpurie'!$D$22</c:f>
              <c:strCache>
                <c:ptCount val="1"/>
                <c:pt idx="0">
                  <c:v>2002</c:v>
                </c:pt>
              </c:strCache>
            </c:strRef>
          </c:tx>
          <c:invertIfNegative val="0"/>
          <c:cat>
            <c:strRef>
              <c:f>'Rata de parasire timpurie'!$A$23:$A$32</c:f>
              <c:strCache>
                <c:ptCount val="10"/>
                <c:pt idx="0">
                  <c:v>UE (28 state)</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'Rata de parasire timpurie'!$D$23:$D$32</c:f>
              <c:numCache>
                <c:formatCode>#,##0.0</c:formatCode>
                <c:ptCount val="10"/>
                <c:pt idx="0">
                  <c:v>17</c:v>
                </c:pt>
                <c:pt idx="1">
                  <c:v>23</c:v>
                </c:pt>
                <c:pt idx="2">
                  <c:v>28</c:v>
                </c:pt>
                <c:pt idx="3">
                  <c:v>17.600000000000001</c:v>
                </c:pt>
                <c:pt idx="4">
                  <c:v>29.2</c:v>
                </c:pt>
                <c:pt idx="5">
                  <c:v>23.9</c:v>
                </c:pt>
                <c:pt idx="6">
                  <c:v>25.2</c:v>
                </c:pt>
                <c:pt idx="7">
                  <c:v>14.3</c:v>
                </c:pt>
                <c:pt idx="8">
                  <c:v>18</c:v>
                </c:pt>
                <c:pt idx="9">
                  <c:v>20.9</c:v>
                </c:pt>
              </c:numCache>
            </c:numRef>
          </c:val>
          <c:extLst>
            <c:ext xmlns:c16="http://schemas.microsoft.com/office/drawing/2014/chart" uri="{C3380CC4-5D6E-409C-BE32-E72D297353CC}">
              <c16:uniqueId val="{00000002-2F22-46A8-A3B8-87FA79E93C85}"/>
            </c:ext>
          </c:extLst>
        </c:ser>
        <c:ser>
          <c:idx val="3"/>
          <c:order val="3"/>
          <c:tx>
            <c:strRef>
              <c:f>'Rata de parasire timpurie'!$E$22</c:f>
              <c:strCache>
                <c:ptCount val="1"/>
                <c:pt idx="0">
                  <c:v>2003</c:v>
                </c:pt>
              </c:strCache>
            </c:strRef>
          </c:tx>
          <c:invertIfNegative val="0"/>
          <c:cat>
            <c:strRef>
              <c:f>'Rata de parasire timpurie'!$A$23:$A$32</c:f>
              <c:strCache>
                <c:ptCount val="10"/>
                <c:pt idx="0">
                  <c:v>UE (28 state)</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'Rata de parasire timpurie'!$E$23:$E$32</c:f>
              <c:numCache>
                <c:formatCode>#,##0.0</c:formatCode>
                <c:ptCount val="10"/>
                <c:pt idx="0">
                  <c:v>16.399999999999999</c:v>
                </c:pt>
                <c:pt idx="1">
                  <c:v>22.5</c:v>
                </c:pt>
                <c:pt idx="2">
                  <c:v>25.3</c:v>
                </c:pt>
                <c:pt idx="3">
                  <c:v>21.1</c:v>
                </c:pt>
                <c:pt idx="4">
                  <c:v>28</c:v>
                </c:pt>
                <c:pt idx="5">
                  <c:v>22.7</c:v>
                </c:pt>
                <c:pt idx="6">
                  <c:v>24.4</c:v>
                </c:pt>
                <c:pt idx="7">
                  <c:v>14.1</c:v>
                </c:pt>
                <c:pt idx="8">
                  <c:v>17.600000000000001</c:v>
                </c:pt>
                <c:pt idx="9">
                  <c:v>22.4</c:v>
                </c:pt>
              </c:numCache>
            </c:numRef>
          </c:val>
          <c:extLst>
            <c:ext xmlns:c16="http://schemas.microsoft.com/office/drawing/2014/chart" uri="{C3380CC4-5D6E-409C-BE32-E72D297353CC}">
              <c16:uniqueId val="{00000003-2F22-46A8-A3B8-87FA79E93C85}"/>
            </c:ext>
          </c:extLst>
        </c:ser>
        <c:ser>
          <c:idx val="4"/>
          <c:order val="4"/>
          <c:tx>
            <c:strRef>
              <c:f>'Rata de parasire timpurie'!$F$22</c:f>
              <c:strCache>
                <c:ptCount val="1"/>
                <c:pt idx="0">
                  <c:v>2004</c:v>
                </c:pt>
              </c:strCache>
            </c:strRef>
          </c:tx>
          <c:invertIfNegative val="0"/>
          <c:cat>
            <c:strRef>
              <c:f>'Rata de parasire timpurie'!$A$23:$A$32</c:f>
              <c:strCache>
                <c:ptCount val="10"/>
                <c:pt idx="0">
                  <c:v>UE (28 state)</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'Rata de parasire timpurie'!$F$23:$F$32</c:f>
              <c:numCache>
                <c:formatCode>#,##0.0</c:formatCode>
                <c:ptCount val="10"/>
                <c:pt idx="0">
                  <c:v>16</c:v>
                </c:pt>
                <c:pt idx="1">
                  <c:v>22.4</c:v>
                </c:pt>
                <c:pt idx="2">
                  <c:v>20.399999999999999</c:v>
                </c:pt>
                <c:pt idx="3">
                  <c:v>19.100000000000001</c:v>
                </c:pt>
                <c:pt idx="4">
                  <c:v>25.6</c:v>
                </c:pt>
                <c:pt idx="5">
                  <c:v>27.5</c:v>
                </c:pt>
                <c:pt idx="6">
                  <c:v>26</c:v>
                </c:pt>
                <c:pt idx="7">
                  <c:v>12.8</c:v>
                </c:pt>
                <c:pt idx="8">
                  <c:v>21.2</c:v>
                </c:pt>
                <c:pt idx="9">
                  <c:v>22.8</c:v>
                </c:pt>
              </c:numCache>
            </c:numRef>
          </c:val>
          <c:extLst>
            <c:ext xmlns:c16="http://schemas.microsoft.com/office/drawing/2014/chart" uri="{C3380CC4-5D6E-409C-BE32-E72D297353CC}">
              <c16:uniqueId val="{00000004-2F22-46A8-A3B8-87FA79E93C85}"/>
            </c:ext>
          </c:extLst>
        </c:ser>
        <c:ser>
          <c:idx val="5"/>
          <c:order val="5"/>
          <c:tx>
            <c:strRef>
              <c:f>'Rata de parasire timpurie'!$G$22</c:f>
              <c:strCache>
                <c:ptCount val="1"/>
                <c:pt idx="0">
                  <c:v>2005</c:v>
                </c:pt>
              </c:strCache>
            </c:strRef>
          </c:tx>
          <c:invertIfNegative val="0"/>
          <c:cat>
            <c:strRef>
              <c:f>'Rata de parasire timpurie'!$A$23:$A$32</c:f>
              <c:strCache>
                <c:ptCount val="10"/>
                <c:pt idx="0">
                  <c:v>UE (28 state)</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'Rata de parasire timpurie'!$G$23:$G$32</c:f>
              <c:numCache>
                <c:formatCode>#,##0.0</c:formatCode>
                <c:ptCount val="10"/>
                <c:pt idx="0">
                  <c:v>15.7</c:v>
                </c:pt>
                <c:pt idx="1">
                  <c:v>19.600000000000001</c:v>
                </c:pt>
                <c:pt idx="2">
                  <c:v>16.5</c:v>
                </c:pt>
                <c:pt idx="3">
                  <c:v>17.100000000000001</c:v>
                </c:pt>
                <c:pt idx="4">
                  <c:v>21.4</c:v>
                </c:pt>
                <c:pt idx="5">
                  <c:v>24.1</c:v>
                </c:pt>
                <c:pt idx="6">
                  <c:v>24</c:v>
                </c:pt>
                <c:pt idx="7">
                  <c:v>12.5</c:v>
                </c:pt>
                <c:pt idx="8">
                  <c:v>21</c:v>
                </c:pt>
                <c:pt idx="9">
                  <c:v>16.2</c:v>
                </c:pt>
              </c:numCache>
            </c:numRef>
          </c:val>
          <c:extLst>
            <c:ext xmlns:c16="http://schemas.microsoft.com/office/drawing/2014/chart" uri="{C3380CC4-5D6E-409C-BE32-E72D297353CC}">
              <c16:uniqueId val="{00000005-2F22-46A8-A3B8-87FA79E93C85}"/>
            </c:ext>
          </c:extLst>
        </c:ser>
        <c:ser>
          <c:idx val="6"/>
          <c:order val="6"/>
          <c:tx>
            <c:strRef>
              <c:f>'Rata de parasire timpurie'!$H$22</c:f>
              <c:strCache>
                <c:ptCount val="1"/>
                <c:pt idx="0">
                  <c:v>2006</c:v>
                </c:pt>
              </c:strCache>
            </c:strRef>
          </c:tx>
          <c:invertIfNegative val="0"/>
          <c:cat>
            <c:strRef>
              <c:f>'Rata de parasire timpurie'!$A$23:$A$32</c:f>
              <c:strCache>
                <c:ptCount val="10"/>
                <c:pt idx="0">
                  <c:v>UE (28 state)</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'Rata de parasire timpurie'!$H$23:$H$32</c:f>
              <c:numCache>
                <c:formatCode>#,##0.0</c:formatCode>
                <c:ptCount val="10"/>
                <c:pt idx="0">
                  <c:v>15.3</c:v>
                </c:pt>
                <c:pt idx="1">
                  <c:v>17.899999999999999</c:v>
                </c:pt>
                <c:pt idx="2">
                  <c:v>15.3</c:v>
                </c:pt>
                <c:pt idx="3">
                  <c:v>15.4</c:v>
                </c:pt>
                <c:pt idx="4">
                  <c:v>19.2</c:v>
                </c:pt>
                <c:pt idx="5">
                  <c:v>21.4</c:v>
                </c:pt>
                <c:pt idx="6">
                  <c:v>23.1</c:v>
                </c:pt>
                <c:pt idx="7">
                  <c:v>10.3</c:v>
                </c:pt>
                <c:pt idx="8">
                  <c:v>19.3</c:v>
                </c:pt>
                <c:pt idx="9">
                  <c:v>14.9</c:v>
                </c:pt>
              </c:numCache>
            </c:numRef>
          </c:val>
          <c:extLst>
            <c:ext xmlns:c16="http://schemas.microsoft.com/office/drawing/2014/chart" uri="{C3380CC4-5D6E-409C-BE32-E72D297353CC}">
              <c16:uniqueId val="{00000006-2F22-46A8-A3B8-87FA79E93C85}"/>
            </c:ext>
          </c:extLst>
        </c:ser>
        <c:ser>
          <c:idx val="7"/>
          <c:order val="7"/>
          <c:tx>
            <c:strRef>
              <c:f>'Rata de parasire timpurie'!$I$22</c:f>
              <c:strCache>
                <c:ptCount val="1"/>
                <c:pt idx="0">
                  <c:v>2007</c:v>
                </c:pt>
              </c:strCache>
            </c:strRef>
          </c:tx>
          <c:invertIfNegative val="0"/>
          <c:cat>
            <c:strRef>
              <c:f>'Rata de parasire timpurie'!$A$23:$A$32</c:f>
              <c:strCache>
                <c:ptCount val="10"/>
                <c:pt idx="0">
                  <c:v>UE (28 state)</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'Rata de parasire timpurie'!$I$23:$I$32</c:f>
              <c:numCache>
                <c:formatCode>#,##0.0</c:formatCode>
                <c:ptCount val="10"/>
                <c:pt idx="0">
                  <c:v>14.9</c:v>
                </c:pt>
                <c:pt idx="1">
                  <c:v>17.3</c:v>
                </c:pt>
                <c:pt idx="2">
                  <c:v>12.5</c:v>
                </c:pt>
                <c:pt idx="3">
                  <c:v>14.8</c:v>
                </c:pt>
                <c:pt idx="4">
                  <c:v>19.7</c:v>
                </c:pt>
                <c:pt idx="5">
                  <c:v>21.4</c:v>
                </c:pt>
                <c:pt idx="6">
                  <c:v>21.8</c:v>
                </c:pt>
                <c:pt idx="7">
                  <c:v>12</c:v>
                </c:pt>
                <c:pt idx="8">
                  <c:v>16.399999999999999</c:v>
                </c:pt>
                <c:pt idx="9">
                  <c:v>15.3</c:v>
                </c:pt>
              </c:numCache>
            </c:numRef>
          </c:val>
          <c:extLst>
            <c:ext xmlns:c16="http://schemas.microsoft.com/office/drawing/2014/chart" uri="{C3380CC4-5D6E-409C-BE32-E72D297353CC}">
              <c16:uniqueId val="{00000007-2F22-46A8-A3B8-87FA79E93C85}"/>
            </c:ext>
          </c:extLst>
        </c:ser>
        <c:ser>
          <c:idx val="8"/>
          <c:order val="8"/>
          <c:tx>
            <c:strRef>
              <c:f>'Rata de parasire timpurie'!$J$22</c:f>
              <c:strCache>
                <c:ptCount val="1"/>
                <c:pt idx="0">
                  <c:v>2008</c:v>
                </c:pt>
              </c:strCache>
            </c:strRef>
          </c:tx>
          <c:invertIfNegative val="0"/>
          <c:cat>
            <c:strRef>
              <c:f>'Rata de parasire timpurie'!$A$23:$A$32</c:f>
              <c:strCache>
                <c:ptCount val="10"/>
                <c:pt idx="0">
                  <c:v>UE (28 state)</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'Rata de parasire timpurie'!$J$23:$J$32</c:f>
              <c:numCache>
                <c:formatCode>#,##0.0</c:formatCode>
                <c:ptCount val="10"/>
                <c:pt idx="0">
                  <c:v>14.7</c:v>
                </c:pt>
                <c:pt idx="1">
                  <c:v>15.9</c:v>
                </c:pt>
                <c:pt idx="2">
                  <c:v>12.2</c:v>
                </c:pt>
                <c:pt idx="3">
                  <c:v>13.6</c:v>
                </c:pt>
                <c:pt idx="4">
                  <c:v>18.399999999999999</c:v>
                </c:pt>
                <c:pt idx="5">
                  <c:v>19.2</c:v>
                </c:pt>
                <c:pt idx="6">
                  <c:v>20.5</c:v>
                </c:pt>
                <c:pt idx="7">
                  <c:v>10.6</c:v>
                </c:pt>
                <c:pt idx="8">
                  <c:v>15.7</c:v>
                </c:pt>
                <c:pt idx="9">
                  <c:v>12.6</c:v>
                </c:pt>
              </c:numCache>
            </c:numRef>
          </c:val>
          <c:extLst>
            <c:ext xmlns:c16="http://schemas.microsoft.com/office/drawing/2014/chart" uri="{C3380CC4-5D6E-409C-BE32-E72D297353CC}">
              <c16:uniqueId val="{00000008-2F22-46A8-A3B8-87FA79E93C85}"/>
            </c:ext>
          </c:extLst>
        </c:ser>
        <c:ser>
          <c:idx val="9"/>
          <c:order val="9"/>
          <c:tx>
            <c:strRef>
              <c:f>'Rata de parasire timpurie'!$K$22</c:f>
              <c:strCache>
                <c:ptCount val="1"/>
                <c:pt idx="0">
                  <c:v>2009</c:v>
                </c:pt>
              </c:strCache>
            </c:strRef>
          </c:tx>
          <c:invertIfNegative val="0"/>
          <c:cat>
            <c:strRef>
              <c:f>'Rata de parasire timpurie'!$A$23:$A$32</c:f>
              <c:strCache>
                <c:ptCount val="10"/>
                <c:pt idx="0">
                  <c:v>UE (28 state)</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'Rata de parasire timpurie'!$K$23:$K$32</c:f>
              <c:numCache>
                <c:formatCode>#,##0.0</c:formatCode>
                <c:ptCount val="10"/>
                <c:pt idx="0">
                  <c:v>14.2</c:v>
                </c:pt>
                <c:pt idx="1">
                  <c:v>16.600000000000001</c:v>
                </c:pt>
                <c:pt idx="2">
                  <c:v>15.1</c:v>
                </c:pt>
                <c:pt idx="3">
                  <c:v>16</c:v>
                </c:pt>
                <c:pt idx="4">
                  <c:v>19.2</c:v>
                </c:pt>
                <c:pt idx="5">
                  <c:v>18.3</c:v>
                </c:pt>
                <c:pt idx="6">
                  <c:v>20.5</c:v>
                </c:pt>
                <c:pt idx="7">
                  <c:v>9.9</c:v>
                </c:pt>
                <c:pt idx="8">
                  <c:v>18</c:v>
                </c:pt>
                <c:pt idx="9">
                  <c:v>11.3</c:v>
                </c:pt>
              </c:numCache>
            </c:numRef>
          </c:val>
          <c:extLst>
            <c:ext xmlns:c16="http://schemas.microsoft.com/office/drawing/2014/chart" uri="{C3380CC4-5D6E-409C-BE32-E72D297353CC}">
              <c16:uniqueId val="{00000009-2F22-46A8-A3B8-87FA79E93C85}"/>
            </c:ext>
          </c:extLst>
        </c:ser>
        <c:ser>
          <c:idx val="10"/>
          <c:order val="10"/>
          <c:tx>
            <c:strRef>
              <c:f>'Rata de parasire timpurie'!$L$22</c:f>
              <c:strCache>
                <c:ptCount val="1"/>
                <c:pt idx="0">
                  <c:v>2010</c:v>
                </c:pt>
              </c:strCache>
            </c:strRef>
          </c:tx>
          <c:invertIfNegative val="0"/>
          <c:cat>
            <c:strRef>
              <c:f>'Rata de parasire timpurie'!$A$23:$A$32</c:f>
              <c:strCache>
                <c:ptCount val="10"/>
                <c:pt idx="0">
                  <c:v>UE (28 state)</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'Rata de parasire timpurie'!$L$23:$L$32</c:f>
              <c:numCache>
                <c:formatCode>#,##0.0</c:formatCode>
                <c:ptCount val="10"/>
                <c:pt idx="0">
                  <c:v>13.9</c:v>
                </c:pt>
                <c:pt idx="1">
                  <c:v>18.399999999999999</c:v>
                </c:pt>
                <c:pt idx="2">
                  <c:v>17.2</c:v>
                </c:pt>
                <c:pt idx="3">
                  <c:v>19.8</c:v>
                </c:pt>
                <c:pt idx="4">
                  <c:v>22.7</c:v>
                </c:pt>
                <c:pt idx="5">
                  <c:v>20.7</c:v>
                </c:pt>
                <c:pt idx="6">
                  <c:v>20.8</c:v>
                </c:pt>
                <c:pt idx="7">
                  <c:v>11</c:v>
                </c:pt>
                <c:pt idx="8">
                  <c:v>18.3</c:v>
                </c:pt>
                <c:pt idx="9">
                  <c:v>10</c:v>
                </c:pt>
              </c:numCache>
            </c:numRef>
          </c:val>
          <c:extLst>
            <c:ext xmlns:c16="http://schemas.microsoft.com/office/drawing/2014/chart" uri="{C3380CC4-5D6E-409C-BE32-E72D297353CC}">
              <c16:uniqueId val="{0000000A-2F22-46A8-A3B8-87FA79E93C85}"/>
            </c:ext>
          </c:extLst>
        </c:ser>
        <c:ser>
          <c:idx val="11"/>
          <c:order val="11"/>
          <c:tx>
            <c:strRef>
              <c:f>'Rata de parasire timpurie'!$M$22</c:f>
              <c:strCache>
                <c:ptCount val="1"/>
                <c:pt idx="0">
                  <c:v>2011</c:v>
                </c:pt>
              </c:strCache>
            </c:strRef>
          </c:tx>
          <c:invertIfNegative val="0"/>
          <c:cat>
            <c:strRef>
              <c:f>'Rata de parasire timpurie'!$A$23:$A$32</c:f>
              <c:strCache>
                <c:ptCount val="10"/>
                <c:pt idx="0">
                  <c:v>UE (28 state)</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'Rata de parasire timpurie'!$M$23:$M$32</c:f>
              <c:numCache>
                <c:formatCode>#,##0.0</c:formatCode>
                <c:ptCount val="10"/>
                <c:pt idx="0">
                  <c:v>13.4</c:v>
                </c:pt>
                <c:pt idx="1">
                  <c:v>17.5</c:v>
                </c:pt>
                <c:pt idx="2">
                  <c:v>14.7</c:v>
                </c:pt>
                <c:pt idx="3">
                  <c:v>21.8</c:v>
                </c:pt>
                <c:pt idx="4">
                  <c:v>21.6</c:v>
                </c:pt>
                <c:pt idx="5">
                  <c:v>19.600000000000001</c:v>
                </c:pt>
                <c:pt idx="6">
                  <c:v>20.399999999999999</c:v>
                </c:pt>
                <c:pt idx="7">
                  <c:v>9.6</c:v>
                </c:pt>
                <c:pt idx="8">
                  <c:v>16.399999999999999</c:v>
                </c:pt>
                <c:pt idx="9">
                  <c:v>9.7000000000000011</c:v>
                </c:pt>
              </c:numCache>
            </c:numRef>
          </c:val>
          <c:extLst>
            <c:ext xmlns:c16="http://schemas.microsoft.com/office/drawing/2014/chart" uri="{C3380CC4-5D6E-409C-BE32-E72D297353CC}">
              <c16:uniqueId val="{0000000B-2F22-46A8-A3B8-87FA79E93C85}"/>
            </c:ext>
          </c:extLst>
        </c:ser>
        <c:ser>
          <c:idx val="12"/>
          <c:order val="12"/>
          <c:tx>
            <c:strRef>
              <c:f>'Rata de parasire timpurie'!$N$22</c:f>
              <c:strCache>
                <c:ptCount val="1"/>
                <c:pt idx="0">
                  <c:v>2012</c:v>
                </c:pt>
              </c:strCache>
            </c:strRef>
          </c:tx>
          <c:invertIfNegative val="0"/>
          <c:cat>
            <c:strRef>
              <c:f>'Rata de parasire timpurie'!$A$23:$A$32</c:f>
              <c:strCache>
                <c:ptCount val="10"/>
                <c:pt idx="0">
                  <c:v>UE (28 state)</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'Rata de parasire timpurie'!$N$23:$N$32</c:f>
              <c:numCache>
                <c:formatCode>#,##0.0</c:formatCode>
                <c:ptCount val="10"/>
                <c:pt idx="0">
                  <c:v>12.7</c:v>
                </c:pt>
                <c:pt idx="1">
                  <c:v>17.399999999999999</c:v>
                </c:pt>
                <c:pt idx="2">
                  <c:v>14.9</c:v>
                </c:pt>
                <c:pt idx="3">
                  <c:v>19</c:v>
                </c:pt>
                <c:pt idx="4">
                  <c:v>21.6</c:v>
                </c:pt>
                <c:pt idx="5">
                  <c:v>18.600000000000001</c:v>
                </c:pt>
                <c:pt idx="6">
                  <c:v>21.3</c:v>
                </c:pt>
                <c:pt idx="7">
                  <c:v>7.4</c:v>
                </c:pt>
                <c:pt idx="8">
                  <c:v>16</c:v>
                </c:pt>
                <c:pt idx="9">
                  <c:v>13.6</c:v>
                </c:pt>
              </c:numCache>
            </c:numRef>
          </c:val>
          <c:extLst>
            <c:ext xmlns:c16="http://schemas.microsoft.com/office/drawing/2014/chart" uri="{C3380CC4-5D6E-409C-BE32-E72D297353CC}">
              <c16:uniqueId val="{0000000C-2F22-46A8-A3B8-87FA79E93C85}"/>
            </c:ext>
          </c:extLst>
        </c:ser>
        <c:ser>
          <c:idx val="13"/>
          <c:order val="13"/>
          <c:tx>
            <c:strRef>
              <c:f>'Rata de parasire timpurie'!$O$22</c:f>
              <c:strCache>
                <c:ptCount val="1"/>
                <c:pt idx="0">
                  <c:v>2013</c:v>
                </c:pt>
              </c:strCache>
            </c:strRef>
          </c:tx>
          <c:invertIfNegative val="0"/>
          <c:cat>
            <c:strRef>
              <c:f>'Rata de parasire timpurie'!$A$23:$A$32</c:f>
              <c:strCache>
                <c:ptCount val="10"/>
                <c:pt idx="0">
                  <c:v>UE (28 state)</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'Rata de parasire timpurie'!$O$23:$O$32</c:f>
              <c:numCache>
                <c:formatCode>#,##0.0</c:formatCode>
                <c:ptCount val="10"/>
                <c:pt idx="0">
                  <c:v>12</c:v>
                </c:pt>
                <c:pt idx="1">
                  <c:v>17.3</c:v>
                </c:pt>
                <c:pt idx="2">
                  <c:v>15.9</c:v>
                </c:pt>
                <c:pt idx="3">
                  <c:v>17.899999999999999</c:v>
                </c:pt>
                <c:pt idx="4">
                  <c:v>22.5</c:v>
                </c:pt>
                <c:pt idx="5">
                  <c:v>18.2</c:v>
                </c:pt>
                <c:pt idx="6">
                  <c:v>20.5</c:v>
                </c:pt>
                <c:pt idx="7">
                  <c:v>7.3</c:v>
                </c:pt>
                <c:pt idx="8">
                  <c:v>14.9</c:v>
                </c:pt>
                <c:pt idx="9">
                  <c:v>14.2</c:v>
                </c:pt>
              </c:numCache>
            </c:numRef>
          </c:val>
          <c:extLst>
            <c:ext xmlns:c16="http://schemas.microsoft.com/office/drawing/2014/chart" uri="{C3380CC4-5D6E-409C-BE32-E72D297353CC}">
              <c16:uniqueId val="{0000000D-2F22-46A8-A3B8-87FA79E93C85}"/>
            </c:ext>
          </c:extLst>
        </c:ser>
        <c:ser>
          <c:idx val="14"/>
          <c:order val="14"/>
          <c:tx>
            <c:strRef>
              <c:f>'Rata de parasire timpurie'!$P$22</c:f>
              <c:strCache>
                <c:ptCount val="1"/>
                <c:pt idx="0">
                  <c:v>2014</c:v>
                </c:pt>
              </c:strCache>
            </c:strRef>
          </c:tx>
          <c:invertIfNegative val="0"/>
          <c:cat>
            <c:strRef>
              <c:f>'Rata de parasire timpurie'!$A$23:$A$32</c:f>
              <c:strCache>
                <c:ptCount val="10"/>
                <c:pt idx="0">
                  <c:v>UE (28 state)</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'Rata de parasire timpurie'!$P$23:$P$32</c:f>
              <c:numCache>
                <c:formatCode>#,##0.0</c:formatCode>
                <c:ptCount val="10"/>
                <c:pt idx="0">
                  <c:v>12.7</c:v>
                </c:pt>
                <c:pt idx="1">
                  <c:v>17.399999999999999</c:v>
                </c:pt>
                <c:pt idx="2">
                  <c:v>14.9</c:v>
                </c:pt>
                <c:pt idx="3">
                  <c:v>19</c:v>
                </c:pt>
                <c:pt idx="4">
                  <c:v>21.6</c:v>
                </c:pt>
                <c:pt idx="5">
                  <c:v>18.600000000000001</c:v>
                </c:pt>
                <c:pt idx="6">
                  <c:v>21.3</c:v>
                </c:pt>
                <c:pt idx="7">
                  <c:v>7.4</c:v>
                </c:pt>
                <c:pt idx="8">
                  <c:v>16</c:v>
                </c:pt>
                <c:pt idx="9">
                  <c:v>13.6</c:v>
                </c:pt>
              </c:numCache>
            </c:numRef>
          </c:val>
          <c:extLst>
            <c:ext xmlns:c16="http://schemas.microsoft.com/office/drawing/2014/chart" uri="{C3380CC4-5D6E-409C-BE32-E72D297353CC}">
              <c16:uniqueId val="{0000000E-2F22-46A8-A3B8-87FA79E93C85}"/>
            </c:ext>
          </c:extLst>
        </c:ser>
        <c:ser>
          <c:idx val="15"/>
          <c:order val="15"/>
          <c:tx>
            <c:strRef>
              <c:f>'Rata de parasire timpurie'!$Q$22</c:f>
              <c:strCache>
                <c:ptCount val="1"/>
                <c:pt idx="0">
                  <c:v>2015</c:v>
                </c:pt>
              </c:strCache>
            </c:strRef>
          </c:tx>
          <c:invertIfNegative val="0"/>
          <c:cat>
            <c:strRef>
              <c:f>'Rata de parasire timpurie'!$A$23:$A$32</c:f>
              <c:strCache>
                <c:ptCount val="10"/>
                <c:pt idx="0">
                  <c:v>UE (28 state)</c:v>
                </c:pt>
                <c:pt idx="1">
                  <c:v>Romania</c:v>
                </c:pt>
                <c:pt idx="2">
                  <c:v>Nord-Vest</c:v>
                </c:pt>
                <c:pt idx="3">
                  <c:v>Centru</c:v>
                </c:pt>
                <c:pt idx="4">
                  <c:v>Nord-Est</c:v>
                </c:pt>
                <c:pt idx="5">
                  <c:v>Sud-Est</c:v>
                </c:pt>
                <c:pt idx="6">
                  <c:v>Sud - Muntenia</c:v>
                </c:pt>
                <c:pt idx="7">
                  <c:v>Bucuresti - Ilfov</c:v>
                </c:pt>
                <c:pt idx="8">
                  <c:v>Sud-Vest Oltenia</c:v>
                </c:pt>
                <c:pt idx="9">
                  <c:v>Vest</c:v>
                </c:pt>
              </c:strCache>
            </c:strRef>
          </c:cat>
          <c:val>
            <c:numRef>
              <c:f>'Rata de parasire timpurie'!$Q$23:$Q$32</c:f>
              <c:numCache>
                <c:formatCode>#,##0.0</c:formatCode>
                <c:ptCount val="10"/>
                <c:pt idx="0">
                  <c:v>12</c:v>
                </c:pt>
                <c:pt idx="1">
                  <c:v>17.3</c:v>
                </c:pt>
                <c:pt idx="2">
                  <c:v>15.9</c:v>
                </c:pt>
                <c:pt idx="3">
                  <c:v>17.899999999999999</c:v>
                </c:pt>
                <c:pt idx="4">
                  <c:v>22.5</c:v>
                </c:pt>
                <c:pt idx="5">
                  <c:v>18.2</c:v>
                </c:pt>
                <c:pt idx="6">
                  <c:v>20.5</c:v>
                </c:pt>
                <c:pt idx="7">
                  <c:v>7.3</c:v>
                </c:pt>
                <c:pt idx="8">
                  <c:v>14.9</c:v>
                </c:pt>
                <c:pt idx="9">
                  <c:v>14.2</c:v>
                </c:pt>
              </c:numCache>
            </c:numRef>
          </c:val>
          <c:extLst>
            <c:ext xmlns:c16="http://schemas.microsoft.com/office/drawing/2014/chart" uri="{C3380CC4-5D6E-409C-BE32-E72D297353CC}">
              <c16:uniqueId val="{0000000F-2F22-46A8-A3B8-87FA79E93C85}"/>
            </c:ext>
          </c:extLst>
        </c:ser>
        <c:dLbls>
          <c:showLegendKey val="0"/>
          <c:showVal val="0"/>
          <c:showCatName val="0"/>
          <c:showSerName val="0"/>
          <c:showPercent val="0"/>
          <c:showBubbleSize val="0"/>
        </c:dLbls>
        <c:gapWidth val="75"/>
        <c:overlap val="-25"/>
        <c:axId val="125400960"/>
        <c:axId val="125402496"/>
      </c:barChart>
      <c:catAx>
        <c:axId val="125400960"/>
        <c:scaling>
          <c:orientation val="minMax"/>
        </c:scaling>
        <c:delete val="0"/>
        <c:axPos val="b"/>
        <c:numFmt formatCode="General" sourceLinked="1"/>
        <c:majorTickMark val="none"/>
        <c:minorTickMark val="none"/>
        <c:tickLblPos val="nextTo"/>
        <c:crossAx val="125402496"/>
        <c:crosses val="autoZero"/>
        <c:auto val="1"/>
        <c:lblAlgn val="ctr"/>
        <c:lblOffset val="100"/>
        <c:noMultiLvlLbl val="0"/>
      </c:catAx>
      <c:valAx>
        <c:axId val="125402496"/>
        <c:scaling>
          <c:orientation val="minMax"/>
        </c:scaling>
        <c:delete val="0"/>
        <c:axPos val="l"/>
        <c:majorGridlines/>
        <c:numFmt formatCode="General" sourceLinked="1"/>
        <c:majorTickMark val="none"/>
        <c:minorTickMark val="none"/>
        <c:tickLblPos val="nextTo"/>
        <c:spPr>
          <a:ln w="9525">
            <a:noFill/>
          </a:ln>
        </c:spPr>
        <c:crossAx val="125400960"/>
        <c:crosses val="autoZero"/>
        <c:crossBetween val="between"/>
      </c:valAx>
    </c:plotArea>
    <c:legend>
      <c:legendPos val="b"/>
      <c:overlay val="0"/>
    </c:legend>
    <c:plotVisOnly val="1"/>
    <c:dispBlanksAs val="gap"/>
    <c:showDLblsOverMax val="0"/>
  </c:chart>
  <c:externalData r:id="rId1">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latin typeface="Arial Narrow" panose="020B0606020202030204" pitchFamily="34" charset="0"/>
              </a:defRPr>
            </a:pPr>
            <a:r>
              <a:rPr lang="ro-RO" sz="1200">
                <a:latin typeface="Arial Narrow" panose="020B0606020202030204" pitchFamily="34" charset="0"/>
              </a:rPr>
              <a:t>Evoluţia</a:t>
            </a:r>
            <a:r>
              <a:rPr lang="ro-RO" sz="1200" baseline="0">
                <a:latin typeface="Arial Narrow" panose="020B0606020202030204" pitchFamily="34" charset="0"/>
              </a:rPr>
              <a:t> nivelurilor de competenţă în citire, în România</a:t>
            </a:r>
            <a:endParaRPr lang="vi-VN" sz="1200"/>
          </a:p>
        </c:rich>
      </c:tx>
      <c:layout>
        <c:manualLayout>
          <c:xMode val="edge"/>
          <c:yMode val="edge"/>
          <c:x val="0.15938271604938273"/>
          <c:y val="3.125E-2"/>
        </c:manualLayout>
      </c:layout>
      <c:overlay val="0"/>
    </c:title>
    <c:autoTitleDeleted val="0"/>
    <c:plotArea>
      <c:layout/>
      <c:lineChart>
        <c:grouping val="standard"/>
        <c:varyColors val="0"/>
        <c:ser>
          <c:idx val="0"/>
          <c:order val="0"/>
          <c:tx>
            <c:strRef>
              <c:f>'PISA CITIRE'!$B$42</c:f>
              <c:strCache>
                <c:ptCount val="1"/>
                <c:pt idx="0">
                  <c:v>Sub nivelul 2</c:v>
                </c:pt>
              </c:strCache>
            </c:strRef>
          </c:tx>
          <c:marker>
            <c:symbol val="triangle"/>
            <c:size val="5"/>
          </c:marker>
          <c:dLbls>
            <c:spPr>
              <a:noFill/>
              <a:ln>
                <a:noFill/>
              </a:ln>
              <a:effectLst/>
            </c:spPr>
            <c:txPr>
              <a:bodyPr/>
              <a:lstStyle/>
              <a:p>
                <a:pPr>
                  <a:defRPr b="1">
                    <a:latin typeface="Arial Narrow" panose="020B0606020202030204" pitchFamily="34"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'PISA CITIRE'!$C$41:$E$41</c:f>
              <c:strCache>
                <c:ptCount val="3"/>
                <c:pt idx="0">
                  <c:v>PISA 2009</c:v>
                </c:pt>
                <c:pt idx="1">
                  <c:v>PISA 2012</c:v>
                </c:pt>
                <c:pt idx="2">
                  <c:v> PISA 2015</c:v>
                </c:pt>
              </c:strCache>
            </c:strRef>
          </c:cat>
          <c:val>
            <c:numRef>
              <c:f>'PISA CITIRE'!$C$42:$E$42</c:f>
              <c:numCache>
                <c:formatCode>0.0</c:formatCode>
                <c:ptCount val="3"/>
                <c:pt idx="0">
                  <c:v>40.399739216684253</c:v>
                </c:pt>
                <c:pt idx="1">
                  <c:v>37.263926747055613</c:v>
                </c:pt>
                <c:pt idx="2">
                  <c:v>38.714807925680994</c:v>
                </c:pt>
              </c:numCache>
            </c:numRef>
          </c:val>
          <c:smooth val="0"/>
          <c:extLst>
            <c:ext xmlns:c16="http://schemas.microsoft.com/office/drawing/2014/chart" uri="{C3380CC4-5D6E-409C-BE32-E72D297353CC}">
              <c16:uniqueId val="{00000000-8F33-4111-A499-B73D5EFD5634}"/>
            </c:ext>
          </c:extLst>
        </c:ser>
        <c:ser>
          <c:idx val="1"/>
          <c:order val="1"/>
          <c:tx>
            <c:strRef>
              <c:f>'PISA CITIRE'!$B$43</c:f>
              <c:strCache>
                <c:ptCount val="1"/>
                <c:pt idx="0">
                  <c:v>Nivelul 5 sau peste</c:v>
                </c:pt>
              </c:strCache>
            </c:strRef>
          </c:tx>
          <c:marker>
            <c:symbol val="triangle"/>
            <c:size val="5"/>
          </c:marker>
          <c:dLbls>
            <c:spPr>
              <a:noFill/>
              <a:ln>
                <a:noFill/>
              </a:ln>
              <a:effectLst/>
            </c:spPr>
            <c:txPr>
              <a:bodyPr/>
              <a:lstStyle/>
              <a:p>
                <a:pPr>
                  <a:defRPr b="1">
                    <a:latin typeface="Arial Narrow" panose="020B0606020202030204" pitchFamily="34"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'PISA CITIRE'!$C$41:$E$41</c:f>
              <c:strCache>
                <c:ptCount val="3"/>
                <c:pt idx="0">
                  <c:v>PISA 2009</c:v>
                </c:pt>
                <c:pt idx="1">
                  <c:v>PISA 2012</c:v>
                </c:pt>
                <c:pt idx="2">
                  <c:v> PISA 2015</c:v>
                </c:pt>
              </c:strCache>
            </c:strRef>
          </c:cat>
          <c:val>
            <c:numRef>
              <c:f>'PISA CITIRE'!$C$43:$E$43</c:f>
              <c:numCache>
                <c:formatCode>0.0</c:formatCode>
                <c:ptCount val="3"/>
                <c:pt idx="0">
                  <c:v>0.71572959412681059</c:v>
                </c:pt>
                <c:pt idx="1">
                  <c:v>1.6207539840241021</c:v>
                </c:pt>
                <c:pt idx="2">
                  <c:v>1.9958419990353649</c:v>
                </c:pt>
              </c:numCache>
            </c:numRef>
          </c:val>
          <c:smooth val="0"/>
          <c:extLst>
            <c:ext xmlns:c16="http://schemas.microsoft.com/office/drawing/2014/chart" uri="{C3380CC4-5D6E-409C-BE32-E72D297353CC}">
              <c16:uniqueId val="{00000001-8F33-4111-A499-B73D5EFD5634}"/>
            </c:ext>
          </c:extLst>
        </c:ser>
        <c:dLbls>
          <c:showLegendKey val="0"/>
          <c:showVal val="0"/>
          <c:showCatName val="0"/>
          <c:showSerName val="0"/>
          <c:showPercent val="0"/>
          <c:showBubbleSize val="0"/>
        </c:dLbls>
        <c:marker val="1"/>
        <c:smooth val="0"/>
        <c:axId val="125425920"/>
        <c:axId val="125435904"/>
      </c:lineChart>
      <c:catAx>
        <c:axId val="125425920"/>
        <c:scaling>
          <c:orientation val="minMax"/>
        </c:scaling>
        <c:delete val="0"/>
        <c:axPos val="b"/>
        <c:numFmt formatCode="General" sourceLinked="0"/>
        <c:majorTickMark val="none"/>
        <c:minorTickMark val="none"/>
        <c:tickLblPos val="nextTo"/>
        <c:txPr>
          <a:bodyPr/>
          <a:lstStyle/>
          <a:p>
            <a:pPr>
              <a:defRPr b="1"/>
            </a:pPr>
            <a:endParaRPr lang="en-US"/>
          </a:p>
        </c:txPr>
        <c:crossAx val="125435904"/>
        <c:crosses val="autoZero"/>
        <c:auto val="1"/>
        <c:lblAlgn val="ctr"/>
        <c:lblOffset val="100"/>
        <c:noMultiLvlLbl val="0"/>
      </c:catAx>
      <c:valAx>
        <c:axId val="125435904"/>
        <c:scaling>
          <c:orientation val="minMax"/>
        </c:scaling>
        <c:delete val="0"/>
        <c:axPos val="l"/>
        <c:majorGridlines/>
        <c:numFmt formatCode="0.0" sourceLinked="1"/>
        <c:majorTickMark val="none"/>
        <c:minorTickMark val="none"/>
        <c:tickLblPos val="nextTo"/>
        <c:txPr>
          <a:bodyPr/>
          <a:lstStyle/>
          <a:p>
            <a:pPr>
              <a:defRPr>
                <a:latin typeface="Arial Narrow" panose="020B0606020202030204" pitchFamily="34" charset="0"/>
              </a:defRPr>
            </a:pPr>
            <a:endParaRPr lang="en-US"/>
          </a:p>
        </c:txPr>
        <c:crossAx val="125425920"/>
        <c:crosses val="autoZero"/>
        <c:crossBetween val="between"/>
      </c:valAx>
    </c:plotArea>
    <c:legend>
      <c:legendPos val="b"/>
      <c:overlay val="0"/>
      <c:txPr>
        <a:bodyPr/>
        <a:lstStyle/>
        <a:p>
          <a:pPr>
            <a:defRPr b="1">
              <a:latin typeface="Arial Narrow" panose="020B0606020202030204" pitchFamily="34" charset="0"/>
            </a:defRPr>
          </a:pPr>
          <a:endParaRPr lang="en-US"/>
        </a:p>
      </c:txPr>
    </c:legend>
    <c:plotVisOnly val="1"/>
    <c:dispBlanksAs val="gap"/>
    <c:showDLblsOverMax val="0"/>
  </c:chart>
  <c:externalData r:id="rId1">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latin typeface="Arial Narrow" panose="020B0606020202030204" pitchFamily="34" charset="0"/>
              </a:defRPr>
            </a:pPr>
            <a:r>
              <a:rPr lang="ro-RO" sz="1200">
                <a:latin typeface="Arial Narrow" panose="020B0606020202030204" pitchFamily="34" charset="0"/>
              </a:rPr>
              <a:t>Evoluţia</a:t>
            </a:r>
            <a:r>
              <a:rPr lang="ro-RO" sz="1200" baseline="0">
                <a:latin typeface="Arial Narrow" panose="020B0606020202030204" pitchFamily="34" charset="0"/>
              </a:rPr>
              <a:t> nivelurilor de competenţă în matematică, în România</a:t>
            </a:r>
            <a:endParaRPr lang="vi-VN" sz="1200"/>
          </a:p>
        </c:rich>
      </c:tx>
      <c:overlay val="0"/>
    </c:title>
    <c:autoTitleDeleted val="0"/>
    <c:plotArea>
      <c:layout/>
      <c:lineChart>
        <c:grouping val="standard"/>
        <c:varyColors val="0"/>
        <c:ser>
          <c:idx val="0"/>
          <c:order val="0"/>
          <c:tx>
            <c:strRef>
              <c:f>'PISA MATEMATICĂ'!$B$42</c:f>
              <c:strCache>
                <c:ptCount val="1"/>
                <c:pt idx="0">
                  <c:v>Sub nivelul 2 </c:v>
                </c:pt>
              </c:strCache>
            </c:strRef>
          </c:tx>
          <c:marker>
            <c:symbol val="triangle"/>
            <c:size val="5"/>
          </c:marker>
          <c:dLbls>
            <c:spPr>
              <a:noFill/>
              <a:ln>
                <a:noFill/>
              </a:ln>
              <a:effectLst/>
            </c:spPr>
            <c:txPr>
              <a:bodyPr/>
              <a:lstStyle/>
              <a:p>
                <a:pPr>
                  <a:defRPr b="1">
                    <a:latin typeface="Arial Narrow" panose="020B0606020202030204" pitchFamily="34"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'PISA MATEMATICĂ'!$C$41:$F$41</c:f>
              <c:strCache>
                <c:ptCount val="4"/>
                <c:pt idx="0">
                  <c:v>PISA 2006</c:v>
                </c:pt>
                <c:pt idx="1">
                  <c:v>PISA 2009</c:v>
                </c:pt>
                <c:pt idx="2">
                  <c:v> PISA 2012</c:v>
                </c:pt>
                <c:pt idx="3">
                  <c:v>PISA 2015</c:v>
                </c:pt>
              </c:strCache>
            </c:strRef>
          </c:cat>
          <c:val>
            <c:numRef>
              <c:f>'PISA MATEMATICĂ'!$C$42:$F$42</c:f>
              <c:numCache>
                <c:formatCode>0.0</c:formatCode>
                <c:ptCount val="4"/>
                <c:pt idx="0">
                  <c:v>52.743776109579613</c:v>
                </c:pt>
                <c:pt idx="1">
                  <c:v>47.018933781766876</c:v>
                </c:pt>
                <c:pt idx="2">
                  <c:v>40.824299239727146</c:v>
                </c:pt>
                <c:pt idx="3">
                  <c:v>39.946429521070094</c:v>
                </c:pt>
              </c:numCache>
            </c:numRef>
          </c:val>
          <c:smooth val="0"/>
          <c:extLst>
            <c:ext xmlns:c16="http://schemas.microsoft.com/office/drawing/2014/chart" uri="{C3380CC4-5D6E-409C-BE32-E72D297353CC}">
              <c16:uniqueId val="{00000000-34EA-49A1-B580-D86CED394A47}"/>
            </c:ext>
          </c:extLst>
        </c:ser>
        <c:ser>
          <c:idx val="1"/>
          <c:order val="1"/>
          <c:tx>
            <c:strRef>
              <c:f>'PISA MATEMATICĂ'!$B$43</c:f>
              <c:strCache>
                <c:ptCount val="1"/>
                <c:pt idx="0">
                  <c:v>Nivelul 5 sau peste </c:v>
                </c:pt>
              </c:strCache>
            </c:strRef>
          </c:tx>
          <c:marker>
            <c:symbol val="triangle"/>
            <c:size val="5"/>
          </c:marker>
          <c:dLbls>
            <c:spPr>
              <a:noFill/>
              <a:ln>
                <a:noFill/>
              </a:ln>
              <a:effectLst/>
            </c:spPr>
            <c:txPr>
              <a:bodyPr/>
              <a:lstStyle/>
              <a:p>
                <a:pPr>
                  <a:defRPr b="1">
                    <a:latin typeface="Arial Narrow" panose="020B0606020202030204" pitchFamily="34"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'PISA MATEMATICĂ'!$C$41:$F$41</c:f>
              <c:strCache>
                <c:ptCount val="4"/>
                <c:pt idx="0">
                  <c:v>PISA 2006</c:v>
                </c:pt>
                <c:pt idx="1">
                  <c:v>PISA 2009</c:v>
                </c:pt>
                <c:pt idx="2">
                  <c:v> PISA 2012</c:v>
                </c:pt>
                <c:pt idx="3">
                  <c:v>PISA 2015</c:v>
                </c:pt>
              </c:strCache>
            </c:strRef>
          </c:cat>
          <c:val>
            <c:numRef>
              <c:f>'PISA MATEMATICĂ'!$C$43:$F$43</c:f>
              <c:numCache>
                <c:formatCode>0.0</c:formatCode>
                <c:ptCount val="4"/>
                <c:pt idx="0">
                  <c:v>1.2701110744192929</c:v>
                </c:pt>
                <c:pt idx="1">
                  <c:v>1.2554230194196725</c:v>
                </c:pt>
                <c:pt idx="2">
                  <c:v>3.1775056313675498</c:v>
                </c:pt>
                <c:pt idx="3">
                  <c:v>3.2517934902124872</c:v>
                </c:pt>
              </c:numCache>
            </c:numRef>
          </c:val>
          <c:smooth val="0"/>
          <c:extLst>
            <c:ext xmlns:c16="http://schemas.microsoft.com/office/drawing/2014/chart" uri="{C3380CC4-5D6E-409C-BE32-E72D297353CC}">
              <c16:uniqueId val="{00000001-34EA-49A1-B580-D86CED394A47}"/>
            </c:ext>
          </c:extLst>
        </c:ser>
        <c:dLbls>
          <c:showLegendKey val="0"/>
          <c:showVal val="0"/>
          <c:showCatName val="0"/>
          <c:showSerName val="0"/>
          <c:showPercent val="0"/>
          <c:showBubbleSize val="0"/>
        </c:dLbls>
        <c:marker val="1"/>
        <c:smooth val="0"/>
        <c:axId val="125461632"/>
        <c:axId val="125463168"/>
      </c:lineChart>
      <c:catAx>
        <c:axId val="125461632"/>
        <c:scaling>
          <c:orientation val="minMax"/>
        </c:scaling>
        <c:delete val="0"/>
        <c:axPos val="b"/>
        <c:numFmt formatCode="General" sourceLinked="0"/>
        <c:majorTickMark val="none"/>
        <c:minorTickMark val="none"/>
        <c:tickLblPos val="nextTo"/>
        <c:txPr>
          <a:bodyPr/>
          <a:lstStyle/>
          <a:p>
            <a:pPr>
              <a:defRPr b="1"/>
            </a:pPr>
            <a:endParaRPr lang="en-US"/>
          </a:p>
        </c:txPr>
        <c:crossAx val="125463168"/>
        <c:crosses val="autoZero"/>
        <c:auto val="1"/>
        <c:lblAlgn val="ctr"/>
        <c:lblOffset val="100"/>
        <c:noMultiLvlLbl val="0"/>
      </c:catAx>
      <c:valAx>
        <c:axId val="125463168"/>
        <c:scaling>
          <c:orientation val="minMax"/>
        </c:scaling>
        <c:delete val="0"/>
        <c:axPos val="l"/>
        <c:majorGridlines/>
        <c:numFmt formatCode="0.0" sourceLinked="1"/>
        <c:majorTickMark val="none"/>
        <c:minorTickMark val="none"/>
        <c:tickLblPos val="nextTo"/>
        <c:txPr>
          <a:bodyPr/>
          <a:lstStyle/>
          <a:p>
            <a:pPr>
              <a:defRPr>
                <a:latin typeface="Arial Narrow" panose="020B0606020202030204" pitchFamily="34" charset="0"/>
              </a:defRPr>
            </a:pPr>
            <a:endParaRPr lang="en-US"/>
          </a:p>
        </c:txPr>
        <c:crossAx val="125461632"/>
        <c:crosses val="autoZero"/>
        <c:crossBetween val="between"/>
      </c:valAx>
    </c:plotArea>
    <c:legend>
      <c:legendPos val="b"/>
      <c:layout>
        <c:manualLayout>
          <c:xMode val="edge"/>
          <c:yMode val="edge"/>
          <c:x val="4.9999828900135913E-2"/>
          <c:y val="0.79153355830521155"/>
          <c:w val="0.9"/>
          <c:h val="0.13648418947631558"/>
        </c:manualLayout>
      </c:layout>
      <c:overlay val="0"/>
      <c:txPr>
        <a:bodyPr/>
        <a:lstStyle/>
        <a:p>
          <a:pPr>
            <a:defRPr b="1">
              <a:latin typeface="Arial Narrow" panose="020B0606020202030204" pitchFamily="34" charset="0"/>
            </a:defRPr>
          </a:pPr>
          <a:endParaRPr lang="en-US"/>
        </a:p>
      </c:txPr>
    </c:legend>
    <c:plotVisOnly val="1"/>
    <c:dispBlanksAs val="gap"/>
    <c:showDLblsOverMax val="0"/>
  </c:chart>
  <c:externalData r:id="rId1">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b="0">
                <a:latin typeface="Arial Narrow" panose="020B0606020202030204" pitchFamily="34" charset="0"/>
              </a:defRPr>
            </a:pPr>
            <a:r>
              <a:rPr lang="ro-RO" sz="1100" b="0">
                <a:latin typeface="Arial Narrow" panose="020B0606020202030204" pitchFamily="34" charset="0"/>
              </a:rPr>
              <a:t>Evoluţia</a:t>
            </a:r>
            <a:r>
              <a:rPr lang="ro-RO" sz="1100" b="0" baseline="0">
                <a:latin typeface="Arial Narrow" panose="020B0606020202030204" pitchFamily="34" charset="0"/>
              </a:rPr>
              <a:t> p</a:t>
            </a:r>
            <a:r>
              <a:rPr lang="ro-RO" sz="1100" b="0">
                <a:latin typeface="Arial Narrow" panose="020B0606020202030204" pitchFamily="34" charset="0"/>
              </a:rPr>
              <a:t>onderilor tinerilor  NEET</a:t>
            </a:r>
            <a:endParaRPr lang="vi-VN" sz="1100" b="0"/>
          </a:p>
        </c:rich>
      </c:tx>
      <c:overlay val="0"/>
    </c:title>
    <c:autoTitleDeleted val="0"/>
    <c:plotArea>
      <c:layout/>
      <c:barChart>
        <c:barDir val="col"/>
        <c:grouping val="clustered"/>
        <c:varyColors val="0"/>
        <c:ser>
          <c:idx val="0"/>
          <c:order val="0"/>
          <c:tx>
            <c:strRef>
              <c:f>Foaie1!$A$7:$B$7</c:f>
              <c:strCache>
                <c:ptCount val="1"/>
                <c:pt idx="0">
                  <c:v>Uniunea Europeană (28 state) Toate nivelurie ISCED 2011</c:v>
                </c:pt>
              </c:strCache>
            </c:strRef>
          </c:tx>
          <c:invertIfNegative val="0"/>
          <c:dLbls>
            <c:spPr>
              <a:noFill/>
              <a:ln>
                <a:noFill/>
              </a:ln>
              <a:effectLst/>
            </c:spPr>
            <c:txPr>
              <a:bodyPr/>
              <a:lstStyle/>
              <a:p>
                <a:pPr>
                  <a:defRPr b="1">
                    <a:latin typeface="Arial Narrow" panose="020B0606020202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Foaie1!$C$6:$L$6</c:f>
              <c:strCache>
                <c:ptCount val="10"/>
                <c:pt idx="0">
                  <c:v>2007</c:v>
                </c:pt>
                <c:pt idx="1">
                  <c:v>2008</c:v>
                </c:pt>
                <c:pt idx="2">
                  <c:v>2009</c:v>
                </c:pt>
                <c:pt idx="3">
                  <c:v>2010</c:v>
                </c:pt>
                <c:pt idx="4">
                  <c:v>2011</c:v>
                </c:pt>
                <c:pt idx="5">
                  <c:v>2012</c:v>
                </c:pt>
                <c:pt idx="6">
                  <c:v>2013</c:v>
                </c:pt>
                <c:pt idx="7">
                  <c:v>2014</c:v>
                </c:pt>
                <c:pt idx="8">
                  <c:v>2015</c:v>
                </c:pt>
                <c:pt idx="9">
                  <c:v>2016</c:v>
                </c:pt>
              </c:strCache>
            </c:strRef>
          </c:cat>
          <c:val>
            <c:numRef>
              <c:f>Foaie1!$C$7:$L$7</c:f>
              <c:numCache>
                <c:formatCode>#,##0.0</c:formatCode>
                <c:ptCount val="10"/>
                <c:pt idx="0">
                  <c:v>15.2</c:v>
                </c:pt>
                <c:pt idx="1">
                  <c:v>15</c:v>
                </c:pt>
                <c:pt idx="2">
                  <c:v>17.5</c:v>
                </c:pt>
                <c:pt idx="3">
                  <c:v>18</c:v>
                </c:pt>
                <c:pt idx="4">
                  <c:v>18.3</c:v>
                </c:pt>
                <c:pt idx="5">
                  <c:v>18.8</c:v>
                </c:pt>
                <c:pt idx="6">
                  <c:v>18.7</c:v>
                </c:pt>
                <c:pt idx="7">
                  <c:v>18</c:v>
                </c:pt>
                <c:pt idx="8">
                  <c:v>17.3</c:v>
                </c:pt>
                <c:pt idx="9">
                  <c:v>16.7</c:v>
                </c:pt>
              </c:numCache>
            </c:numRef>
          </c:val>
          <c:extLst>
            <c:ext xmlns:c16="http://schemas.microsoft.com/office/drawing/2014/chart" uri="{C3380CC4-5D6E-409C-BE32-E72D297353CC}">
              <c16:uniqueId val="{00000000-4C9B-4BFC-B9C0-A724C1FC774B}"/>
            </c:ext>
          </c:extLst>
        </c:ser>
        <c:ser>
          <c:idx val="1"/>
          <c:order val="1"/>
          <c:tx>
            <c:strRef>
              <c:f>Foaie1!$A$13:$B$13</c:f>
              <c:strCache>
                <c:ptCount val="1"/>
                <c:pt idx="0">
                  <c:v>România Toate nivelurie ISCED 2011</c:v>
                </c:pt>
              </c:strCache>
            </c:strRef>
          </c:tx>
          <c:invertIfNegative val="0"/>
          <c:dLbls>
            <c:spPr>
              <a:noFill/>
              <a:ln>
                <a:noFill/>
              </a:ln>
              <a:effectLst/>
            </c:spPr>
            <c:txPr>
              <a:bodyPr/>
              <a:lstStyle/>
              <a:p>
                <a:pPr>
                  <a:defRPr b="1">
                    <a:latin typeface="Arial Narrow" panose="020B0606020202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Foaie1!$C$6:$L$6</c:f>
              <c:strCache>
                <c:ptCount val="10"/>
                <c:pt idx="0">
                  <c:v>2007</c:v>
                </c:pt>
                <c:pt idx="1">
                  <c:v>2008</c:v>
                </c:pt>
                <c:pt idx="2">
                  <c:v>2009</c:v>
                </c:pt>
                <c:pt idx="3">
                  <c:v>2010</c:v>
                </c:pt>
                <c:pt idx="4">
                  <c:v>2011</c:v>
                </c:pt>
                <c:pt idx="5">
                  <c:v>2012</c:v>
                </c:pt>
                <c:pt idx="6">
                  <c:v>2013</c:v>
                </c:pt>
                <c:pt idx="7">
                  <c:v>2014</c:v>
                </c:pt>
                <c:pt idx="8">
                  <c:v>2015</c:v>
                </c:pt>
                <c:pt idx="9">
                  <c:v>2016</c:v>
                </c:pt>
              </c:strCache>
            </c:strRef>
          </c:cat>
          <c:val>
            <c:numRef>
              <c:f>Foaie1!$C$13:$L$13</c:f>
              <c:numCache>
                <c:formatCode>#,##0.0</c:formatCode>
                <c:ptCount val="10"/>
                <c:pt idx="0">
                  <c:v>16.5</c:v>
                </c:pt>
                <c:pt idx="1">
                  <c:v>13.8</c:v>
                </c:pt>
                <c:pt idx="2">
                  <c:v>17.3</c:v>
                </c:pt>
                <c:pt idx="3">
                  <c:v>22</c:v>
                </c:pt>
                <c:pt idx="4">
                  <c:v>23.2</c:v>
                </c:pt>
                <c:pt idx="5">
                  <c:v>22.1</c:v>
                </c:pt>
                <c:pt idx="6">
                  <c:v>22.9</c:v>
                </c:pt>
                <c:pt idx="7">
                  <c:v>23.1</c:v>
                </c:pt>
                <c:pt idx="8">
                  <c:v>24.1</c:v>
                </c:pt>
                <c:pt idx="9">
                  <c:v>23.6</c:v>
                </c:pt>
              </c:numCache>
            </c:numRef>
          </c:val>
          <c:extLst>
            <c:ext xmlns:c16="http://schemas.microsoft.com/office/drawing/2014/chart" uri="{C3380CC4-5D6E-409C-BE32-E72D297353CC}">
              <c16:uniqueId val="{00000001-4C9B-4BFC-B9C0-A724C1FC774B}"/>
            </c:ext>
          </c:extLst>
        </c:ser>
        <c:dLbls>
          <c:showLegendKey val="0"/>
          <c:showVal val="0"/>
          <c:showCatName val="0"/>
          <c:showSerName val="0"/>
          <c:showPercent val="0"/>
          <c:showBubbleSize val="0"/>
        </c:dLbls>
        <c:gapWidth val="81"/>
        <c:axId val="125636608"/>
        <c:axId val="125638144"/>
      </c:barChart>
      <c:catAx>
        <c:axId val="125636608"/>
        <c:scaling>
          <c:orientation val="minMax"/>
        </c:scaling>
        <c:delete val="0"/>
        <c:axPos val="b"/>
        <c:numFmt formatCode="General" sourceLinked="0"/>
        <c:majorTickMark val="none"/>
        <c:minorTickMark val="none"/>
        <c:tickLblPos val="nextTo"/>
        <c:txPr>
          <a:bodyPr/>
          <a:lstStyle/>
          <a:p>
            <a:pPr>
              <a:defRPr b="1">
                <a:latin typeface="Arial Narrow" panose="020B0606020202030204" pitchFamily="34" charset="0"/>
              </a:defRPr>
            </a:pPr>
            <a:endParaRPr lang="en-US"/>
          </a:p>
        </c:txPr>
        <c:crossAx val="125638144"/>
        <c:crosses val="autoZero"/>
        <c:auto val="1"/>
        <c:lblAlgn val="ctr"/>
        <c:lblOffset val="100"/>
        <c:noMultiLvlLbl val="0"/>
      </c:catAx>
      <c:valAx>
        <c:axId val="125638144"/>
        <c:scaling>
          <c:orientation val="minMax"/>
        </c:scaling>
        <c:delete val="0"/>
        <c:axPos val="l"/>
        <c:majorGridlines/>
        <c:numFmt formatCode="#,##0.0" sourceLinked="1"/>
        <c:majorTickMark val="none"/>
        <c:minorTickMark val="none"/>
        <c:tickLblPos val="nextTo"/>
        <c:txPr>
          <a:bodyPr/>
          <a:lstStyle/>
          <a:p>
            <a:pPr>
              <a:defRPr>
                <a:latin typeface="Arial Narrow" panose="020B0606020202030204" pitchFamily="34" charset="0"/>
              </a:defRPr>
            </a:pPr>
            <a:endParaRPr lang="en-US"/>
          </a:p>
        </c:txPr>
        <c:crossAx val="125636608"/>
        <c:crosses val="autoZero"/>
        <c:crossBetween val="between"/>
      </c:valAx>
    </c:plotArea>
    <c:legend>
      <c:legendPos val="b"/>
      <c:layout>
        <c:manualLayout>
          <c:xMode val="edge"/>
          <c:yMode val="edge"/>
          <c:x val="4.9999915857921989E-2"/>
          <c:y val="0.87809001553378629"/>
          <c:w val="0.9"/>
          <c:h val="0.10867782152230972"/>
        </c:manualLayout>
      </c:layout>
      <c:overlay val="0"/>
      <c:txPr>
        <a:bodyPr/>
        <a:lstStyle/>
        <a:p>
          <a:pPr>
            <a:defRPr b="0">
              <a:latin typeface="Arial Narrow" panose="020B0606020202030204" pitchFamily="34" charset="0"/>
            </a:defRPr>
          </a:pPr>
          <a:endParaRPr lang="en-US"/>
        </a:p>
      </c:txPr>
    </c:legend>
    <c:plotVisOnly val="1"/>
    <c:dispBlanksAs val="gap"/>
    <c:showDLblsOverMax val="0"/>
  </c:chart>
  <c:externalData r:id="rId1">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100" b="0" i="0" u="none" strike="noStrike" kern="1200" baseline="0">
                <a:solidFill>
                  <a:sysClr val="windowText" lastClr="000000"/>
                </a:solidFill>
                <a:latin typeface="Arial Narrow" panose="020B0606020202030204" pitchFamily="34" charset="0"/>
                <a:ea typeface="+mn-ea"/>
                <a:cs typeface="+mn-cs"/>
              </a:defRPr>
            </a:pPr>
            <a:r>
              <a:rPr lang="ro-RO" sz="1100" b="0" i="0" baseline="0">
                <a:effectLst/>
                <a:latin typeface="Arial Narrow" panose="020B0606020202030204" pitchFamily="34" charset="0"/>
              </a:rPr>
              <a:t>Rata de participare la educaţie şi formare profesională a populaţiei </a:t>
            </a:r>
          </a:p>
          <a:p>
            <a:pPr marL="0" marR="0" indent="0" algn="ctr" defTabSz="914400" rtl="0" eaLnBrk="1" fontAlgn="auto" latinLnBrk="0" hangingPunct="1">
              <a:lnSpc>
                <a:spcPct val="100000"/>
              </a:lnSpc>
              <a:spcBef>
                <a:spcPts val="0"/>
              </a:spcBef>
              <a:spcAft>
                <a:spcPts val="0"/>
              </a:spcAft>
              <a:buClrTx/>
              <a:buSzTx/>
              <a:buFontTx/>
              <a:buNone/>
              <a:tabLst/>
              <a:defRPr sz="1100" b="0" i="0" u="none" strike="noStrike" kern="1200" baseline="0">
                <a:solidFill>
                  <a:sysClr val="windowText" lastClr="000000"/>
                </a:solidFill>
                <a:latin typeface="Arial Narrow" panose="020B0606020202030204" pitchFamily="34" charset="0"/>
                <a:ea typeface="+mn-ea"/>
                <a:cs typeface="+mn-cs"/>
              </a:defRPr>
            </a:pPr>
            <a:r>
              <a:rPr lang="ro-RO" sz="1100" b="0" i="0" baseline="0">
                <a:effectLst/>
                <a:latin typeface="Arial Narrow" panose="020B0606020202030204" pitchFamily="34" charset="0"/>
              </a:rPr>
              <a:t>cu vârsta cuprinsă între 25 şi 64 ani</a:t>
            </a:r>
            <a:endParaRPr lang="ro-RO" sz="1100" b="0">
              <a:effectLst/>
              <a:latin typeface="Arial Narrow" panose="020B0606020202030204" pitchFamily="34" charset="0"/>
            </a:endParaRPr>
          </a:p>
          <a:p>
            <a:pPr marL="0" marR="0" indent="0" algn="ctr" defTabSz="914400" rtl="0" eaLnBrk="1" fontAlgn="auto" latinLnBrk="0" hangingPunct="1">
              <a:lnSpc>
                <a:spcPct val="100000"/>
              </a:lnSpc>
              <a:spcBef>
                <a:spcPts val="0"/>
              </a:spcBef>
              <a:spcAft>
                <a:spcPts val="0"/>
              </a:spcAft>
              <a:buClrTx/>
              <a:buSzTx/>
              <a:buFontTx/>
              <a:buNone/>
              <a:tabLst/>
              <a:defRPr sz="1100" b="0" i="0" u="none" strike="noStrike" kern="1200" baseline="0">
                <a:solidFill>
                  <a:sysClr val="windowText" lastClr="000000"/>
                </a:solidFill>
                <a:latin typeface="Arial Narrow" panose="020B0606020202030204" pitchFamily="34" charset="0"/>
                <a:ea typeface="+mn-ea"/>
                <a:cs typeface="+mn-cs"/>
              </a:defRPr>
            </a:pPr>
            <a:endParaRPr lang="vi-VN" sz="1100" b="0"/>
          </a:p>
        </c:rich>
      </c:tx>
      <c:layout>
        <c:manualLayout>
          <c:xMode val="edge"/>
          <c:yMode val="edge"/>
          <c:x val="0.15699919148953395"/>
          <c:y val="0"/>
        </c:manualLayout>
      </c:layout>
      <c:overlay val="0"/>
    </c:title>
    <c:autoTitleDeleted val="0"/>
    <c:plotArea>
      <c:layout/>
      <c:barChart>
        <c:barDir val="col"/>
        <c:grouping val="clustered"/>
        <c:varyColors val="0"/>
        <c:ser>
          <c:idx val="0"/>
          <c:order val="0"/>
          <c:tx>
            <c:strRef>
              <c:f>Data!$B$7</c:f>
              <c:strCache>
                <c:ptCount val="1"/>
                <c:pt idx="0">
                  <c:v>Uniunea Europeană (28 state)</c:v>
                </c:pt>
              </c:strCache>
            </c:strRef>
          </c:tx>
          <c:invertIfNegative val="0"/>
          <c:dLbls>
            <c:spPr>
              <a:noFill/>
              <a:ln>
                <a:noFill/>
              </a:ln>
              <a:effectLst/>
            </c:spPr>
            <c:txPr>
              <a:bodyPr/>
              <a:lstStyle/>
              <a:p>
                <a:pPr>
                  <a:defRPr b="1">
                    <a:latin typeface="Arial Narrow" panose="020B0606020202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trendline>
            <c:spPr>
              <a:ln w="19050">
                <a:solidFill>
                  <a:schemeClr val="tx2">
                    <a:lumMod val="60000"/>
                    <a:lumOff val="40000"/>
                  </a:schemeClr>
                </a:solidFill>
              </a:ln>
            </c:spPr>
            <c:trendlineType val="linear"/>
            <c:dispRSqr val="0"/>
            <c:dispEq val="0"/>
          </c:trendline>
          <c:cat>
            <c:strRef>
              <c:f>Data!$C$6:$G$6</c:f>
              <c:strCache>
                <c:ptCount val="5"/>
                <c:pt idx="0">
                  <c:v>2012</c:v>
                </c:pt>
                <c:pt idx="1">
                  <c:v>2013</c:v>
                </c:pt>
                <c:pt idx="2">
                  <c:v>2014</c:v>
                </c:pt>
                <c:pt idx="3">
                  <c:v>2015</c:v>
                </c:pt>
                <c:pt idx="4">
                  <c:v>2016</c:v>
                </c:pt>
              </c:strCache>
            </c:strRef>
          </c:cat>
          <c:val>
            <c:numRef>
              <c:f>Data!$C$7:$G$7</c:f>
              <c:numCache>
                <c:formatCode>#,##0.0</c:formatCode>
                <c:ptCount val="5"/>
                <c:pt idx="0">
                  <c:v>9.2000000000000011</c:v>
                </c:pt>
                <c:pt idx="1">
                  <c:v>10.7</c:v>
                </c:pt>
                <c:pt idx="2">
                  <c:v>10.8</c:v>
                </c:pt>
                <c:pt idx="3">
                  <c:v>10.7</c:v>
                </c:pt>
                <c:pt idx="4">
                  <c:v>10.8</c:v>
                </c:pt>
              </c:numCache>
            </c:numRef>
          </c:val>
          <c:extLst>
            <c:ext xmlns:c16="http://schemas.microsoft.com/office/drawing/2014/chart" uri="{C3380CC4-5D6E-409C-BE32-E72D297353CC}">
              <c16:uniqueId val="{00000001-056F-452F-82DD-BDB10F835EB9}"/>
            </c:ext>
          </c:extLst>
        </c:ser>
        <c:ser>
          <c:idx val="1"/>
          <c:order val="1"/>
          <c:tx>
            <c:strRef>
              <c:f>Data!$B$8</c:f>
              <c:strCache>
                <c:ptCount val="1"/>
                <c:pt idx="0">
                  <c:v>Romania</c:v>
                </c:pt>
              </c:strCache>
            </c:strRef>
          </c:tx>
          <c:invertIfNegative val="0"/>
          <c:dLbls>
            <c:spPr>
              <a:noFill/>
              <a:ln>
                <a:noFill/>
              </a:ln>
              <a:effectLst/>
            </c:spPr>
            <c:txPr>
              <a:bodyPr/>
              <a:lstStyle/>
              <a:p>
                <a:pPr>
                  <a:defRPr b="1">
                    <a:latin typeface="Arial Narrow" panose="020B0606020202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trendline>
            <c:spPr>
              <a:ln w="19050">
                <a:solidFill>
                  <a:schemeClr val="accent6">
                    <a:lumMod val="50000"/>
                  </a:schemeClr>
                </a:solidFill>
              </a:ln>
            </c:spPr>
            <c:trendlineType val="linear"/>
            <c:dispRSqr val="0"/>
            <c:dispEq val="0"/>
          </c:trendline>
          <c:cat>
            <c:strRef>
              <c:f>Data!$C$6:$G$6</c:f>
              <c:strCache>
                <c:ptCount val="5"/>
                <c:pt idx="0">
                  <c:v>2012</c:v>
                </c:pt>
                <c:pt idx="1">
                  <c:v>2013</c:v>
                </c:pt>
                <c:pt idx="2">
                  <c:v>2014</c:v>
                </c:pt>
                <c:pt idx="3">
                  <c:v>2015</c:v>
                </c:pt>
                <c:pt idx="4">
                  <c:v>2016</c:v>
                </c:pt>
              </c:strCache>
            </c:strRef>
          </c:cat>
          <c:val>
            <c:numRef>
              <c:f>Data!$C$8:$G$8</c:f>
              <c:numCache>
                <c:formatCode>#,##0.0</c:formatCode>
                <c:ptCount val="5"/>
                <c:pt idx="0">
                  <c:v>1.4</c:v>
                </c:pt>
                <c:pt idx="1">
                  <c:v>2</c:v>
                </c:pt>
                <c:pt idx="2">
                  <c:v>1.5</c:v>
                </c:pt>
                <c:pt idx="3">
                  <c:v>1.3</c:v>
                </c:pt>
                <c:pt idx="4">
                  <c:v>1.2</c:v>
                </c:pt>
              </c:numCache>
            </c:numRef>
          </c:val>
          <c:extLst>
            <c:ext xmlns:c16="http://schemas.microsoft.com/office/drawing/2014/chart" uri="{C3380CC4-5D6E-409C-BE32-E72D297353CC}">
              <c16:uniqueId val="{00000003-056F-452F-82DD-BDB10F835EB9}"/>
            </c:ext>
          </c:extLst>
        </c:ser>
        <c:dLbls>
          <c:showLegendKey val="0"/>
          <c:showVal val="0"/>
          <c:showCatName val="0"/>
          <c:showSerName val="0"/>
          <c:showPercent val="0"/>
          <c:showBubbleSize val="0"/>
        </c:dLbls>
        <c:gapWidth val="150"/>
        <c:axId val="125690240"/>
        <c:axId val="125691776"/>
      </c:barChart>
      <c:catAx>
        <c:axId val="125690240"/>
        <c:scaling>
          <c:orientation val="minMax"/>
        </c:scaling>
        <c:delete val="0"/>
        <c:axPos val="b"/>
        <c:numFmt formatCode="General" sourceLinked="1"/>
        <c:majorTickMark val="none"/>
        <c:minorTickMark val="none"/>
        <c:tickLblPos val="nextTo"/>
        <c:txPr>
          <a:bodyPr/>
          <a:lstStyle/>
          <a:p>
            <a:pPr>
              <a:defRPr b="1">
                <a:latin typeface="Arial Narrow" panose="020B0606020202030204" pitchFamily="34" charset="0"/>
              </a:defRPr>
            </a:pPr>
            <a:endParaRPr lang="en-US"/>
          </a:p>
        </c:txPr>
        <c:crossAx val="125691776"/>
        <c:crosses val="autoZero"/>
        <c:auto val="1"/>
        <c:lblAlgn val="ctr"/>
        <c:lblOffset val="100"/>
        <c:noMultiLvlLbl val="0"/>
      </c:catAx>
      <c:valAx>
        <c:axId val="125691776"/>
        <c:scaling>
          <c:orientation val="minMax"/>
        </c:scaling>
        <c:delete val="0"/>
        <c:axPos val="l"/>
        <c:majorGridlines/>
        <c:numFmt formatCode="#,##0.0" sourceLinked="1"/>
        <c:majorTickMark val="none"/>
        <c:minorTickMark val="none"/>
        <c:tickLblPos val="nextTo"/>
        <c:txPr>
          <a:bodyPr/>
          <a:lstStyle/>
          <a:p>
            <a:pPr>
              <a:defRPr>
                <a:latin typeface="Arial Narrow" panose="020B0606020202030204" pitchFamily="34" charset="0"/>
              </a:defRPr>
            </a:pPr>
            <a:endParaRPr lang="en-US"/>
          </a:p>
        </c:txPr>
        <c:crossAx val="125690240"/>
        <c:crosses val="autoZero"/>
        <c:crossBetween val="between"/>
      </c:valAx>
    </c:plotArea>
    <c:legend>
      <c:legendPos val="r"/>
      <c:layout>
        <c:manualLayout>
          <c:xMode val="edge"/>
          <c:yMode val="edge"/>
          <c:x val="0.6754719055473376"/>
          <c:y val="0.35989717223650391"/>
          <c:w val="0.31069191931134532"/>
          <c:h val="0.48586118251928423"/>
        </c:manualLayout>
      </c:layout>
      <c:overlay val="0"/>
      <c:txPr>
        <a:bodyPr/>
        <a:lstStyle/>
        <a:p>
          <a:pPr>
            <a:defRPr b="0">
              <a:latin typeface="Arial Narrow" panose="020B0606020202030204" pitchFamily="34"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B4298-A471-43A4-BDF0-B0FCECF90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137</Pages>
  <Words>57921</Words>
  <Characters>330151</Characters>
  <Application>Microsoft Office Word</Application>
  <DocSecurity>0</DocSecurity>
  <Lines>2751</Lines>
  <Paragraphs>774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387298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Florin</dc:creator>
  <cp:lastModifiedBy>Asociatia Consortiul Regional Pentru Invatamant si Ocupare Vest</cp:lastModifiedBy>
  <cp:revision>115</cp:revision>
  <cp:lastPrinted>2017-06-18T20:12:00Z</cp:lastPrinted>
  <dcterms:created xsi:type="dcterms:W3CDTF">2017-09-25T07:18:00Z</dcterms:created>
  <dcterms:modified xsi:type="dcterms:W3CDTF">2017-09-30T10:04:00Z</dcterms:modified>
</cp:coreProperties>
</file>