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shd w:val="clear" w:color="auto" w:fill="FFFFFF"/>
        <w:spacing w:before="280" w:after="280" w:line="370" w:lineRule="atLeast"/>
        <w:jc w:val="left"/>
        <w:rPr>
          <w:u w:val="none"/>
        </w:rPr>
      </w:pPr>
      <w:r>
        <w:rPr>
          <w:rFonts w:cs="Arial"/>
          <w:u w:val="none"/>
          <w:lang w:val="it-IT" w:eastAsia="ro-RO"/>
        </w:rPr>
        <w:t>Nr.</w:t>
      </w:r>
      <w:r>
        <w:rPr>
          <w:rFonts w:cs="Arial"/>
          <w:u w:val="none"/>
          <w:lang w:eastAsia="ro-RO"/>
        </w:rPr>
        <w:t xml:space="preserve"> 1.839</w:t>
      </w:r>
      <w:r>
        <w:rPr>
          <w:rFonts w:cs="Arial"/>
          <w:u w:val="none"/>
          <w:lang w:val="it-IT" w:eastAsia="ro-RO"/>
        </w:rPr>
        <w:t xml:space="preserve"> din </w:t>
      </w:r>
      <w:r>
        <w:rPr>
          <w:rFonts w:cs="Arial"/>
          <w:u w:val="none"/>
          <w:lang w:eastAsia="ro-RO"/>
        </w:rPr>
        <w:t>18.04.</w:t>
      </w:r>
      <w:r>
        <w:rPr>
          <w:rFonts w:cs="Arial"/>
          <w:u w:val="none"/>
          <w:lang w:val="it-IT" w:eastAsia="ro-RO"/>
        </w:rPr>
        <w:t>2019</w:t>
      </w:r>
    </w:p>
    <w:p>
      <w:pPr>
        <w:shd w:val="clear" w:color="auto" w:fill="FFFFFF"/>
        <w:spacing w:before="280" w:after="280" w:line="370" w:lineRule="atLeast"/>
        <w:jc w:val="center"/>
        <w:rPr>
          <w:sz w:val="32"/>
          <w:szCs w:val="32"/>
        </w:rPr>
      </w:pPr>
      <w:r>
        <w:rPr>
          <w:rFonts w:cs="Arial"/>
          <w:b/>
          <w:sz w:val="32"/>
          <w:szCs w:val="32"/>
          <w:lang w:val="it-IT" w:eastAsia="ro-RO"/>
        </w:rPr>
        <w:t>ANUNŢ</w:t>
      </w:r>
    </w:p>
    <w:p>
      <w:pPr>
        <w:pStyle w:val="98"/>
        <w:keepNext w:val="0"/>
        <w:keepLines w:val="0"/>
        <w:pageBreakBefore w:val="0"/>
        <w:widowControl/>
        <w:kinsoku/>
        <w:wordWrap/>
        <w:overflowPunct/>
        <w:topLinePunct w:val="0"/>
        <w:autoSpaceDE/>
        <w:autoSpaceDN/>
        <w:bidi w:val="0"/>
        <w:adjustRightInd/>
        <w:snapToGrid/>
        <w:spacing w:after="0" w:line="240" w:lineRule="auto"/>
        <w:ind w:firstLine="0"/>
        <w:jc w:val="both"/>
        <w:textAlignment w:val="auto"/>
        <w:outlineLvl w:val="9"/>
      </w:pPr>
      <w:r>
        <w:t xml:space="preserve">           Avînd în vedere prevederile Hotârârii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persoalului contractual din sectorul bugetar plătit din fonduri publice, modificată și completată prin Hotărârea nr.1027/2014.</w:t>
      </w:r>
    </w:p>
    <w:p>
      <w:pPr>
        <w:pStyle w:val="98"/>
        <w:keepNext w:val="0"/>
        <w:keepLines w:val="0"/>
        <w:pageBreakBefore w:val="0"/>
        <w:widowControl/>
        <w:kinsoku/>
        <w:wordWrap/>
        <w:overflowPunct/>
        <w:topLinePunct w:val="0"/>
        <w:autoSpaceDE/>
        <w:autoSpaceDN/>
        <w:bidi w:val="0"/>
        <w:adjustRightInd/>
        <w:snapToGrid/>
        <w:spacing w:after="0" w:line="240" w:lineRule="auto"/>
        <w:ind w:firstLine="600" w:firstLineChars="250"/>
        <w:jc w:val="both"/>
        <w:textAlignment w:val="auto"/>
        <w:outlineLvl w:val="9"/>
        <w:rPr>
          <w:bCs/>
        </w:rPr>
      </w:pPr>
      <w:r>
        <w:rPr>
          <w:bCs/>
        </w:rPr>
        <w:t xml:space="preserve">Colegiul National de Informatică ”Carmen Sylva” Petroșani, organizează, </w:t>
      </w:r>
      <w:r>
        <w:rPr>
          <w:bCs/>
          <w:lang w:val="en-GB"/>
        </w:rPr>
        <w:t>l</w:t>
      </w:r>
      <w:r>
        <w:rPr>
          <w:bCs/>
        </w:rPr>
        <w:t>a sediul său din municipiul Petroșani, str. Slătinioara,  nr. 10, jud. Hunedoara, concurs pentru ocuparea, pe perioadă determinată, a următorului post didactic auxiliar:</w:t>
      </w:r>
    </w:p>
    <w:p>
      <w:pPr>
        <w:spacing w:line="360" w:lineRule="auto"/>
        <w:ind w:left="-357"/>
        <w:jc w:val="center"/>
        <w:rPr>
          <w:bCs/>
        </w:rPr>
      </w:pPr>
    </w:p>
    <w:p>
      <w:pPr>
        <w:spacing w:line="240" w:lineRule="auto"/>
        <w:ind w:left="-357" w:firstLine="717"/>
        <w:rPr>
          <w:bCs/>
        </w:rPr>
      </w:pPr>
      <w:r>
        <w:rPr>
          <w:bCs/>
        </w:rPr>
        <w:t>Denumirea posturilor: post vacant contractual pe perioadă</w:t>
      </w:r>
      <w:r>
        <w:rPr>
          <w:bCs/>
          <w:color w:val="FF0000"/>
        </w:rPr>
        <w:t xml:space="preserve"> </w:t>
      </w:r>
      <w:r>
        <w:rPr>
          <w:bCs/>
        </w:rPr>
        <w:t>determinată</w:t>
      </w:r>
      <w:r>
        <w:rPr>
          <w:bCs/>
          <w:color w:val="FF0000"/>
        </w:rPr>
        <w:t xml:space="preserve">: </w:t>
      </w:r>
    </w:p>
    <w:p>
      <w:pPr>
        <w:jc w:val="both"/>
      </w:pPr>
    </w:p>
    <w:p>
      <w:pPr>
        <w:pStyle w:val="98"/>
        <w:numPr>
          <w:ilvl w:val="0"/>
          <w:numId w:val="2"/>
        </w:numPr>
        <w:spacing w:before="105" w:after="105" w:line="276" w:lineRule="auto"/>
        <w:jc w:val="both"/>
        <w:rPr>
          <w:b/>
          <w:bCs/>
        </w:rPr>
      </w:pPr>
      <w:r>
        <w:rPr>
          <w:b/>
          <w:bCs/>
        </w:rPr>
        <w:t>ADMINISTRATOR  FINANCIAR</w:t>
      </w:r>
      <w:r>
        <w:rPr>
          <w:b/>
          <w:bCs/>
          <w:lang w:val="ro-RO"/>
        </w:rPr>
        <w:t xml:space="preserve">, treapta I </w:t>
      </w:r>
      <w:r>
        <w:rPr>
          <w:b/>
          <w:bCs/>
        </w:rPr>
        <w:t xml:space="preserve"> –  C.O.R. 263111 </w:t>
      </w:r>
      <w:r>
        <w:rPr>
          <w:b/>
          <w:bCs/>
          <w:lang w:val="en-US"/>
        </w:rPr>
        <w:t>- 1</w:t>
      </w:r>
      <w:r>
        <w:rPr>
          <w:b/>
          <w:bCs/>
        </w:rPr>
        <w:t xml:space="preserve">  post</w:t>
      </w:r>
    </w:p>
    <w:p>
      <w:pPr>
        <w:pStyle w:val="98"/>
        <w:spacing w:before="105" w:after="105" w:line="276" w:lineRule="auto"/>
        <w:ind w:left="720"/>
        <w:jc w:val="both"/>
      </w:pPr>
    </w:p>
    <w:p>
      <w:pPr>
        <w:jc w:val="both"/>
        <w:rPr>
          <w:b/>
          <w:bCs/>
          <w:lang w:val="ro-RO"/>
        </w:rPr>
      </w:pPr>
      <w:r>
        <w:rPr>
          <w:b/>
          <w:bCs/>
          <w:lang w:val="ro-RO"/>
        </w:rPr>
        <w:t>La concurs poate participa orice persoană care îndeplinește cumulativ următoarele condiții:</w:t>
      </w:r>
    </w:p>
    <w:p/>
    <w:p>
      <w:pPr>
        <w:spacing w:line="360" w:lineRule="auto"/>
        <w:rPr>
          <w:u w:val="single"/>
        </w:rPr>
      </w:pPr>
      <w:r>
        <w:rPr>
          <w:b/>
          <w:bCs/>
          <w:u w:val="single"/>
          <w:lang w:val="ro-RO"/>
        </w:rPr>
        <w:t>A. CONDIŢII GENERALE DE OCUPARE A POSTURILOR</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rPr>
          <w:lang w:val="ro-RO"/>
        </w:rPr>
        <w:t>a</w:t>
      </w:r>
      <w:r>
        <w:t>re cetăţenia română, cetăţenie a altor state membre ale Uniunii Europene sau a statelor aparţinând Spaţiului Economic European şi domiciliul în România;</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rPr>
          <w:lang w:val="ro-RO"/>
        </w:rPr>
        <w:t>c</w:t>
      </w:r>
      <w:r>
        <w:t>uno</w:t>
      </w:r>
      <w:r>
        <w:rPr>
          <w:lang w:val="ro-RO"/>
        </w:rPr>
        <w:t xml:space="preserve">aște </w:t>
      </w:r>
      <w:r>
        <w:t>limba română, scris şi vorbit;</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rPr>
          <w:lang w:val="ro-RO"/>
        </w:rPr>
        <w:t>a</w:t>
      </w:r>
      <w:r>
        <w:t>re vârsta minimă reglementată de prevederile legale;</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rPr>
          <w:lang w:val="ro-RO"/>
        </w:rPr>
        <w:t>a</w:t>
      </w:r>
      <w:r>
        <w:t>re capacitatea deplină de exerciţiu;</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rPr>
          <w:lang w:val="ro-RO"/>
        </w:rPr>
        <w:t>a</w:t>
      </w:r>
      <w:r>
        <w:t>re o stare de sănătate corespunzătoare postului pentru care candidează, atestată în baza adeverinţei medicale eliberate de medicul de familie sau de unităţile sanitare abilitate;</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rPr>
          <w:lang w:val="ro-RO"/>
        </w:rPr>
        <w:t>î</w:t>
      </w:r>
      <w:r>
        <w:t xml:space="preserve">ndeplineşte condiţiile de studii şi, după caz de vechime sau alte condiţii specifice potrivit cerinţelor postului scos la concurs;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rPr>
          <w:lang w:val="ro-RO"/>
        </w:rPr>
        <w:t>n</w:t>
      </w:r>
      <w:r>
        <w:t xml:space="preserve">u a fost condamnat/ă definitiv pentru săvârşirea unei infracţiuni contra umanităţii, contra statului ori contra autorităţii, de serviciu sau în legătură </w:t>
      </w:r>
      <w:r>
        <w:rPr>
          <w:lang w:val="ro-RO"/>
        </w:rPr>
        <w:t>cu</w:t>
      </w:r>
      <w:r>
        <w:t xml:space="preserve"> serviciul, care împiedică înfăptuirea justiţiei, de fals ori a unor fapte de corupţie sau a unei infracţiuni săvârşite cu intenţie, care ar face-o incompatibilă cu exercitarea funcţiei, cu excepţia situaţiei în care a intervenit reabilitarea.</w:t>
      </w:r>
    </w:p>
    <w:p>
      <w:pPr>
        <w:spacing w:line="360" w:lineRule="auto"/>
        <w:jc w:val="both"/>
      </w:pPr>
    </w:p>
    <w:p>
      <w:pPr>
        <w:spacing w:line="360" w:lineRule="auto"/>
        <w:rPr>
          <w:b/>
          <w:bCs/>
          <w:u w:val="single"/>
        </w:rPr>
      </w:pPr>
      <w:r>
        <w:rPr>
          <w:b/>
          <w:bCs/>
          <w:u w:val="single"/>
          <w:lang w:val="ro-RO"/>
        </w:rPr>
        <w:t>B. CONDIŢII SPECIFICE PENTRU OCUPAREA POSTULUI</w:t>
      </w:r>
      <w:r>
        <w:rPr>
          <w:b/>
          <w:bCs/>
          <w:u w:val="single"/>
        </w:rPr>
        <w:t xml:space="preserve"> </w:t>
      </w:r>
    </w:p>
    <w:p>
      <w:pPr>
        <w:keepNext w:val="0"/>
        <w:keepLines w:val="0"/>
        <w:pageBreakBefore w:val="0"/>
        <w:widowControl/>
        <w:kinsoku/>
        <w:wordWrap/>
        <w:overflowPunct/>
        <w:topLinePunct w:val="0"/>
        <w:autoSpaceDE/>
        <w:autoSpaceDN/>
        <w:bidi w:val="0"/>
        <w:adjustRightInd/>
        <w:snapToGrid/>
        <w:spacing w:after="14" w:line="240" w:lineRule="auto"/>
        <w:jc w:val="both"/>
        <w:textAlignment w:val="auto"/>
        <w:outlineLvl w:val="9"/>
      </w:pPr>
      <w:r>
        <w:rPr>
          <w:lang w:val="ro-RO"/>
        </w:rPr>
        <w:t>-</w:t>
      </w:r>
      <w:r>
        <w:t xml:space="preserve"> studii superioare absolvite cu diplomă de licență în domeniul economic;</w:t>
      </w:r>
    </w:p>
    <w:p>
      <w:pPr>
        <w:keepNext w:val="0"/>
        <w:keepLines w:val="0"/>
        <w:pageBreakBefore w:val="0"/>
        <w:widowControl/>
        <w:kinsoku/>
        <w:wordWrap/>
        <w:overflowPunct/>
        <w:topLinePunct w:val="0"/>
        <w:autoSpaceDE/>
        <w:autoSpaceDN/>
        <w:bidi w:val="0"/>
        <w:adjustRightInd/>
        <w:snapToGrid/>
        <w:spacing w:after="14" w:line="240" w:lineRule="auto"/>
        <w:jc w:val="both"/>
        <w:textAlignment w:val="auto"/>
        <w:outlineLvl w:val="9"/>
      </w:pPr>
      <w:r>
        <w:rPr>
          <w:lang w:val="ro-RO"/>
        </w:rPr>
        <w:t xml:space="preserve">- </w:t>
      </w:r>
      <w:r>
        <w:t xml:space="preserve">vechime cel puţin </w:t>
      </w:r>
      <w:r>
        <w:rPr>
          <w:lang w:val="ro-RO"/>
        </w:rPr>
        <w:t>6</w:t>
      </w:r>
      <w:r>
        <w:t xml:space="preserve"> ani </w:t>
      </w:r>
      <w:r>
        <w:rPr>
          <w:lang w:val="ro-RO"/>
        </w:rPr>
        <w:t xml:space="preserve">şi 6 luni </w:t>
      </w:r>
      <w:r>
        <w:t>în specialitate</w:t>
      </w:r>
      <w:r>
        <w:rPr>
          <w:lang w:val="ro-RO"/>
        </w:rPr>
        <w:t>a ocupării postului</w:t>
      </w:r>
      <w:r>
        <w:t>;</w:t>
      </w:r>
    </w:p>
    <w:p>
      <w:pPr>
        <w:keepNext w:val="0"/>
        <w:keepLines w:val="0"/>
        <w:pageBreakBefore w:val="0"/>
        <w:widowControl/>
        <w:kinsoku/>
        <w:wordWrap/>
        <w:overflowPunct/>
        <w:topLinePunct w:val="0"/>
        <w:autoSpaceDE/>
        <w:autoSpaceDN/>
        <w:bidi w:val="0"/>
        <w:adjustRightInd/>
        <w:snapToGrid/>
        <w:spacing w:after="14" w:line="240" w:lineRule="auto"/>
        <w:jc w:val="both"/>
        <w:textAlignment w:val="auto"/>
        <w:outlineLvl w:val="9"/>
      </w:pPr>
      <w:r>
        <w:rPr>
          <w:lang w:val="ro-RO"/>
        </w:rPr>
        <w:t>-</w:t>
      </w:r>
      <w:r>
        <w:t xml:space="preserve"> cunoştinţe </w:t>
      </w:r>
      <w:r>
        <w:rPr>
          <w:lang w:val="ro-RO"/>
        </w:rPr>
        <w:t xml:space="preserve">avansate de </w:t>
      </w:r>
      <w:r>
        <w:t>operare PC (Windows, Microsoft Office Word, Excel, Internet baze de date), programe de contabilitate, salarizare;</w:t>
      </w:r>
    </w:p>
    <w:p>
      <w:pPr>
        <w:keepNext w:val="0"/>
        <w:keepLines w:val="0"/>
        <w:pageBreakBefore w:val="0"/>
        <w:widowControl/>
        <w:kinsoku/>
        <w:wordWrap/>
        <w:overflowPunct/>
        <w:topLinePunct w:val="0"/>
        <w:autoSpaceDE/>
        <w:autoSpaceDN/>
        <w:bidi w:val="0"/>
        <w:adjustRightInd/>
        <w:snapToGrid/>
        <w:spacing w:after="14" w:line="240" w:lineRule="auto"/>
        <w:jc w:val="both"/>
        <w:textAlignment w:val="auto"/>
        <w:outlineLvl w:val="9"/>
      </w:pPr>
      <w:r>
        <w:rPr>
          <w:lang w:val="ro-RO"/>
        </w:rPr>
        <w:t>- capacitate de analiză și sinteză;</w:t>
      </w:r>
    </w:p>
    <w:p>
      <w:pPr>
        <w:keepNext w:val="0"/>
        <w:keepLines w:val="0"/>
        <w:pageBreakBefore w:val="0"/>
        <w:widowControl/>
        <w:kinsoku/>
        <w:wordWrap/>
        <w:overflowPunct/>
        <w:topLinePunct w:val="0"/>
        <w:autoSpaceDE/>
        <w:autoSpaceDN/>
        <w:bidi w:val="0"/>
        <w:adjustRightInd/>
        <w:snapToGrid/>
        <w:spacing w:after="14" w:line="240" w:lineRule="auto"/>
        <w:jc w:val="both"/>
        <w:textAlignment w:val="auto"/>
        <w:outlineLvl w:val="9"/>
      </w:pPr>
      <w:r>
        <w:rPr>
          <w:lang w:val="ro-RO"/>
        </w:rPr>
        <w:t>-</w:t>
      </w:r>
      <w:r>
        <w:t xml:space="preserve"> abilităţi de comunicare, relaţionare şi învăţare;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 capacitate de gestionare a timpului şi priorităţilor.</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 capacitate de lucru în echipă;</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 adaptabilitate rapidă la condiții noi de lucru, inițiativă.</w:t>
      </w:r>
    </w:p>
    <w:p>
      <w:pPr>
        <w:jc w:val="both"/>
        <w:rPr>
          <w:lang w:val="ro-RO"/>
        </w:rPr>
      </w:pPr>
    </w:p>
    <w:p>
      <w:pPr>
        <w:spacing w:line="360" w:lineRule="auto"/>
        <w:rPr>
          <w:b/>
          <w:u w:val="single"/>
        </w:rPr>
      </w:pPr>
      <w:r>
        <w:rPr>
          <w:b/>
          <w:u w:val="single"/>
        </w:rPr>
        <w:t>C. TIPUL PROBELOR DE CONCURS</w:t>
      </w:r>
    </w:p>
    <w:p>
      <w:pPr>
        <w:spacing w:line="360" w:lineRule="auto"/>
      </w:pPr>
      <w:r>
        <w:t>Concursul constă în 4 etape succesive, după cum urmează:</w:t>
      </w:r>
    </w:p>
    <w:p>
      <w:pPr>
        <w:keepNext w:val="0"/>
        <w:keepLines w:val="0"/>
        <w:pageBreakBefore w:val="0"/>
        <w:widowControl/>
        <w:numPr>
          <w:ilvl w:val="0"/>
          <w:numId w:val="3"/>
        </w:numPr>
        <w:kinsoku/>
        <w:wordWrap/>
        <w:overflowPunct/>
        <w:topLinePunct w:val="0"/>
        <w:autoSpaceDE/>
        <w:autoSpaceDN/>
        <w:bidi w:val="0"/>
        <w:adjustRightInd/>
        <w:snapToGrid/>
        <w:spacing w:after="0" w:line="240" w:lineRule="auto"/>
        <w:ind w:left="0" w:firstLine="0"/>
        <w:textAlignment w:val="auto"/>
        <w:outlineLvl w:val="9"/>
      </w:pPr>
      <w:r>
        <w:t>Selecţia dosarelor de înscriere</w:t>
      </w:r>
    </w:p>
    <w:p>
      <w:pPr>
        <w:keepNext w:val="0"/>
        <w:keepLines w:val="0"/>
        <w:pageBreakBefore w:val="0"/>
        <w:widowControl/>
        <w:numPr>
          <w:ilvl w:val="0"/>
          <w:numId w:val="3"/>
        </w:numPr>
        <w:kinsoku/>
        <w:wordWrap/>
        <w:overflowPunct/>
        <w:topLinePunct w:val="0"/>
        <w:autoSpaceDE/>
        <w:autoSpaceDN/>
        <w:bidi w:val="0"/>
        <w:adjustRightInd/>
        <w:snapToGrid/>
        <w:spacing w:after="0" w:line="240" w:lineRule="auto"/>
        <w:ind w:left="0" w:firstLine="0"/>
        <w:textAlignment w:val="auto"/>
        <w:outlineLvl w:val="9"/>
      </w:pPr>
      <w:r>
        <w:t>Proba scrisă</w:t>
      </w:r>
      <w:r>
        <w:rPr>
          <w:lang w:val="ro-RO"/>
        </w:rPr>
        <w:t xml:space="preserve"> (test grilă)</w:t>
      </w:r>
    </w:p>
    <w:p>
      <w:pPr>
        <w:keepNext w:val="0"/>
        <w:keepLines w:val="0"/>
        <w:pageBreakBefore w:val="0"/>
        <w:widowControl/>
        <w:numPr>
          <w:ilvl w:val="0"/>
          <w:numId w:val="3"/>
        </w:numPr>
        <w:kinsoku/>
        <w:wordWrap/>
        <w:overflowPunct/>
        <w:topLinePunct w:val="0"/>
        <w:autoSpaceDE/>
        <w:autoSpaceDN/>
        <w:bidi w:val="0"/>
        <w:adjustRightInd/>
        <w:snapToGrid/>
        <w:spacing w:after="0" w:line="240" w:lineRule="auto"/>
        <w:ind w:left="0" w:firstLine="0"/>
        <w:textAlignment w:val="auto"/>
        <w:outlineLvl w:val="9"/>
      </w:pPr>
      <w:r>
        <w:t>Probă practică</w:t>
      </w:r>
    </w:p>
    <w:p>
      <w:pPr>
        <w:keepNext w:val="0"/>
        <w:keepLines w:val="0"/>
        <w:pageBreakBefore w:val="0"/>
        <w:widowControl/>
        <w:numPr>
          <w:ilvl w:val="0"/>
          <w:numId w:val="3"/>
        </w:numPr>
        <w:kinsoku/>
        <w:wordWrap/>
        <w:overflowPunct/>
        <w:topLinePunct w:val="0"/>
        <w:autoSpaceDE/>
        <w:autoSpaceDN/>
        <w:bidi w:val="0"/>
        <w:adjustRightInd/>
        <w:snapToGrid/>
        <w:spacing w:after="0" w:line="240" w:lineRule="auto"/>
        <w:ind w:left="0" w:firstLine="0"/>
        <w:textAlignment w:val="auto"/>
        <w:outlineLvl w:val="9"/>
      </w:pPr>
      <w:r>
        <w:t>Interviu</w:t>
      </w:r>
    </w:p>
    <w:p>
      <w:r>
        <w:t>Se pot prezenta la  următoarea etapă numai candidaţii declaraţi admişi la etapa precedentă.</w:t>
      </w:r>
    </w:p>
    <w:p/>
    <w:p>
      <w:pPr>
        <w:spacing w:line="360" w:lineRule="auto"/>
        <w:rPr>
          <w:b/>
          <w:u w:val="single"/>
        </w:rPr>
      </w:pPr>
      <w:r>
        <w:rPr>
          <w:b/>
          <w:u w:val="single"/>
        </w:rPr>
        <w:t>D. GRAFICUL DE ORGANIZARE A CONCURSULUI</w:t>
      </w:r>
    </w:p>
    <w:p>
      <w:pPr>
        <w:keepNext w:val="0"/>
        <w:keepLines w:val="0"/>
        <w:pageBreakBefore w:val="0"/>
        <w:widowControl/>
        <w:kinsoku/>
        <w:wordWrap/>
        <w:overflowPunct/>
        <w:topLinePunct w:val="0"/>
        <w:autoSpaceDE/>
        <w:autoSpaceDN/>
        <w:bidi w:val="0"/>
        <w:adjustRightInd/>
        <w:snapToGrid/>
        <w:spacing w:after="0" w:line="240" w:lineRule="auto"/>
        <w:ind w:firstLine="0"/>
        <w:jc w:val="both"/>
        <w:textAlignment w:val="auto"/>
        <w:outlineLvl w:val="9"/>
      </w:pPr>
      <w:r>
        <w:t xml:space="preserve">Organizarea şi desfăşurarea concursului are loc la sediul </w:t>
      </w:r>
      <w:r>
        <w:rPr>
          <w:shd w:val="clear" w:color="auto" w:fill="FFFFFF"/>
          <w:lang w:val="ro-RO"/>
        </w:rPr>
        <w:t>Colegiului Naţional de Informatică ”Carmen Sylva” Petroșani str. Slătinioara, nr. 10</w:t>
      </w:r>
      <w:r>
        <w:t>, după următorul calendar:</w:t>
      </w:r>
    </w:p>
    <w:p>
      <w:pPr>
        <w:spacing w:line="360" w:lineRule="auto"/>
        <w:ind w:firstLine="709"/>
        <w:jc w:val="both"/>
      </w:pPr>
    </w:p>
    <w:p>
      <w:pPr>
        <w:autoSpaceDE w:val="0"/>
        <w:spacing w:line="360" w:lineRule="auto"/>
        <w:jc w:val="both"/>
      </w:pPr>
      <w:r>
        <w:t xml:space="preserve">24.04.2019 </w:t>
      </w:r>
      <w:r>
        <w:tab/>
      </w:r>
      <w:r>
        <w:tab/>
      </w:r>
      <w:r>
        <w:t>- publicarea anunţului;</w:t>
      </w:r>
    </w:p>
    <w:p>
      <w:pPr>
        <w:pStyle w:val="100"/>
        <w:numPr>
          <w:ilvl w:val="1"/>
          <w:numId w:val="4"/>
        </w:numPr>
        <w:spacing w:line="360" w:lineRule="auto"/>
        <w:jc w:val="both"/>
        <w:rPr>
          <w:rFonts w:ascii="Times New Roman" w:hAnsi="Times New Roman" w:cs="Times New Roman"/>
        </w:rPr>
      </w:pPr>
      <w:r>
        <w:rPr>
          <w:rFonts w:ascii="Times New Roman" w:hAnsi="Times New Roman" w:cs="Times New Roman"/>
        </w:rPr>
        <w:t xml:space="preserve">– 16.05.2019  </w:t>
      </w:r>
      <w:r>
        <w:rPr>
          <w:rFonts w:ascii="Times New Roman" w:hAnsi="Times New Roman" w:cs="Times New Roman"/>
        </w:rPr>
        <w:tab/>
      </w:r>
      <w:r>
        <w:rPr>
          <w:rFonts w:ascii="Times New Roman" w:hAnsi="Times New Roman" w:cs="Times New Roman"/>
        </w:rPr>
        <w:t>- până la ora 16 depunerea dosarelor de înscriere</w:t>
      </w:r>
      <w:r>
        <w:rPr>
          <w:rFonts w:ascii="Times New Roman" w:hAnsi="Times New Roman" w:cs="Times New Roman"/>
          <w:lang w:val="ro-RO"/>
        </w:rPr>
        <w:t xml:space="preserve"> la secretariatul colegiului</w:t>
      </w:r>
      <w:r>
        <w:rPr>
          <w:rFonts w:ascii="Times New Roman" w:hAnsi="Times New Roman" w:cs="Times New Roman"/>
        </w:rPr>
        <w:t>;</w:t>
      </w:r>
    </w:p>
    <w:p>
      <w:pPr>
        <w:pStyle w:val="100"/>
        <w:numPr>
          <w:ilvl w:val="2"/>
          <w:numId w:val="5"/>
        </w:numPr>
        <w:spacing w:line="360" w:lineRule="auto"/>
        <w:jc w:val="both"/>
        <w:rPr>
          <w:rFonts w:ascii="Times New Roman" w:hAnsi="Times New Roman" w:cs="Times New Roman"/>
        </w:rPr>
      </w:pPr>
      <w:r>
        <w:tab/>
      </w:r>
      <w:r>
        <w:tab/>
      </w:r>
      <w:r>
        <w:t xml:space="preserve">- </w:t>
      </w:r>
      <w:r>
        <w:rPr>
          <w:rFonts w:ascii="Times New Roman" w:hAnsi="Times New Roman" w:cs="Times New Roman"/>
        </w:rPr>
        <w:t>selectarea dosarelor şi afişarea rezultatelor până la ora 10;</w:t>
      </w:r>
    </w:p>
    <w:p>
      <w:pPr>
        <w:autoSpaceDE w:val="0"/>
        <w:spacing w:line="360" w:lineRule="auto"/>
        <w:ind w:left="2127" w:hanging="2127"/>
        <w:jc w:val="both"/>
      </w:pPr>
      <w:r>
        <w:t xml:space="preserve">17.05.2019 </w:t>
      </w:r>
      <w:r>
        <w:tab/>
      </w:r>
      <w:r>
        <w:t>- până la ora 12 depunerea contestaţiilor, până la ora 16 rezolvarea şi afişarea  rezultatelor în urma contestaţiilor;</w:t>
      </w:r>
    </w:p>
    <w:p>
      <w:r>
        <w:t>22.05.2019</w:t>
      </w:r>
      <w:r>
        <w:tab/>
      </w:r>
      <w:r>
        <w:tab/>
      </w:r>
      <w:r>
        <w:t xml:space="preserve">- ora 9 proba scrisă </w:t>
      </w:r>
      <w:r>
        <w:rPr>
          <w:lang w:val="ro-RO"/>
        </w:rPr>
        <w:t xml:space="preserve">(test grilă) </w:t>
      </w:r>
      <w:r>
        <w:t>şi afişarea rezultatelor până la ora 12;</w:t>
      </w:r>
    </w:p>
    <w:p>
      <w:pPr>
        <w:spacing w:line="360" w:lineRule="auto"/>
        <w:ind w:left="2127" w:hanging="2127"/>
        <w:jc w:val="both"/>
      </w:pPr>
      <w:r>
        <w:t xml:space="preserve">22.05.2019 </w:t>
      </w:r>
      <w:r>
        <w:tab/>
      </w:r>
      <w:r>
        <w:t>- până la ora 15 depunerea contestaţiilor, până la ora 16,30 rezolvarea şi afişarea  rezultatelor în urma contestaţiilor;</w:t>
      </w:r>
    </w:p>
    <w:p>
      <w:pPr>
        <w:keepNext w:val="0"/>
        <w:keepLines w:val="0"/>
        <w:pageBreakBefore w:val="0"/>
        <w:widowControl/>
        <w:kinsoku/>
        <w:wordWrap/>
        <w:overflowPunct/>
        <w:topLinePunct w:val="0"/>
        <w:autoSpaceDE w:val="0"/>
        <w:autoSpaceDN/>
        <w:bidi w:val="0"/>
        <w:adjustRightInd/>
        <w:snapToGrid/>
        <w:spacing w:after="0" w:line="360" w:lineRule="auto"/>
        <w:ind w:left="2160" w:leftChars="0" w:hanging="2160" w:hangingChars="900"/>
        <w:jc w:val="both"/>
        <w:textAlignment w:val="auto"/>
        <w:outlineLvl w:val="9"/>
      </w:pPr>
      <w:r>
        <w:t xml:space="preserve">23.05.2019  </w:t>
      </w:r>
      <w:r>
        <w:tab/>
      </w:r>
      <w:r>
        <w:t>- ora 9 proba practică şi afişarea rezultatelor până la ora 11, până la ora 13 depunerea contestaţiilor;</w:t>
      </w:r>
    </w:p>
    <w:p>
      <w:pPr>
        <w:keepNext w:val="0"/>
        <w:keepLines w:val="0"/>
        <w:pageBreakBefore w:val="0"/>
        <w:widowControl/>
        <w:kinsoku/>
        <w:wordWrap/>
        <w:overflowPunct/>
        <w:topLinePunct w:val="0"/>
        <w:autoSpaceDE w:val="0"/>
        <w:autoSpaceDN/>
        <w:bidi w:val="0"/>
        <w:adjustRightInd/>
        <w:snapToGrid/>
        <w:spacing w:after="0" w:line="360" w:lineRule="auto"/>
        <w:ind w:left="0" w:leftChars="0" w:firstLine="2160" w:firstLineChars="900"/>
        <w:jc w:val="both"/>
        <w:textAlignment w:val="auto"/>
        <w:outlineLvl w:val="9"/>
      </w:pPr>
      <w:r>
        <w:t>- până la ora14 rezolvarea şi afişarea  rezultatelor în urma contestaţiilor;</w:t>
      </w:r>
    </w:p>
    <w:p>
      <w:pPr>
        <w:keepNext w:val="0"/>
        <w:keepLines w:val="0"/>
        <w:pageBreakBefore w:val="0"/>
        <w:widowControl/>
        <w:kinsoku/>
        <w:wordWrap/>
        <w:overflowPunct/>
        <w:topLinePunct w:val="0"/>
        <w:autoSpaceDE w:val="0"/>
        <w:autoSpaceDN/>
        <w:bidi w:val="0"/>
        <w:adjustRightInd/>
        <w:snapToGrid/>
        <w:spacing w:after="0" w:line="360" w:lineRule="auto"/>
        <w:ind w:left="0" w:leftChars="0" w:firstLine="2160" w:firstLineChars="900"/>
        <w:jc w:val="both"/>
        <w:textAlignment w:val="auto"/>
        <w:outlineLvl w:val="9"/>
      </w:pPr>
    </w:p>
    <w:p>
      <w:pPr>
        <w:autoSpaceDE w:val="0"/>
        <w:spacing w:line="360" w:lineRule="auto"/>
        <w:ind w:left="2127" w:hanging="2127"/>
        <w:jc w:val="both"/>
      </w:pPr>
      <w:r>
        <w:t>2</w:t>
      </w:r>
      <w:r>
        <w:rPr>
          <w:lang w:val="ro-RO"/>
        </w:rPr>
        <w:t>4</w:t>
      </w:r>
      <w:r>
        <w:t xml:space="preserve">.05.2019  </w:t>
      </w:r>
      <w:r>
        <w:rPr>
          <w:lang w:val="ro-RO"/>
        </w:rPr>
        <w:t xml:space="preserve">          -</w:t>
      </w:r>
      <w:r>
        <w:t xml:space="preserve"> ora </w:t>
      </w:r>
      <w:r>
        <w:rPr>
          <w:lang w:val="ro-RO"/>
        </w:rPr>
        <w:t xml:space="preserve">9 </w:t>
      </w:r>
      <w:r>
        <w:t>interviu şi afişarea rezultatelor până la ora 1</w:t>
      </w:r>
      <w:r>
        <w:rPr>
          <w:lang w:val="ro-RO"/>
        </w:rPr>
        <w:t>2</w:t>
      </w:r>
      <w:r>
        <w:t>, până la ora 1</w:t>
      </w:r>
      <w:r>
        <w:rPr>
          <w:lang w:val="ro-RO"/>
        </w:rPr>
        <w:t>4</w:t>
      </w:r>
      <w:r>
        <w:t xml:space="preserve"> depunerea contestaţiilor;</w:t>
      </w:r>
    </w:p>
    <w:p>
      <w:pPr>
        <w:ind w:left="2127" w:hanging="2127"/>
      </w:pPr>
      <w:r>
        <w:t>2</w:t>
      </w:r>
      <w:r>
        <w:rPr>
          <w:lang w:val="ro-RO"/>
        </w:rPr>
        <w:t>7</w:t>
      </w:r>
      <w:r>
        <w:t>.05.2019</w:t>
      </w:r>
      <w:r>
        <w:tab/>
      </w:r>
      <w:r>
        <w:t>- până la ora 1</w:t>
      </w:r>
      <w:r>
        <w:rPr>
          <w:lang w:val="ro-RO"/>
        </w:rPr>
        <w:t>1</w:t>
      </w:r>
      <w:r>
        <w:t xml:space="preserve"> rezolvarea şi afişarea  rezultatelor în urma contestaţiilor;  până la ora 12 afişarea rezultatelor finale.</w:t>
      </w:r>
    </w:p>
    <w:p>
      <w:pPr>
        <w:spacing w:line="360" w:lineRule="auto"/>
        <w:ind w:left="720"/>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ab/>
      </w:r>
      <w:r>
        <w:t xml:space="preserve">Sunt declaraţi admişi  la proba scrisă, proba practică şi la interviu candidaţii care au obţinut minim </w:t>
      </w:r>
      <w:r>
        <w:rPr>
          <w:lang w:val="ro-RO"/>
        </w:rPr>
        <w:t>7</w:t>
      </w:r>
      <w:r>
        <w:t>0 de puncte din maximul de 100 de puncte.</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ab/>
      </w:r>
      <w:r>
        <w:t>Punctajul final se calculează ca medie aritmetică a punctajelor obţinute la proba scrisă, proba practică şi proba interviu.</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ab/>
      </w:r>
      <w:r>
        <w:t>După afişarea rezultatelor obţinute la selecţia dosarelor, proba scrisă,  proba practiceă, respectiv interviu, candidaţii nemulţumiţi pot depune contestaţie în termenul  prev[zut conform graficului af</w:t>
      </w:r>
      <w:r>
        <w:rPr>
          <w:lang w:val="ro-RO"/>
        </w:rPr>
        <w:t>ișat.</w:t>
      </w:r>
      <w:r>
        <w:t xml:space="preserve">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ab/>
      </w:r>
      <w:r>
        <w:rPr>
          <w:lang w:val="ro-RO"/>
        </w:rPr>
        <w:t xml:space="preserve">Comunicarea rezultatelor se face prin afişare la sediul </w:t>
      </w:r>
      <w:r>
        <w:t xml:space="preserve">sediul </w:t>
      </w:r>
      <w:r>
        <w:rPr>
          <w:shd w:val="clear" w:color="auto" w:fill="FFFFFF"/>
          <w:lang w:val="ro-RO"/>
        </w:rPr>
        <w:t>Colegiului Naţional de Informatică ”Carmen Sylva” Petroșani str. Slătinioara, nr. 10</w:t>
      </w:r>
      <w:r>
        <w:rPr>
          <w:lang w:val="ro-RO"/>
        </w:rPr>
        <w:t>, precum şi pe pagina de internet</w:t>
      </w:r>
    </w:p>
    <w:p>
      <w:pPr>
        <w:jc w:val="both"/>
        <w:rPr>
          <w:lang w:val="ro-RO"/>
        </w:rPr>
      </w:pPr>
    </w:p>
    <w:p>
      <w:pPr>
        <w:suppressAutoHyphens w:val="0"/>
        <w:spacing w:line="360" w:lineRule="auto"/>
        <w:jc w:val="both"/>
        <w:rPr>
          <w:b/>
          <w:u w:val="single"/>
          <w:shd w:val="clear" w:color="auto" w:fill="FFFFFF"/>
          <w:lang w:val="ro-RO"/>
        </w:rPr>
      </w:pPr>
      <w:r>
        <w:rPr>
          <w:b/>
          <w:bCs/>
          <w:u w:val="single"/>
          <w:lang w:val="ro-RO"/>
        </w:rPr>
        <w:t xml:space="preserve">E. DOSARUL DE CONCURS </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firstLine="720" w:firstLineChars="300"/>
        <w:jc w:val="both"/>
        <w:textAlignment w:val="auto"/>
        <w:outlineLvl w:val="9"/>
        <w:rPr>
          <w:b/>
          <w:shd w:val="clear" w:color="auto" w:fill="FFFFFF"/>
          <w:lang w:val="ro-RO"/>
        </w:rPr>
      </w:pPr>
      <w:r>
        <w:rPr>
          <w:shd w:val="clear" w:color="auto" w:fill="FFFFFF"/>
          <w:lang w:val="ro-RO"/>
        </w:rPr>
        <w:t xml:space="preserve">Dosarele de înscriere la concurs se pot depune în perioada </w:t>
      </w:r>
      <w:r>
        <w:rPr>
          <w:shd w:val="clear" w:color="auto" w:fill="FFFFFF"/>
          <w:lang w:val="en-GB"/>
        </w:rPr>
        <w:t xml:space="preserve">14.05.-16.05.2019 </w:t>
      </w:r>
      <w:r>
        <w:rPr>
          <w:b/>
          <w:shd w:val="clear" w:color="auto" w:fill="FFFFFF"/>
          <w:lang w:val="ro-RO"/>
        </w:rPr>
        <w:t xml:space="preserve"> (</w:t>
      </w:r>
      <w:r>
        <w:rPr>
          <w:shd w:val="clear" w:color="auto" w:fill="FFFFFF"/>
          <w:lang w:val="ro-RO"/>
        </w:rPr>
        <w:t xml:space="preserve">în intervalul orar 9,00 – 16,00 ) la secretariatul Colegiului Naţional de Informatică ”Carmen Sylva” Petroșani str. Slătinioara, nr. 10 , persoana de contact Versanszky Cristina, telefon </w:t>
      </w:r>
      <w:r>
        <w:rPr>
          <w:b/>
          <w:lang w:val="ro-RO"/>
        </w:rPr>
        <w:t>0254.542683.</w:t>
      </w:r>
    </w:p>
    <w:p>
      <w:pPr>
        <w:spacing w:line="240" w:lineRule="auto"/>
        <w:ind w:left="720"/>
        <w:jc w:val="both"/>
        <w:rPr>
          <w:b/>
          <w:shd w:val="clear" w:color="auto" w:fill="FFFFFF"/>
          <w:lang w:val="ro-RO"/>
        </w:rPr>
      </w:pPr>
    </w:p>
    <w:p>
      <w:pPr>
        <w:numPr>
          <w:ilvl w:val="0"/>
          <w:numId w:val="6"/>
        </w:numPr>
        <w:suppressAutoHyphens w:val="0"/>
        <w:spacing w:line="360" w:lineRule="auto"/>
        <w:ind w:left="0" w:firstLine="360"/>
        <w:jc w:val="both"/>
        <w:rPr>
          <w:b/>
          <w:shd w:val="clear" w:color="auto" w:fill="FFFFFF"/>
          <w:lang w:val="ro-RO"/>
        </w:rPr>
      </w:pPr>
      <w:r>
        <w:rPr>
          <w:b/>
          <w:smallCaps/>
          <w:shd w:val="clear" w:color="auto" w:fill="FFFFFF"/>
          <w:lang w:val="ro-RO"/>
        </w:rPr>
        <w:t>Dosarul de concurs va conţine următoarele documente</w:t>
      </w:r>
      <w:r>
        <w:rPr>
          <w:shd w:val="clear" w:color="auto" w:fill="FFFFFF"/>
          <w:lang w:val="ro-RO"/>
        </w:rPr>
        <w:t>:</w:t>
      </w:r>
    </w:p>
    <w:p>
      <w:pPr>
        <w:spacing w:line="360" w:lineRule="auto"/>
        <w:jc w:val="both"/>
      </w:pPr>
      <w:r>
        <w:rPr>
          <w:b/>
          <w:bCs/>
          <w:lang w:val="ro-RO"/>
        </w:rPr>
        <w:t xml:space="preserve">a) </w:t>
      </w:r>
      <w:r>
        <w:rPr>
          <w:lang w:val="ro-RO"/>
        </w:rPr>
        <w:t>cerere de înscriere la concurs adresată conducătorului instituţiei publice organizatoare;</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r>
        <w:rPr>
          <w:b/>
          <w:lang w:val="ro-RO"/>
        </w:rPr>
        <w:t>b)</w:t>
      </w:r>
      <w:r>
        <w:rPr>
          <w:lang w:val="ro-RO"/>
        </w:rPr>
        <w:t xml:space="preserve"> copia actului de identitate sau orice alt document care atestă identitatea, potrivit legii, după caz;</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r>
        <w:rPr>
          <w:b/>
          <w:lang w:val="ro-RO"/>
        </w:rPr>
        <w:t>c)</w:t>
      </w:r>
      <w:r>
        <w:rPr>
          <w:lang w:val="ro-RO"/>
        </w:rPr>
        <w:t xml:space="preserve"> copiile documentelor care să ateste nivelul studiilor şi ale altor acte care atestă efectuarea unor specializări, precum şi copiile documentelor care atestă îndeplinirea condiţiilor specifice ale postului solicitate de instituţia publică;</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r>
        <w:rPr>
          <w:b/>
          <w:lang w:val="ro-RO"/>
        </w:rPr>
        <w:t>d)</w:t>
      </w:r>
      <w:r>
        <w:rPr>
          <w:lang w:val="ro-RO"/>
        </w:rPr>
        <w:t xml:space="preserve"> carnetul de muncă sau, după caz, adeverinţele care atestă vechimea în muncă, în meserie şi/sau în specialitatea studiilor, în copie şi adeverinţă REVISAL cu perioadele lucrate după 01.01.2011;</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b/>
        </w:rPr>
        <w:t>e)</w:t>
      </w:r>
      <w:r>
        <w:t xml:space="preserve"> cazierul judiciar sau o declaraţie pe propria răspundere că nu are antecedente penale care să-l facă incompatibil cu funcţia pentru care candidează. </w:t>
      </w:r>
      <w:r>
        <w:rPr>
          <w:lang w:val="ro-RO"/>
        </w:rPr>
        <w:t>C</w:t>
      </w:r>
      <w:r>
        <w:t xml:space="preserve">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br w:type="textWrapping"/>
      </w:r>
      <w:r>
        <w:rPr>
          <w:b/>
        </w:rPr>
        <w:t>f)</w:t>
      </w:r>
      <w:r>
        <w:t xml:space="preserve"> adeverinţă medicală care să ateste starea de sănătate corespunzătoare eliberată cu cel mult 6 luni anterior derulării concursului de către medicul de familie al candidatului sau de către unităţile sanitare abilitate; Adeverinţa care atestă starea de sănătate conţine, în clar, numărul, data, numele emitentului şi calitatea acestuia, în formatul standard stabilit de Ministerul Sănătăţii.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                                                                                                         </w:t>
      </w:r>
      <w:r>
        <w:br w:type="textWrapping"/>
      </w:r>
      <w:r>
        <w:rPr>
          <w:b/>
        </w:rPr>
        <w:t>g)</w:t>
      </w:r>
      <w:r>
        <w:t xml:space="preserve"> curriculum vitae;</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p>
    <w:p>
      <w:pPr>
        <w:spacing w:line="360" w:lineRule="auto"/>
        <w:jc w:val="both"/>
        <w:rPr>
          <w:lang w:val="ro-RO"/>
        </w:rPr>
      </w:pPr>
      <w:r>
        <w:rPr>
          <w:b/>
        </w:rPr>
        <w:t>h)</w:t>
      </w:r>
      <w:r>
        <w:t xml:space="preserve"> alte documente relevante pentru desfăşurarea concursului</w:t>
      </w:r>
      <w:r>
        <w:rPr>
          <w:lang w:val="ro-RO"/>
        </w:rPr>
        <w:t>;</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rFonts w:eastAsia="Times New Roman"/>
          <w:lang w:val="ro-RO" w:eastAsia="ro-RO"/>
        </w:rPr>
      </w:pPr>
      <w:r>
        <w:rPr>
          <w:b/>
          <w:bCs/>
          <w:lang w:val="ro-RO"/>
        </w:rPr>
        <w:t>i</w:t>
      </w:r>
      <w:r>
        <w:rPr>
          <w:b/>
          <w:bCs/>
        </w:rPr>
        <w:t xml:space="preserve">) </w:t>
      </w:r>
      <w:r>
        <w:rPr>
          <w:lang w:val="ro-RO"/>
        </w:rPr>
        <w:t>o</w:t>
      </w:r>
      <w:r>
        <w:rPr>
          <w:rFonts w:eastAsia="Times New Roman"/>
          <w:lang w:val="ro-RO" w:eastAsia="ro-RO"/>
        </w:rPr>
        <w:t>pisul dosarului în dublu exemplar, un exemplar se restituie candidatului cu număr de înregistrare.</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rFonts w:eastAsia="Times New Roman"/>
          <w:lang w:val="ro-RO" w:eastAsia="ro-RO"/>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Actele prevăzute la lit. b) </w:t>
      </w:r>
      <w:r>
        <w:rPr>
          <w:lang w:val="ro-RO"/>
        </w:rPr>
        <w:t>- d</w:t>
      </w:r>
      <w:r>
        <w:t xml:space="preserve">) şi </w:t>
      </w:r>
      <w:r>
        <w:rPr>
          <w:lang w:val="ro-RO"/>
        </w:rPr>
        <w:t>h</w:t>
      </w:r>
      <w:r>
        <w:t>) vor fi prezentate şi în original în vederea verificării conformităţii copiilor cu acestea.</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p>
    <w:p>
      <w:pPr>
        <w:spacing w:line="360" w:lineRule="auto"/>
        <w:jc w:val="both"/>
      </w:pPr>
      <w:r>
        <w:rPr>
          <w:b/>
          <w:u w:val="single"/>
        </w:rPr>
        <w:t xml:space="preserve">F. TEMATICA </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1. Finanţarea şi patrimoniul institutiilor de invatamant preuniversitar;</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2. Structura bugetului în instituţia publică;</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r>
        <w:rPr>
          <w:lang w:val="ro-RO"/>
        </w:rPr>
        <w:t>3. Execuția bugetară - principii;</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4</w:t>
      </w:r>
      <w:r>
        <w:t xml:space="preserve">. Contabilitatea trezoreriei instituţiilor publice; </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5</w:t>
      </w:r>
      <w:r>
        <w:t xml:space="preserve">. </w:t>
      </w:r>
      <w:r>
        <w:rPr>
          <w:lang w:val="ro-RO"/>
        </w:rPr>
        <w:t>Achiziții publice, Sistemul electronic de achiziții publice – SEAP;</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6</w:t>
      </w:r>
      <w:r>
        <w:t xml:space="preserve">. Registre de contabilitate; </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7</w:t>
      </w:r>
      <w:r>
        <w:t>. Elemente privind aprobarea, depunerea şi componenţa situaţiilor financiare conform Normelor metodologice privind organizarea şi conducerea contabilităţii instituţiilor publice şi a planului de conturi pentru acestea;</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8</w:t>
      </w:r>
      <w:r>
        <w:t>. Documente supuse controlului preventiv privind bunurile din patrimoniul instituţiilor publice;</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9</w:t>
      </w:r>
      <w:r>
        <w:t>. Elementele sistemului de salarizare, conform Legii privind salarizarea unitară a personalului platit din fonduri publice;</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 xml:space="preserve">10. </w:t>
      </w:r>
      <w:r>
        <w:rPr>
          <w:lang w:val="ro-RO"/>
        </w:rPr>
        <w:t>Angajarea lichidarea ordonantarea si plata cheltuielilor institutiilor</w:t>
      </w:r>
      <w:r>
        <w:t xml:space="preserve">; </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1</w:t>
      </w:r>
      <w:r>
        <w:rPr>
          <w:lang w:val="ro-RO"/>
        </w:rPr>
        <w:t>1</w:t>
      </w:r>
      <w:r>
        <w:t>. Organizarea si efectuarea inventarierii elementelor de natura activelor, datoriilor si capitalurilor proprii, disponibilităţilor băneşti;</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12. Programe sociale: burse sociale, sprijin financiar „Bani de liceu”, „Bursa profesională”, naveta elevi, criterii de acordare, plată</w:t>
      </w:r>
      <w:r>
        <w:rPr>
          <w:lang w:val="en-US"/>
        </w:rPr>
        <w:t>;</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rPr>
          <w:lang w:val="ro-RO"/>
        </w:rPr>
      </w:pPr>
      <w:r>
        <w:rPr>
          <w:lang w:val="ro-RO"/>
        </w:rPr>
        <w:t>13. Conditii pentru angajarea gestionarilor. Raspunderi;</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t>1</w:t>
      </w:r>
      <w:r>
        <w:rPr>
          <w:lang w:val="ro-RO"/>
        </w:rPr>
        <w:t>4</w:t>
      </w:r>
      <w:r>
        <w:t xml:space="preserve">. Utilizare aplicaţii informatice Noţiuni avansate în utilizarea PC şi aplicaţii specifice domeniului finaciar-contabil la nivel de instituţii publice, </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15. Drepturile şi obligaţiile personalului autorităţilor şi instituţiilor publice pe perioada delegării şi detaşării în altă localitate, precum şi în cazul deplasării, în cadrul localităţii, în interesul serviciului;</w:t>
      </w:r>
    </w:p>
    <w:p>
      <w:pPr>
        <w:pStyle w:val="98"/>
        <w:keepNext w:val="0"/>
        <w:keepLines w:val="0"/>
        <w:pageBreakBefore w:val="0"/>
        <w:widowControl/>
        <w:kinsoku/>
        <w:wordWrap/>
        <w:overflowPunct/>
        <w:topLinePunct w:val="0"/>
        <w:autoSpaceDE/>
        <w:autoSpaceDN/>
        <w:bidi w:val="0"/>
        <w:adjustRightInd/>
        <w:snapToGrid/>
        <w:spacing w:after="0" w:line="240" w:lineRule="auto"/>
        <w:jc w:val="both"/>
        <w:textAlignment w:val="auto"/>
        <w:outlineLvl w:val="9"/>
      </w:pPr>
      <w:r>
        <w:rPr>
          <w:lang w:val="ro-RO"/>
        </w:rPr>
        <w:t xml:space="preserve">16. </w:t>
      </w:r>
      <w:r>
        <w:rPr>
          <w:rFonts w:ascii="TimesNewRomanPSMT" w:hAnsi="TimesNewRomanPSMT" w:cs="TimesNewRomanPSMT"/>
          <w:color w:val="000000"/>
          <w:lang w:val="ro-RO"/>
        </w:rPr>
        <w:t>Respectarea normelor, procedurilor de sănătate şi securitate a muncii, de PSI şi ISU pentru toate tipurile de activităţi desfăşurate în cadrul unităţii de învăţământ.</w:t>
      </w:r>
    </w:p>
    <w:p/>
    <w:p>
      <w:pPr>
        <w:spacing w:line="360" w:lineRule="auto"/>
        <w:contextualSpacing/>
        <w:jc w:val="both"/>
        <w:rPr>
          <w:b/>
          <w:bCs/>
          <w:u w:val="single"/>
        </w:rPr>
      </w:pPr>
      <w:r>
        <w:rPr>
          <w:b/>
          <w:bCs/>
          <w:u w:val="single"/>
          <w:lang w:val="ro-RO"/>
        </w:rPr>
        <w:t>G. BIBLIOGRAFIE</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Legea nr. 82/ 24.12.1991 contabilităţii - republicată și actualizată;</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pPr>
      <w:r>
        <w:rPr>
          <w:lang w:val="ro-RO"/>
        </w:rPr>
        <w:t>- Legea 1/</w:t>
      </w:r>
      <w:r>
        <w:t>10.01.</w:t>
      </w:r>
      <w:r>
        <w:rPr>
          <w:lang w:val="ro-RO"/>
        </w:rPr>
        <w:t xml:space="preserve">2011 Educaţiei Naţionale, - republicată cu modificările si completările ulterioare, </w:t>
      </w:r>
      <w:r>
        <w:rPr>
          <w:rFonts w:eastAsia="Times New Roman"/>
          <w:lang w:eastAsia="ro-RO"/>
        </w:rPr>
        <w:t>TITLUL II Învăţământul preuniversitar</w:t>
      </w:r>
      <w:r>
        <w:rPr>
          <w:rFonts w:eastAsia="Times New Roman"/>
          <w:lang w:val="ro-RO" w:eastAsia="ro-RO"/>
        </w:rPr>
        <w:t>, CAP VIII – Finanţarea şi baza materială a învăţământului preuniversitar;</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Legea nr. 53/2003 Codul Muncii - republicat, cu modificările şi completările ulterioare;</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pPr>
      <w:r>
        <w:rPr>
          <w:lang w:val="ro-RO"/>
        </w:rPr>
        <w:t xml:space="preserve">- Legea nr. 227/08.09.2015 </w:t>
      </w:r>
      <w:r>
        <w:t xml:space="preserve">privind Codul fiscal </w:t>
      </w:r>
      <w:r>
        <w:rPr>
          <w:lang w:val="ro-RO"/>
        </w:rPr>
        <w:t>cu modificările și completările ulterioare, TITLUL IV Impozitul pe venit, CAPITOLUL III Venituri din salarii şi asimilate salariilor, TITLUL V Contribuţii sociale obligatorii;</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Legea 284/28.12.2010 privind salarizarea unitară a personalului plătit din fonduri publice;</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Legea 285/28.12.2010 privind salarizarea în anul 2011 a personalului plătit din fonduri publice;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xml:space="preserve">- </w:t>
      </w:r>
      <w:r>
        <w:fldChar w:fldCharType="begin"/>
      </w:r>
      <w:r>
        <w:instrText xml:space="preserve"> HYPERLINK "http://siphd.ro/doc/legi_site/2011/omects4576_2011.pdf" \h </w:instrText>
      </w:r>
      <w:r>
        <w:fldChar w:fldCharType="separate"/>
      </w:r>
      <w:r>
        <w:rPr>
          <w:rStyle w:val="15"/>
          <w:color w:val="000000"/>
          <w:u w:val="none"/>
        </w:rPr>
        <w:t>Ordinul comun al M.E.C.T.S, Ministerului Administraţiei şi Internelor şi Ministerului Finanţelor Publice nr. 4576/11.07.2011, nr. 230/18.10.2011, nr. 2445/15.09.2011 privind validarea fluxurilor financiare pentru cheltuielile de personal în învăţământul preuniversitar de stat.</w:t>
      </w:r>
      <w:r>
        <w:rPr>
          <w:rStyle w:val="15"/>
          <w:color w:val="000000"/>
          <w:u w:val="none"/>
        </w:rPr>
        <w:fldChar w:fldCharType="end"/>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xml:space="preserve">- Ordinului comun al M.E.C.T.S, al Ministrului Administraţiei şi Internelor şi al Ministrului Finanţelor Publice nr. 4271/29.05.2012, </w:t>
      </w:r>
      <w:r>
        <w:fldChar w:fldCharType="begin"/>
      </w:r>
      <w:r>
        <w:instrText xml:space="preserve"> HYPERLINK "http://siphd.ro/doc/legi_site/2012/omects4271_2012.pdf" \h </w:instrText>
      </w:r>
      <w:r>
        <w:fldChar w:fldCharType="separate"/>
      </w:r>
      <w:r>
        <w:rPr>
          <w:rStyle w:val="15"/>
          <w:color w:val="000000"/>
          <w:u w:val="none"/>
        </w:rPr>
        <w:t>nr. 116/29.05.2012 și nr. 755/29.05.2012</w:t>
      </w:r>
      <w:r>
        <w:rPr>
          <w:rStyle w:val="15"/>
          <w:color w:val="000000"/>
          <w:u w:val="none"/>
        </w:rPr>
        <w:fldChar w:fldCharType="end"/>
      </w:r>
      <w:r>
        <w:t xml:space="preserve"> privind modificarea Ordinului ministrului educaţiei, cercetării, tineretului şi sportului, al ministrului administraţiei şi internelor şi al ministrului finanţelor publice nr. 4.576/230/2.445/2011 privind validarea fluxurilor financiare pentru cheltuielile de personal în învăţământul preuniversitar de stat;</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rPr>
          <w:lang w:val="ro-RO"/>
        </w:rPr>
      </w:pPr>
      <w:r>
        <w:rPr>
          <w:lang w:val="ro-RO"/>
        </w:rPr>
        <w:t>- Legea cadru nr. 153/2017 privind salarizarea personalului plătit din fonduri publice cu modificările şi completările ulterioare;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xml:space="preserve">- </w:t>
      </w:r>
      <w:r>
        <w:rPr>
          <w:lang w:val="it-IT"/>
        </w:rPr>
        <w:t>Legea 273/</w:t>
      </w:r>
      <w:r>
        <w:t>29.06.</w:t>
      </w:r>
      <w:r>
        <w:rPr>
          <w:lang w:val="it-IT"/>
        </w:rPr>
        <w:t>2006 – privind finanțele publice locale, cu modificarile si completarile ulterioare;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xml:space="preserve">- </w:t>
      </w:r>
      <w:r>
        <w:rPr>
          <w:lang w:val="it-IT"/>
        </w:rPr>
        <w:t>Legea nr. 500/</w:t>
      </w:r>
      <w:r>
        <w:t>11.07.</w:t>
      </w:r>
      <w:r>
        <w:rPr>
          <w:lang w:val="it-IT"/>
        </w:rPr>
        <w:t xml:space="preserve">2002,  </w:t>
      </w:r>
      <w:r>
        <w:t xml:space="preserve">privind </w:t>
      </w:r>
      <w:r>
        <w:rPr>
          <w:lang w:val="it-IT"/>
        </w:rPr>
        <w:t>finantel</w:t>
      </w:r>
      <w:r>
        <w:t>e</w:t>
      </w:r>
      <w:r>
        <w:rPr>
          <w:lang w:val="it-IT"/>
        </w:rPr>
        <w:t xml:space="preserve"> publice cu modificarile si completarile ulterioare;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O.M.F.P. nr. 517/13.04.2016 pentru</w:t>
      </w:r>
      <w:r>
        <w:rPr>
          <w:b/>
        </w:rPr>
        <w:t xml:space="preserve"> </w:t>
      </w:r>
      <w:r>
        <w:t>aprobarea de proceduri aferente unor module care fac parte din procedura de funcţionare a sistemului naţional de raportare - Forexebug</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Legea nr. 98/19.05.2016 privind achiziţiile publice;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H.G. nr. 395/02.06.2016 pentru aprobarea Normelor metodologice de aplicare a prevederilor referitoare la atribuirea contractului de achiziţie publică/acordului - cadru din Legea nr. 98/2016 privind achiziţiile publice;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xml:space="preserve">- </w:t>
      </w:r>
      <w:r>
        <w:rPr>
          <w:lang w:val="it-IT"/>
        </w:rPr>
        <w:t>O.M.F.P. nr.1792/2002 pentru aprobarea Normelor metodologice privind angajarea, lichidarea, ordonanţarea şi plata cheltuielilor instituţiilor publice, precum şi organizarea, evidenţa şi raportarea angajamentelor bugetare şi legale</w:t>
      </w:r>
      <w:r>
        <w:t>;</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rPr>
          <w:lang w:val="ro-RO"/>
        </w:rPr>
        <w:t xml:space="preserve">- </w:t>
      </w:r>
      <w:r>
        <w:rPr>
          <w:lang w:val="it-IT"/>
        </w:rPr>
        <w:t xml:space="preserve">O.M.F.P. </w:t>
      </w:r>
      <w:r>
        <w:rPr>
          <w:lang w:val="ro-RO"/>
        </w:rPr>
        <w:t>nr. 1954/16.12.2005</w:t>
      </w:r>
      <w:r>
        <w:rPr>
          <w:lang w:val="it-IT"/>
        </w:rPr>
        <w:t xml:space="preserve"> privind clasificatia indicatorilor finantelor publice;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xml:space="preserve">- </w:t>
      </w:r>
      <w:r>
        <w:rPr>
          <w:lang w:val="it-IT"/>
        </w:rPr>
        <w:t>O.M.F.P. nr. 2021/</w:t>
      </w:r>
      <w:r>
        <w:t>17.12.</w:t>
      </w:r>
      <w:r>
        <w:rPr>
          <w:lang w:val="it-IT"/>
        </w:rPr>
        <w:t>2013 pentru modificarea şi completarea Normelor metodologice privind organizarea şi conducerea contabilităţii instituţiilor publice, Planul de conturi pentru instituţiile publice şi instrucţiunile de aplicare a acestuia, aprobate prin Ordinul ministrului finanţelor publice nr. 1917/2005</w:t>
      </w:r>
      <w:r>
        <w:t>;</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rPr>
          <w:lang w:val="ro-RO"/>
        </w:rPr>
        <w:t>- O</w:t>
      </w:r>
      <w:r>
        <w:t>.M.F.P.</w:t>
      </w:r>
      <w:r>
        <w:rPr>
          <w:lang w:val="ro-RO"/>
        </w:rPr>
        <w:t xml:space="preserve"> nr. 2634/2015 privind documentele financiar-contabile;</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O.M.F.P. nr. 923/2014 pentru aprobarea Normelor metodologice generale referitoare la exercitarea controlului financiar preventiv şi a Codului specific de norme profesionale pentru persoanele care desfăşoară activitatea de control financiar preventiv propriu;</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pPr>
      <w:r>
        <w:t xml:space="preserve">- </w:t>
      </w:r>
      <w:r>
        <w:rPr>
          <w:lang w:val="it-IT"/>
        </w:rPr>
        <w:t xml:space="preserve">O.M.F.P. </w:t>
      </w:r>
      <w:r>
        <w:t>nr.</w:t>
      </w:r>
      <w:r>
        <w:rPr>
          <w:lang w:val="it-IT"/>
        </w:rPr>
        <w:t xml:space="preserve"> 2861/</w:t>
      </w:r>
      <w:r>
        <w:t>09.10.</w:t>
      </w:r>
      <w:r>
        <w:rPr>
          <w:lang w:val="it-IT"/>
        </w:rPr>
        <w:t>2009 pentru aprobarea Normelor privind organizarea şi efectuarea inventarierii elementelor de natura activelor, datoriilor şi capitalurilor proprii</w:t>
      </w:r>
      <w:r>
        <w:t>;</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pPr>
      <w:r>
        <w:t>- Decretul 209/05.07.1976 privind aprobarea Regulamntului operaţiilor de casă;</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pPr>
      <w:r>
        <w:t xml:space="preserve">- </w:t>
      </w:r>
      <w:r>
        <w:rPr>
          <w:lang w:val="ro-RO"/>
        </w:rPr>
        <w:t>Ordonanţa de Guvern nr. 33/</w:t>
      </w:r>
      <w:r>
        <w:t>1</w:t>
      </w:r>
      <w:r>
        <w:rPr>
          <w:lang w:val="ro-RO"/>
        </w:rPr>
        <w:t>6.</w:t>
      </w:r>
      <w:r>
        <w:t>08.</w:t>
      </w:r>
      <w:r>
        <w:rPr>
          <w:lang w:val="ro-RO"/>
        </w:rPr>
        <w:t>2001 privind acordarea de rechizite şcolare în anul şcolar 2001 – 2002, aprobată  cu modificări  și completări prin Legea nr. 126 din 18 martie 2002;</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O.M.E.C.T.S. Nr 5576/07.10.2011 privind aprobarea Criteriilor generale de acordare a burselor elevilor din învăţământul preuniversitar de stat;</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pPr>
      <w:r>
        <w:rPr>
          <w:lang w:val="ro-RO"/>
        </w:rPr>
        <w:t>- H.G. nr. 1488/09.09.2004 privind aprobarea criteriilor şi a cuantumului sprijinului financiar ce se acordă elevilor în cadrul Programului naţional de protecţie socială "Bani de liceu";</w:t>
      </w:r>
    </w:p>
    <w:p>
      <w:pPr>
        <w:pStyle w:val="4"/>
        <w:keepNext w:val="0"/>
        <w:keepLines w:val="0"/>
        <w:pageBreakBefore w:val="0"/>
        <w:widowControl/>
        <w:kinsoku/>
        <w:wordWrap/>
        <w:overflowPunct/>
        <w:topLinePunct w:val="0"/>
        <w:autoSpaceDE/>
        <w:autoSpaceDN/>
        <w:bidi w:val="0"/>
        <w:adjustRightInd/>
        <w:snapToGrid/>
        <w:spacing w:after="0" w:line="240" w:lineRule="auto"/>
        <w:contextualSpacing/>
        <w:jc w:val="both"/>
        <w:textAlignment w:val="auto"/>
        <w:outlineLvl w:val="9"/>
        <w:rPr>
          <w:lang w:val="ro-RO"/>
        </w:rPr>
      </w:pPr>
      <w:r>
        <w:rPr>
          <w:lang w:val="ro-RO"/>
        </w:rPr>
        <w:t>- H.G. nr. 4839/01.10.2004 privind criteriile specifice şi metodologia de acordare a sprijinului financiar în cadrul Programului naţional de protecţie socială "Bani de liceu", modif. conf. HG nr. 1005/2001 / HG nr. 1095/2007 / HG nr.594/2009 / HG nr.712/2018;</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xml:space="preserve">- H.G nr. 276/21.05.2013 privind stabilirea valorii de intrare a mijloacelor fixe; </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pPr>
      <w:r>
        <w:rPr>
          <w:b/>
          <w:bCs/>
        </w:rPr>
        <w:t xml:space="preserve">- </w:t>
      </w:r>
      <w:r>
        <w:t xml:space="preserve">Hotărârea nr. </w:t>
      </w:r>
      <w:r>
        <w:rPr>
          <w:lang w:val="ro-RO"/>
        </w:rPr>
        <w:t>714</w:t>
      </w:r>
      <w:r>
        <w:t>/</w:t>
      </w:r>
      <w:r>
        <w:rPr>
          <w:lang w:val="ro-RO"/>
        </w:rPr>
        <w:t>2018</w:t>
      </w:r>
      <w:r>
        <w:t xml:space="preserve"> privind drepturile şi obligaţiile personalului autorităţilor şi instituţiilor publice pe perioada delegării şi detaşării în altă localitate, precum şi în cazul deplasării, în cadrul localităţii, în interesul serviciului; </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xml:space="preserve">- HG nr.863/2016 pentru aprobarea Metodologiei de calcul şi stabilirea tarifului maxim / km aferent abonamentului de transport prevăzut la ali.3 al art.84 din </w:t>
      </w:r>
      <w:bookmarkStart w:id="0" w:name="_GoBack"/>
      <w:bookmarkEnd w:id="0"/>
      <w:r>
        <w:rPr>
          <w:lang w:val="ro-RO"/>
        </w:rPr>
        <w:t>LEN nr. 1(2011, modif. conf. HG nr. 639/2017;</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pPr>
      <w:r>
        <w:t>- H.G. 2139/</w:t>
      </w:r>
      <w:r>
        <w:rPr>
          <w:lang w:val="ro-RO"/>
        </w:rPr>
        <w:t>30.11.</w:t>
      </w:r>
      <w:r>
        <w:t xml:space="preserve">2004 pentru aprobarea </w:t>
      </w:r>
      <w:r>
        <w:rPr>
          <w:lang w:val="ro-RO"/>
        </w:rPr>
        <w:t>C</w:t>
      </w:r>
      <w:r>
        <w:t>atalogului privind clasificarea şi duratele normale de funcţionare a mijloacelor fixe, actualizată;</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xml:space="preserve">- </w:t>
      </w:r>
      <w:r>
        <w:t>Regulamentul de organizare şi funcţionare a unităţilor de</w:t>
      </w:r>
      <w:r>
        <w:rPr>
          <w:lang w:val="ro-RO"/>
        </w:rPr>
        <w:t xml:space="preserve"> </w:t>
      </w:r>
      <w:r>
        <w:t>învăţământ preuniversitar,aprobat prin OMEN</w:t>
      </w:r>
      <w:r>
        <w:rPr>
          <w:lang w:val="ro-RO"/>
        </w:rPr>
        <w:t>CS</w:t>
      </w:r>
      <w:r>
        <w:t xml:space="preserve"> nr.5</w:t>
      </w:r>
      <w:r>
        <w:rPr>
          <w:lang w:val="ro-RO"/>
        </w:rPr>
        <w:t>079</w:t>
      </w:r>
      <w:r>
        <w:t>/201</w:t>
      </w:r>
      <w:r>
        <w:rPr>
          <w:lang w:val="ro-RO"/>
        </w:rPr>
        <w:t>6, cu cvompletările şi modificările ulterioare;</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rFonts w:hint="default" w:ascii="Times New Roman" w:hAnsi="Times New Roman" w:cs="Times New Roman"/>
          <w:sz w:val="24"/>
          <w:szCs w:val="24"/>
          <w:lang w:val="ro-RO"/>
        </w:rPr>
      </w:pPr>
      <w:r>
        <w:rPr>
          <w:lang w:val="ro-RO"/>
        </w:rPr>
        <w:t xml:space="preserve">- HG 536/2016 </w:t>
      </w:r>
      <w:r>
        <w:rPr>
          <w:rFonts w:hint="default" w:ascii="Times New Roman" w:hAnsi="Times New Roman" w:eastAsia="monospace" w:cs="Times New Roman"/>
          <w:sz w:val="24"/>
          <w:szCs w:val="24"/>
        </w:rPr>
        <w:t>privind stimularea performanţei şcolare înalte din învăţământul</w:t>
      </w:r>
      <w:r>
        <w:rPr>
          <w:rFonts w:hint="default" w:ascii="Times New Roman" w:hAnsi="Times New Roman" w:eastAsia="monospace" w:cs="Times New Roman"/>
          <w:sz w:val="24"/>
          <w:szCs w:val="24"/>
          <w:lang w:val="ro-RO"/>
        </w:rPr>
        <w:t xml:space="preserve"> </w:t>
      </w:r>
      <w:r>
        <w:rPr>
          <w:rFonts w:hint="default" w:ascii="Times New Roman" w:hAnsi="Times New Roman" w:eastAsia="monospace" w:cs="Times New Roman"/>
          <w:sz w:val="24"/>
          <w:szCs w:val="24"/>
        </w:rPr>
        <w:t>preuniversitar</w:t>
      </w:r>
      <w:r>
        <w:rPr>
          <w:rFonts w:hint="default" w:ascii="Times New Roman" w:hAnsi="Times New Roman" w:eastAsia="monospace" w:cs="Times New Roman"/>
          <w:sz w:val="24"/>
          <w:szCs w:val="24"/>
          <w:lang w:val="ro-RO"/>
        </w:rPr>
        <w:t>;</w:t>
      </w:r>
    </w:p>
    <w:p>
      <w:pPr>
        <w:keepNext w:val="0"/>
        <w:keepLines w:val="0"/>
        <w:pageBreakBefore w:val="0"/>
        <w:widowControl/>
        <w:kinsoku/>
        <w:wordWrap/>
        <w:overflowPunct/>
        <w:topLinePunct w:val="0"/>
        <w:autoSpaceDE/>
        <w:autoSpaceDN/>
        <w:bidi w:val="0"/>
        <w:adjustRightInd/>
        <w:snapToGrid/>
        <w:spacing w:line="240" w:lineRule="auto"/>
        <w:contextualSpacing/>
        <w:jc w:val="both"/>
        <w:textAlignment w:val="auto"/>
        <w:outlineLvl w:val="9"/>
        <w:rPr>
          <w:lang w:val="ro-RO"/>
        </w:rPr>
      </w:pPr>
      <w:r>
        <w:rPr>
          <w:lang w:val="ro-RO"/>
        </w:rPr>
        <w:t>- OUG nr. 114/2018 privind instituirea unor măsuri în domeniul investiţiilor publice şi a unor măsuri fiscal bugetare, modificarea şi completarea unor acte normative şi prorogarea unor termene.</w:t>
      </w:r>
    </w:p>
    <w:p>
      <w:pPr>
        <w:spacing w:line="360" w:lineRule="auto"/>
        <w:contextualSpacing/>
        <w:jc w:val="both"/>
        <w:rPr>
          <w:lang w:val="ro-RO"/>
        </w:rPr>
      </w:pPr>
    </w:p>
    <w:p>
      <w:pPr>
        <w:spacing w:line="240" w:lineRule="auto"/>
        <w:jc w:val="center"/>
        <w:rPr>
          <w:b/>
          <w:bCs/>
          <w:shd w:val="clear" w:color="auto" w:fill="FFFFFF"/>
          <w:lang w:val="ro-RO"/>
        </w:rPr>
      </w:pPr>
      <w:r>
        <w:rPr>
          <w:b/>
          <w:bCs/>
          <w:shd w:val="clear" w:color="auto" w:fill="FFFFFF"/>
          <w:lang w:val="ro-RO"/>
        </w:rPr>
        <w:t>DIRECTOR,</w:t>
      </w:r>
    </w:p>
    <w:p>
      <w:pPr>
        <w:spacing w:line="240" w:lineRule="auto"/>
        <w:jc w:val="center"/>
        <w:rPr>
          <w:b/>
          <w:bCs/>
          <w:shd w:val="clear" w:color="auto" w:fill="FFFFFF"/>
        </w:rPr>
      </w:pPr>
      <w:r>
        <w:rPr>
          <w:b/>
          <w:bCs/>
          <w:shd w:val="clear" w:color="auto" w:fill="FFFFFF"/>
          <w:lang w:val="ro-RO"/>
        </w:rPr>
        <w:t>Prof. R</w:t>
      </w:r>
      <w:r>
        <w:rPr>
          <w:b/>
          <w:bCs/>
          <w:shd w:val="clear" w:color="auto" w:fill="FFFFFF"/>
          <w:lang w:val="en-GB"/>
        </w:rPr>
        <w:t>us Gabriela - Rodica</w:t>
      </w:r>
    </w:p>
    <w:p>
      <w:pPr>
        <w:pStyle w:val="4"/>
        <w:spacing w:after="0"/>
        <w:contextualSpacing/>
        <w:jc w:val="center"/>
      </w:pPr>
    </w:p>
    <w:sectPr>
      <w:headerReference r:id="rId3" w:type="default"/>
      <w:footerReference r:id="rId4" w:type="default"/>
      <w:pgSz w:w="12240" w:h="15840"/>
      <w:pgMar w:top="1440" w:right="1440" w:bottom="1440" w:left="1440" w:header="426" w:footer="0" w:gutter="0"/>
      <w:cols w:space="708" w:num="1"/>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Mangal">
    <w:panose1 w:val="02040503050203030202"/>
    <w:charset w:val="00"/>
    <w:family w:val="roman"/>
    <w:pitch w:val="default"/>
    <w:sig w:usb0="00008003" w:usb1="00000000" w:usb2="00000000" w:usb3="00000000" w:csb0="00000001" w:csb1="00000000"/>
  </w:font>
  <w:font w:name="Liberation Serif">
    <w:altName w:val="Times New Roman"/>
    <w:panose1 w:val="00000000000000000000"/>
    <w:charset w:val="EE"/>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OpenSymbol;Arial Unicode MS">
    <w:altName w:val="Times New Roman"/>
    <w:panose1 w:val="00000000000000000000"/>
    <w:charset w:val="00"/>
    <w:family w:val="roman"/>
    <w:pitch w:val="default"/>
    <w:sig w:usb0="00000000" w:usb1="00000000" w:usb2="00000000" w:usb3="00000000" w:csb0="00000000" w:csb1="00000000"/>
  </w:font>
  <w:font w:name="Microsoft YaHei">
    <w:panose1 w:val="020B0503020204020204"/>
    <w:charset w:val="86"/>
    <w:family w:val="swiss"/>
    <w:pitch w:val="default"/>
    <w:sig w:usb0="A0000287" w:usb1="28CF3C52" w:usb2="00000016" w:usb3="00000000" w:csb0="0004001F" w:csb1="00000000"/>
  </w:font>
  <w:font w:name="Book Antiqua">
    <w:altName w:val="Segoe Print"/>
    <w:panose1 w:val="02040602050305030304"/>
    <w:charset w:val="00"/>
    <w:family w:val="roman"/>
    <w:pitch w:val="default"/>
    <w:sig w:usb0="00000000" w:usb1="00000000" w:usb2="00000000" w:usb3="00000000" w:csb0="0000009F" w:csb1="00000000"/>
  </w:font>
  <w:font w:name="Lucida Sans Unicode">
    <w:panose1 w:val="020B0602030504020204"/>
    <w:charset w:val="00"/>
    <w:family w:val="swiss"/>
    <w:pitch w:val="default"/>
    <w:sig w:usb0="80001AFF" w:usb1="0000396B" w:usb2="00000000" w:usb3="00000000" w:csb0="200000BF" w:csb1="D7F70000"/>
  </w:font>
  <w:font w:name="TimesNewRomanPSMT">
    <w:altName w:val="Times New Roman"/>
    <w:panose1 w:val="00000000000000000000"/>
    <w:charset w:val="EE"/>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onospace">
    <w:altName w:val="Segoe Print"/>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360" w:lineRule="auto"/>
      <w:ind w:left="1415"/>
      <w:jc w:val="right"/>
    </w:pPr>
    <w:r>
      <w:rPr>
        <w:b w:val="0"/>
        <w:lang w:val="en-GB" w:eastAsia="en-GB"/>
      </w:rPr>
      <mc:AlternateContent>
        <mc:Choice Requires="wps">
          <w:drawing>
            <wp:anchor distT="0" distB="0" distL="114300" distR="114300" simplePos="0" relativeHeight="251664384" behindDoc="0" locked="0" layoutInCell="1" allowOverlap="1">
              <wp:simplePos x="0" y="0"/>
              <wp:positionH relativeFrom="column">
                <wp:posOffset>-442595</wp:posOffset>
              </wp:positionH>
              <wp:positionV relativeFrom="paragraph">
                <wp:posOffset>184150</wp:posOffset>
              </wp:positionV>
              <wp:extent cx="6638925" cy="0"/>
              <wp:effectExtent l="0" t="88900" r="85725" b="25400"/>
              <wp:wrapNone/>
              <wp:docPr id="4" name="AutoShape 1080"/>
              <wp:cNvGraphicFramePr/>
              <a:graphic xmlns:a="http://schemas.openxmlformats.org/drawingml/2006/main">
                <a:graphicData uri="http://schemas.microsoft.com/office/word/2010/wordprocessingShape">
                  <wps:wsp>
                    <wps:cNvCnPr/>
                    <wps:spPr>
                      <a:xfrm>
                        <a:off x="0" y="0"/>
                        <a:ext cx="6638925" cy="0"/>
                      </a:xfrm>
                      <a:prstGeom prst="straightConnector1">
                        <a:avLst/>
                      </a:prstGeom>
                      <a:ln w="25400" cap="flat" cmpd="sng">
                        <a:solidFill>
                          <a:srgbClr val="000000"/>
                        </a:solidFill>
                        <a:prstDash val="solid"/>
                        <a:headEnd type="none" w="med" len="med"/>
                        <a:tailEnd type="none" w="med" len="med"/>
                      </a:ln>
                      <a:effectLst>
                        <a:outerShdw dist="107763" dir="18900000" algn="ctr" rotWithShape="0">
                          <a:srgbClr val="000000">
                            <a:alpha val="50000"/>
                          </a:srgbClr>
                        </a:outerShdw>
                      </a:effectLst>
                    </wps:spPr>
                    <wps:bodyPr/>
                  </wps:wsp>
                </a:graphicData>
              </a:graphic>
            </wp:anchor>
          </w:drawing>
        </mc:Choice>
        <mc:Fallback>
          <w:pict>
            <v:shape id="AutoShape 1080" o:spid="_x0000_s1026" o:spt="32" type="#_x0000_t32" style="position:absolute;left:0pt;margin-left:-34.85pt;margin-top:14.5pt;height:0pt;width:522.75pt;z-index:251664384;mso-width-relative:page;mso-height-relative:page;" filled="f" stroked="t" coordsize="21600,21600" o:gfxdata="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2BGOG1wAAAAkBAAAPAAAAAAAAAAEA&#10;IAAAACIAAABkcnMvZG93bnJldi54bWxQSwECFAAUAAAACACHTuJAPYt+LBACAAA/BAAADgAAAAAA&#10;AAABACAAAAAmAQAAZHJzL2Uyb0RvYy54bWxQSwUGAAAAAAYABgBZAQAAqAUAAAAA&#10;">
              <v:fill on="f" focussize="0,0"/>
              <v:stroke weight="2pt" color="#000000" joinstyle="round"/>
              <v:imagedata o:title=""/>
              <o:lock v:ext="edit" aspectratio="f"/>
              <v:shadow on="t" color="#000000" opacity="32768f" offset="6pt,-6pt" origin="0f,0f" matrix="65536f,0f,0f,65536f"/>
            </v:shape>
          </w:pict>
        </mc:Fallback>
      </mc:AlternateContent>
    </w:r>
  </w:p>
  <w:p>
    <w:pPr>
      <w:pStyle w:val="2"/>
      <w:spacing w:line="360" w:lineRule="auto"/>
      <w:ind w:left="1415"/>
      <w:jc w:val="right"/>
      <w:rPr>
        <w:sz w:val="20"/>
        <w:szCs w:val="20"/>
      </w:rPr>
    </w:pPr>
    <w:r>
      <w:rPr>
        <w:sz w:val="20"/>
        <w:szCs w:val="20"/>
      </w:rPr>
      <w:t>Str. Slătinioara, nr. 10, Petroşani, cod 332004, jud. Hunedoara</w:t>
    </w:r>
  </w:p>
  <w:p>
    <w:pPr>
      <w:spacing w:line="360" w:lineRule="auto"/>
      <w:jc w:val="right"/>
      <w:rPr>
        <w:b/>
        <w:sz w:val="20"/>
        <w:szCs w:val="20"/>
      </w:rPr>
    </w:pPr>
    <w:r>
      <w:rPr>
        <w:b/>
        <w:sz w:val="20"/>
        <w:szCs w:val="20"/>
      </w:rPr>
      <w:t xml:space="preserve">                Tel. / fax.: 0254/542683;  Tel. / fax.:  0254/541502</w:t>
    </w:r>
  </w:p>
  <w:p>
    <w:pPr>
      <w:spacing w:line="360" w:lineRule="auto"/>
      <w:jc w:val="right"/>
      <w:rPr>
        <w:b/>
        <w:sz w:val="20"/>
        <w:szCs w:val="20"/>
      </w:rPr>
    </w:pPr>
    <w:r>
      <w:rPr>
        <w:b/>
        <w:sz w:val="20"/>
        <w:szCs w:val="20"/>
      </w:rPr>
      <w:t xml:space="preserve">E-mail: </w:t>
    </w:r>
    <w:r>
      <w:fldChar w:fldCharType="begin"/>
    </w:r>
    <w:r>
      <w:instrText xml:space="preserve"> HYPERLINK "mailto:secretariat@infopetrosani.r" </w:instrText>
    </w:r>
    <w:r>
      <w:fldChar w:fldCharType="separate"/>
    </w:r>
    <w:r>
      <w:rPr>
        <w:rStyle w:val="11"/>
        <w:sz w:val="20"/>
        <w:szCs w:val="20"/>
      </w:rPr>
      <w:t>secretariat@infopetrosani.r</w:t>
    </w:r>
    <w:r>
      <w:rPr>
        <w:rStyle w:val="11"/>
        <w:sz w:val="20"/>
        <w:szCs w:val="20"/>
      </w:rPr>
      <w:fldChar w:fldCharType="end"/>
    </w:r>
    <w:r>
      <w:rPr>
        <w:b/>
        <w:sz w:val="20"/>
        <w:szCs w:val="20"/>
      </w:rPr>
      <w:t>o</w:t>
    </w:r>
  </w:p>
  <w:p>
    <w:pPr>
      <w:spacing w:line="360" w:lineRule="auto"/>
      <w:jc w:val="right"/>
      <w:rPr>
        <w:b/>
      </w:rPr>
    </w:pPr>
    <w:r>
      <w:rPr>
        <w:b/>
        <w:sz w:val="20"/>
        <w:szCs w:val="20"/>
      </w:rPr>
      <w:t xml:space="preserve">                            Web site:  http://infopetrosani.ro</w:t>
    </w: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20" w:line="240" w:lineRule="auto"/>
      <w:rPr>
        <w:b/>
        <w:sz w:val="26"/>
        <w:szCs w:val="26"/>
        <w14:shadow w14:blurRad="50800" w14:dist="38100" w14:dir="2700000" w14:sx="100000" w14:sy="100000" w14:kx="0" w14:ky="0" w14:algn="tl">
          <w14:srgbClr w14:val="000000">
            <w14:alpha w14:val="60000"/>
          </w14:srgbClr>
        </w14:shadow>
      </w:rPr>
    </w:pPr>
    <w:r>
      <w:rPr>
        <w:b/>
        <w:sz w:val="26"/>
        <w:szCs w:val="26"/>
        <w:lang w:val="en-GB" w:eastAsia="en-GB"/>
        <w14:shadow w14:blurRad="50800" w14:dist="38100" w14:dir="2700000" w14:sx="100000" w14:sy="100000" w14:kx="0" w14:ky="0" w14:algn="tl">
          <w14:srgbClr w14:val="000000">
            <w14:alpha w14:val="60000"/>
          </w14:srgbClr>
        </w14:shadow>
      </w:rPr>
      <w:drawing>
        <wp:anchor distT="0" distB="0" distL="114300" distR="114300" simplePos="0" relativeHeight="251662336" behindDoc="0" locked="0" layoutInCell="1" allowOverlap="1">
          <wp:simplePos x="0" y="0"/>
          <wp:positionH relativeFrom="column">
            <wp:posOffset>-133985</wp:posOffset>
          </wp:positionH>
          <wp:positionV relativeFrom="paragraph">
            <wp:posOffset>-186690</wp:posOffset>
          </wp:positionV>
          <wp:extent cx="1057275" cy="1101090"/>
          <wp:effectExtent l="19050" t="0" r="9525"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
                  <a:srcRect l="27586" t="23341" r="40340" b="17274"/>
                  <a:stretch>
                    <a:fillRect/>
                  </a:stretch>
                </pic:blipFill>
                <pic:spPr>
                  <a:xfrm>
                    <a:off x="0" y="0"/>
                    <a:ext cx="1057275" cy="1101090"/>
                  </a:xfrm>
                  <a:prstGeom prst="rect">
                    <a:avLst/>
                  </a:prstGeom>
                  <a:noFill/>
                  <a:ln w="9525">
                    <a:noFill/>
                    <a:miter lim="800000"/>
                    <a:headEnd/>
                    <a:tailEnd/>
                  </a:ln>
                </pic:spPr>
              </pic:pic>
            </a:graphicData>
          </a:graphic>
        </wp:anchor>
      </w:drawing>
    </w:r>
    <w:r>
      <w:rPr>
        <w:b/>
        <w:sz w:val="26"/>
        <w:szCs w:val="26"/>
        <w:lang w:val="en-GB" w:eastAsia="en-GB"/>
        <w14:shadow w14:blurRad="50800" w14:dist="38100" w14:dir="2700000" w14:sx="100000" w14:sy="100000" w14:kx="0" w14:ky="0" w14:algn="tl">
          <w14:srgbClr w14:val="000000">
            <w14:alpha w14:val="60000"/>
          </w14:srgbClr>
        </w14:shadow>
      </w:rPr>
      <w:drawing>
        <wp:anchor distT="0" distB="0" distL="114300" distR="114300" simplePos="0" relativeHeight="251660288" behindDoc="1" locked="0" layoutInCell="1" allowOverlap="1">
          <wp:simplePos x="0" y="0"/>
          <wp:positionH relativeFrom="column">
            <wp:posOffset>3908425</wp:posOffset>
          </wp:positionH>
          <wp:positionV relativeFrom="paragraph">
            <wp:posOffset>-163195</wp:posOffset>
          </wp:positionV>
          <wp:extent cx="2214245" cy="934720"/>
          <wp:effectExtent l="19050" t="0" r="0" b="0"/>
          <wp:wrapNone/>
          <wp:docPr id="2" name="Picture 1048"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48" descr="index"/>
                  <pic:cNvPicPr>
                    <a:picLocks noChangeAspect="1" noChangeArrowheads="1"/>
                  </pic:cNvPicPr>
                </pic:nvPicPr>
                <pic:blipFill>
                  <a:blip r:embed="rId2"/>
                  <a:srcRect/>
                  <a:stretch>
                    <a:fillRect/>
                  </a:stretch>
                </pic:blipFill>
                <pic:spPr>
                  <a:xfrm>
                    <a:off x="0" y="0"/>
                    <a:ext cx="2214245" cy="934720"/>
                  </a:xfrm>
                  <a:prstGeom prst="rect">
                    <a:avLst/>
                  </a:prstGeom>
                  <a:noFill/>
                  <a:ln w="9525">
                    <a:noFill/>
                    <a:miter lim="800000"/>
                    <a:headEnd/>
                    <a:tailEnd/>
                  </a:ln>
                  <a:effectLst/>
                </pic:spPr>
              </pic:pic>
            </a:graphicData>
          </a:graphic>
        </wp:anchor>
      </w:drawing>
    </w:r>
    <w:r>
      <w:rPr>
        <w:b/>
        <w:sz w:val="28"/>
        <w:szCs w:val="28"/>
        <w14:shadow w14:blurRad="50800" w14:dist="38100" w14:dir="2700000" w14:sx="100000" w14:sy="100000" w14:kx="0" w14:ky="0" w14:algn="tl">
          <w14:srgbClr w14:val="000000">
            <w14:alpha w14:val="60000"/>
          </w14:srgbClr>
        </w14:shadow>
      </w:rPr>
      <w:t xml:space="preserve">                         </w:t>
    </w:r>
    <w:r>
      <w:rPr>
        <w:b/>
        <w:sz w:val="26"/>
        <w:szCs w:val="26"/>
        <w14:shadow w14:blurRad="50800" w14:dist="38100" w14:dir="2700000" w14:sx="100000" w14:sy="100000" w14:kx="0" w14:ky="0" w14:algn="tl">
          <w14:srgbClr w14:val="000000">
            <w14:alpha w14:val="60000"/>
          </w14:srgbClr>
        </w14:shadow>
      </w:rPr>
      <w:t>Colegiul Naţional de Informatică</w:t>
    </w:r>
    <w:r>
      <w:rPr>
        <w:b/>
        <w:sz w:val="26"/>
        <w:szCs w:val="26"/>
        <w:lang w:val="en-GB"/>
        <w14:shadow w14:blurRad="50800" w14:dist="38100" w14:dir="2700000" w14:sx="100000" w14:sy="100000" w14:kx="0" w14:ky="0" w14:algn="tl">
          <w14:srgbClr w14:val="000000">
            <w14:alpha w14:val="60000"/>
          </w14:srgbClr>
        </w14:shadow>
      </w:rPr>
      <w:t xml:space="preserve">                     </w:t>
    </w:r>
    <w:r>
      <w:rPr>
        <w:b/>
        <w:sz w:val="26"/>
        <w:szCs w:val="26"/>
        <w14:shadow w14:blurRad="50800" w14:dist="38100" w14:dir="2700000" w14:sx="100000" w14:sy="100000" w14:kx="0" w14:ky="0" w14:algn="tl">
          <w14:srgbClr w14:val="000000">
            <w14:alpha w14:val="60000"/>
          </w14:srgbClr>
        </w14:shadow>
      </w:rPr>
      <w:t xml:space="preserve"> </w:t>
    </w:r>
  </w:p>
  <w:p>
    <w:pPr>
      <w:spacing w:after="120" w:line="240" w:lineRule="auto"/>
      <w:rPr>
        <w:b/>
        <w:sz w:val="26"/>
        <w:szCs w:val="26"/>
        <w14:shadow w14:blurRad="50800" w14:dist="38100" w14:dir="2700000" w14:sx="100000" w14:sy="100000" w14:kx="0" w14:ky="0" w14:algn="tl">
          <w14:srgbClr w14:val="000000">
            <w14:alpha w14:val="60000"/>
          </w14:srgbClr>
        </w14:shadow>
      </w:rPr>
    </w:pPr>
    <w:r>
      <w:rPr>
        <w:b/>
        <w:sz w:val="26"/>
        <w:szCs w:val="26"/>
        <w:lang w:val="en-GB"/>
        <w14:shadow w14:blurRad="50800" w14:dist="38100" w14:dir="2700000" w14:sx="100000" w14:sy="100000" w14:kx="0" w14:ky="0" w14:algn="tl">
          <w14:srgbClr w14:val="000000">
            <w14:alpha w14:val="60000"/>
          </w14:srgbClr>
        </w14:shadow>
      </w:rPr>
      <w:t xml:space="preserve">                          </w:t>
    </w:r>
    <w:r>
      <w:rPr>
        <w:b/>
        <w:sz w:val="26"/>
        <w:szCs w:val="26"/>
        <w14:shadow w14:blurRad="50800" w14:dist="38100" w14:dir="2700000" w14:sx="100000" w14:sy="100000" w14:kx="0" w14:ky="0" w14:algn="tl">
          <w14:srgbClr w14:val="000000">
            <w14:alpha w14:val="60000"/>
          </w14:srgbClr>
        </w14:shadow>
      </w:rPr>
      <w:t xml:space="preserve">     „Carmen Sylva” Petroşani</w:t>
    </w:r>
  </w:p>
  <w:p>
    <w:pPr>
      <w:spacing w:after="120" w:line="240" w:lineRule="auto"/>
      <w:ind w:left="1416"/>
      <w:rPr>
        <w:b/>
        <w:sz w:val="26"/>
        <w:szCs w:val="26"/>
        <w14:shadow w14:blurRad="50800" w14:dist="38100" w14:dir="2700000" w14:sx="100000" w14:sy="100000" w14:kx="0" w14:ky="0" w14:algn="tl">
          <w14:srgbClr w14:val="000000">
            <w14:alpha w14:val="60000"/>
          </w14:srgbClr>
        </w14:shadow>
      </w:rPr>
    </w:pPr>
    <w:r>
      <w:rPr>
        <w:b/>
        <w:sz w:val="26"/>
        <w:szCs w:val="26"/>
        <w:lang w:val="en-GB"/>
        <w14:shadow w14:blurRad="50800" w14:dist="38100" w14:dir="2700000" w14:sx="100000" w14:sy="100000" w14:kx="0" w14:ky="0" w14:algn="tl">
          <w14:srgbClr w14:val="000000">
            <w14:alpha w14:val="60000"/>
          </w14:srgbClr>
        </w14:shadow>
      </w:rPr>
      <w:t xml:space="preserve">         </w:t>
    </w:r>
    <w:r>
      <w:rPr>
        <w:b/>
        <w:sz w:val="26"/>
        <w:szCs w:val="26"/>
        <w14:shadow w14:blurRad="50800" w14:dist="38100" w14:dir="2700000" w14:sx="100000" w14:sy="100000" w14:kx="0" w14:ky="0" w14:algn="tl">
          <w14:srgbClr w14:val="000000">
            <w14:alpha w14:val="60000"/>
          </w14:srgbClr>
        </w14:shadow>
      </w:rPr>
      <w:t xml:space="preserve">     Jud. HUNED</w:t>
    </w:r>
    <w:r>
      <w:rPr>
        <w:b/>
        <w:sz w:val="26"/>
        <w:szCs w:val="26"/>
        <w:lang w:val="en-GB"/>
        <w14:shadow w14:blurRad="50800" w14:dist="38100" w14:dir="2700000" w14:sx="100000" w14:sy="100000" w14:kx="0" w14:ky="0" w14:algn="tl">
          <w14:srgbClr w14:val="000000">
            <w14:alpha w14:val="60000"/>
          </w14:srgbClr>
        </w14:shadow>
      </w:rPr>
      <w:t>OARA</w:t>
    </w:r>
    <w:r>
      <w:rPr>
        <w:b/>
        <w:sz w:val="26"/>
        <w:szCs w:val="26"/>
        <w14:shadow w14:blurRad="50800" w14:dist="38100" w14:dir="2700000" w14:sx="100000" w14:sy="100000" w14:kx="0" w14:ky="0" w14:algn="tl">
          <w14:srgbClr w14:val="000000">
            <w14:alpha w14:val="60000"/>
          </w14:srgbClr>
        </w14:shadow>
      </w:rPr>
      <w:t xml:space="preserve">                         </w:t>
    </w:r>
  </w:p>
  <w:p>
    <w:pPr>
      <w:spacing w:after="120" w:line="240" w:lineRule="auto"/>
      <w:rPr>
        <w:b/>
        <w:sz w:val="26"/>
        <w:szCs w:val="26"/>
        <w14:shadow w14:blurRad="50800" w14:dist="38100" w14:dir="2700000" w14:sx="100000" w14:sy="100000" w14:kx="0" w14:ky="0" w14:algn="tl">
          <w14:srgbClr w14:val="000000">
            <w14:alpha w14:val="60000"/>
          </w14:srgbClr>
        </w14:shadow>
      </w:rPr>
    </w:pPr>
    <w:r>
      <w:rPr>
        <w:b/>
        <w:sz w:val="26"/>
        <w:szCs w:val="26"/>
        <w:lang w:val="en-GB"/>
        <w14:shadow w14:blurRad="50800" w14:dist="38100" w14:dir="2700000" w14:sx="100000" w14:sy="100000" w14:kx="0" w14:ky="0" w14:algn="tl">
          <w14:srgbClr w14:val="000000">
            <w14:alpha w14:val="60000"/>
          </w14:srgbClr>
        </w14:shadow>
      </w:rPr>
      <w:t xml:space="preserve">                                                                          </w:t>
    </w:r>
  </w:p>
  <w:p>
    <w:pPr>
      <w:spacing w:after="120" w:line="240" w:lineRule="auto"/>
      <w:ind w:left="1416"/>
      <w:rPr>
        <w:b/>
        <w:sz w:val="26"/>
        <w:szCs w:val="26"/>
        <w14:shadow w14:blurRad="50800" w14:dist="38100" w14:dir="2700000" w14:sx="100000" w14:sy="100000" w14:kx="0" w14:ky="0" w14:algn="tl">
          <w14:srgbClr w14:val="000000">
            <w14:alpha w14:val="60000"/>
          </w14:srgbClr>
        </w14:shadow>
      </w:rPr>
    </w:pPr>
    <w:r>
      <w:rPr>
        <w:lang w:val="en-GB" w:eastAsia="en-GB"/>
      </w:rPr>
      <mc:AlternateContent>
        <mc:Choice Requires="wps">
          <w:drawing>
            <wp:anchor distT="0" distB="0" distL="114300" distR="114300" simplePos="0" relativeHeight="251661312" behindDoc="0" locked="0" layoutInCell="1" allowOverlap="1">
              <wp:simplePos x="0" y="0"/>
              <wp:positionH relativeFrom="column">
                <wp:posOffset>-234315</wp:posOffset>
              </wp:positionH>
              <wp:positionV relativeFrom="paragraph">
                <wp:posOffset>122555</wp:posOffset>
              </wp:positionV>
              <wp:extent cx="6638925" cy="0"/>
              <wp:effectExtent l="0" t="88900" r="85725" b="25400"/>
              <wp:wrapNone/>
              <wp:docPr id="1" name="AutoShape 1092"/>
              <wp:cNvGraphicFramePr/>
              <a:graphic xmlns:a="http://schemas.openxmlformats.org/drawingml/2006/main">
                <a:graphicData uri="http://schemas.microsoft.com/office/word/2010/wordprocessingShape">
                  <wps:wsp>
                    <wps:cNvCnPr/>
                    <wps:spPr>
                      <a:xfrm>
                        <a:off x="0" y="0"/>
                        <a:ext cx="6638925" cy="0"/>
                      </a:xfrm>
                      <a:prstGeom prst="straightConnector1">
                        <a:avLst/>
                      </a:prstGeom>
                      <a:ln w="25400" cap="flat" cmpd="sng">
                        <a:solidFill>
                          <a:srgbClr val="000000"/>
                        </a:solidFill>
                        <a:prstDash val="solid"/>
                        <a:headEnd type="none" w="med" len="med"/>
                        <a:tailEnd type="none" w="med" len="med"/>
                      </a:ln>
                      <a:effectLst>
                        <a:outerShdw dist="107763" dir="18900000" algn="ctr" rotWithShape="0">
                          <a:srgbClr val="000000">
                            <a:alpha val="50000"/>
                          </a:srgbClr>
                        </a:outerShdw>
                      </a:effectLst>
                    </wps:spPr>
                    <wps:bodyPr/>
                  </wps:wsp>
                </a:graphicData>
              </a:graphic>
            </wp:anchor>
          </w:drawing>
        </mc:Choice>
        <mc:Fallback>
          <w:pict>
            <v:shape id="AutoShape 1092" o:spid="_x0000_s1026" o:spt="32" type="#_x0000_t32" style="position:absolute;left:0pt;margin-left:-18.45pt;margin-top:9.65pt;height:0pt;width:522.75pt;z-index:251661312;mso-width-relative:page;mso-height-relative:page;" filled="f" stroked="t" coordsize="21600,21600" o:gfxdata="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a5L2w1wAAAAoBAAAPAAAAAAAAAAEA&#10;IAAAACIAAABkcnMvZG93bnJldi54bWxQSwECFAAUAAAACACHTuJAe/U4lxACAAA/BAAADgAAAAAA&#10;AAABACAAAAAmAQAAZHJzL2Uyb0RvYy54bWxQSwUGAAAAAAYABgBZAQAAqAUAAAAA&#10;">
              <v:fill on="f" focussize="0,0"/>
              <v:stroke weight="2pt" color="#000000" joinstyle="round"/>
              <v:imagedata o:title=""/>
              <o:lock v:ext="edit" aspectratio="f"/>
              <v:shadow on="t" color="#000000" opacity="32768f" offset="6pt,-6pt" origin="0f,0f" matrix="65536f,0f,0f,65536f"/>
            </v:shape>
          </w:pict>
        </mc:Fallback>
      </mc:AlternateContent>
    </w:r>
    <w:r>
      <w:rPr>
        <w:b/>
        <w:sz w:val="26"/>
        <w:szCs w:val="26"/>
        <w14:shadow w14:blurRad="50800" w14:dist="38100" w14:dir="2700000" w14:sx="100000" w14:sy="100000" w14:kx="0" w14:ky="0" w14:algn="tl">
          <w14:srgbClr w14:val="000000">
            <w14:alpha w14:val="60000"/>
          </w14:srgbClr>
        </w14:shadow>
      </w:rPr>
      <w:t xml:space="preserve">       </w:t>
    </w:r>
  </w:p>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4ACA"/>
    <w:multiLevelType w:val="multilevel"/>
    <w:tmpl w:val="029F4ACA"/>
    <w:lvl w:ilvl="0" w:tentative="0">
      <w:start w:val="1"/>
      <w:numFmt w:val="bullet"/>
      <w:lvlText w:val=""/>
      <w:lvlJc w:val="left"/>
      <w:pPr>
        <w:ind w:left="720" w:hanging="360"/>
      </w:pPr>
      <w:rPr>
        <w:rFonts w:hint="default" w:ascii="Symbol" w:hAnsi="Symbol" w:cs="Times New Roman"/>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31EF5626"/>
    <w:multiLevelType w:val="multilevel"/>
    <w:tmpl w:val="31EF562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5705274"/>
    <w:multiLevelType w:val="multilevel"/>
    <w:tmpl w:val="35705274"/>
    <w:lvl w:ilvl="0" w:tentative="0">
      <w:start w:val="17"/>
      <w:numFmt w:val="decimal"/>
      <w:lvlText w:val="%1"/>
      <w:lvlJc w:val="left"/>
      <w:pPr>
        <w:ind w:left="1080" w:hanging="1080"/>
      </w:pPr>
      <w:rPr>
        <w:rFonts w:hint="default"/>
      </w:rPr>
    </w:lvl>
    <w:lvl w:ilvl="1" w:tentative="0">
      <w:start w:val="5"/>
      <w:numFmt w:val="decimalZero"/>
      <w:lvlText w:val="%1.%2"/>
      <w:lvlJc w:val="left"/>
      <w:pPr>
        <w:ind w:left="1080" w:hanging="1080"/>
      </w:pPr>
      <w:rPr>
        <w:rFonts w:hint="default"/>
      </w:rPr>
    </w:lvl>
    <w:lvl w:ilvl="2" w:tentative="0">
      <w:start w:val="2019"/>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52EE2FCA"/>
    <w:multiLevelType w:val="multilevel"/>
    <w:tmpl w:val="52EE2FCA"/>
    <w:lvl w:ilvl="0" w:tentative="0">
      <w:start w:val="14"/>
      <w:numFmt w:val="decimal"/>
      <w:lvlText w:val="%1"/>
      <w:lvlJc w:val="left"/>
      <w:pPr>
        <w:ind w:left="540" w:hanging="540"/>
      </w:pPr>
      <w:rPr>
        <w:rFonts w:hint="default"/>
      </w:rPr>
    </w:lvl>
    <w:lvl w:ilvl="1" w:tentative="0">
      <w:start w:val="5"/>
      <w:numFmt w:val="decimalZero"/>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4">
    <w:nsid w:val="644908E5"/>
    <w:multiLevelType w:val="multilevel"/>
    <w:tmpl w:val="644908E5"/>
    <w:lvl w:ilvl="0" w:tentative="0">
      <w:start w:val="1"/>
      <w:numFmt w:val="none"/>
      <w:pStyle w:val="2"/>
      <w:suff w:val="nothing"/>
      <w:lvlText w:val=""/>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5">
    <w:nsid w:val="649E5F1D"/>
    <w:multiLevelType w:val="multilevel"/>
    <w:tmpl w:val="649E5F1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09"/>
  <w:hyphenationZone w:val="425"/>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CD5"/>
    <w:rsid w:val="00024B32"/>
    <w:rsid w:val="00203AFE"/>
    <w:rsid w:val="003D4327"/>
    <w:rsid w:val="00430CD5"/>
    <w:rsid w:val="0047544E"/>
    <w:rsid w:val="00556E37"/>
    <w:rsid w:val="00764E8A"/>
    <w:rsid w:val="007C3A99"/>
    <w:rsid w:val="007D639C"/>
    <w:rsid w:val="00997829"/>
    <w:rsid w:val="00A7155B"/>
    <w:rsid w:val="00B91018"/>
    <w:rsid w:val="00BF2B7E"/>
    <w:rsid w:val="00C17FD2"/>
    <w:rsid w:val="00E73BD1"/>
    <w:rsid w:val="00EF049E"/>
    <w:rsid w:val="03332867"/>
    <w:rsid w:val="129B37DB"/>
    <w:rsid w:val="158F02DB"/>
    <w:rsid w:val="175635D8"/>
    <w:rsid w:val="182964C8"/>
    <w:rsid w:val="245C20D3"/>
    <w:rsid w:val="30D90ED7"/>
    <w:rsid w:val="32133451"/>
    <w:rsid w:val="4857598E"/>
    <w:rsid w:val="4A2E1581"/>
    <w:rsid w:val="54732FE8"/>
    <w:rsid w:val="57134072"/>
    <w:rsid w:val="61655D72"/>
    <w:rsid w:val="62196813"/>
    <w:rsid w:val="700E21D4"/>
    <w:rsid w:val="7713602D"/>
    <w:rsid w:val="7F3C28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39"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160" w:line="100" w:lineRule="atLeast"/>
    </w:pPr>
    <w:rPr>
      <w:rFonts w:ascii="Times New Roman" w:hAnsi="Times New Roman" w:eastAsia="SimSun" w:cs="Times New Roman"/>
      <w:color w:val="000000"/>
      <w:sz w:val="24"/>
      <w:szCs w:val="24"/>
      <w:lang w:val="en-US" w:eastAsia="en-US" w:bidi="ar-SA"/>
    </w:rPr>
  </w:style>
  <w:style w:type="paragraph" w:styleId="2">
    <w:name w:val="heading 1"/>
    <w:basedOn w:val="1"/>
    <w:next w:val="1"/>
    <w:qFormat/>
    <w:uiPriority w:val="0"/>
    <w:pPr>
      <w:keepNext/>
      <w:numPr>
        <w:ilvl w:val="0"/>
        <w:numId w:val="1"/>
      </w:numPr>
      <w:jc w:val="center"/>
      <w:outlineLvl w:val="0"/>
    </w:pPr>
    <w:rPr>
      <w:b/>
      <w:bCs/>
      <w:u w:val="single"/>
    </w:rPr>
  </w:style>
  <w:style w:type="character" w:default="1" w:styleId="10">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3">
    <w:name w:val="Balloon Text"/>
    <w:basedOn w:val="1"/>
    <w:qFormat/>
    <w:uiPriority w:val="0"/>
    <w:rPr>
      <w:rFonts w:ascii="Tahoma" w:hAnsi="Tahoma" w:cs="Tahoma"/>
      <w:sz w:val="16"/>
      <w:szCs w:val="16"/>
    </w:rPr>
  </w:style>
  <w:style w:type="paragraph" w:styleId="4">
    <w:name w:val="Body Text"/>
    <w:basedOn w:val="1"/>
    <w:uiPriority w:val="0"/>
    <w:pPr>
      <w:spacing w:after="140" w:line="288" w:lineRule="auto"/>
    </w:pPr>
  </w:style>
  <w:style w:type="paragraph" w:styleId="5">
    <w:name w:val="Body Text Indent"/>
    <w:basedOn w:val="1"/>
    <w:qFormat/>
    <w:uiPriority w:val="0"/>
    <w:pPr>
      <w:ind w:firstLine="1134"/>
      <w:jc w:val="both"/>
    </w:pPr>
  </w:style>
  <w:style w:type="paragraph" w:styleId="6">
    <w:name w:val="caption"/>
    <w:basedOn w:val="1"/>
    <w:next w:val="1"/>
    <w:qFormat/>
    <w:uiPriority w:val="0"/>
    <w:pPr>
      <w:suppressLineNumbers/>
      <w:spacing w:before="120" w:after="120"/>
    </w:pPr>
    <w:rPr>
      <w:rFonts w:cs="Mangal"/>
      <w:i/>
      <w:iCs/>
    </w:rPr>
  </w:style>
  <w:style w:type="paragraph" w:styleId="7">
    <w:name w:val="footer"/>
    <w:basedOn w:val="1"/>
    <w:link w:val="103"/>
    <w:unhideWhenUsed/>
    <w:qFormat/>
    <w:uiPriority w:val="99"/>
    <w:pPr>
      <w:tabs>
        <w:tab w:val="center" w:pos="4513"/>
        <w:tab w:val="right" w:pos="9026"/>
      </w:tabs>
      <w:spacing w:line="240" w:lineRule="auto"/>
    </w:pPr>
  </w:style>
  <w:style w:type="paragraph" w:styleId="8">
    <w:name w:val="header"/>
    <w:basedOn w:val="1"/>
    <w:link w:val="102"/>
    <w:unhideWhenUsed/>
    <w:qFormat/>
    <w:uiPriority w:val="0"/>
    <w:pPr>
      <w:tabs>
        <w:tab w:val="center" w:pos="4513"/>
        <w:tab w:val="right" w:pos="9026"/>
      </w:tabs>
      <w:spacing w:line="240" w:lineRule="auto"/>
    </w:pPr>
  </w:style>
  <w:style w:type="paragraph" w:styleId="9">
    <w:name w:val="List"/>
    <w:basedOn w:val="4"/>
    <w:uiPriority w:val="0"/>
    <w:pPr>
      <w:widowControl w:val="0"/>
    </w:pPr>
    <w:rPr>
      <w:rFonts w:ascii="Liberation Serif" w:hAnsi="Liberation Serif" w:cs="Mangal"/>
      <w:color w:val="00000A"/>
      <w:sz w:val="20"/>
      <w:lang w:val="ro-RO" w:eastAsia="zh-CN" w:bidi="hi-IN"/>
    </w:rPr>
  </w:style>
  <w:style w:type="character" w:styleId="11">
    <w:name w:val="Hyperlink"/>
    <w:qFormat/>
    <w:uiPriority w:val="0"/>
    <w:rPr>
      <w:color w:val="0000FF"/>
      <w:u w:val="single"/>
    </w:rPr>
  </w:style>
  <w:style w:type="character" w:customStyle="1" w:styleId="13">
    <w:name w:val="Internet Link"/>
    <w:qFormat/>
    <w:uiPriority w:val="0"/>
    <w:rPr>
      <w:color w:val="000080"/>
      <w:u w:val="single"/>
      <w:lang w:val="en-US" w:eastAsia="en-US" w:bidi="en-US"/>
    </w:rPr>
  </w:style>
  <w:style w:type="character" w:customStyle="1" w:styleId="14">
    <w:name w:val="WW8Num4z0"/>
    <w:qFormat/>
    <w:uiPriority w:val="0"/>
    <w:rPr>
      <w:rFonts w:ascii="Symbol" w:hAnsi="Symbol" w:cs="Symbol"/>
    </w:rPr>
  </w:style>
  <w:style w:type="character" w:customStyle="1" w:styleId="15">
    <w:name w:val="Legătură Internet"/>
    <w:qFormat/>
    <w:uiPriority w:val="0"/>
    <w:rPr>
      <w:color w:val="000080"/>
      <w:u w:val="single"/>
    </w:rPr>
  </w:style>
  <w:style w:type="character" w:customStyle="1" w:styleId="16">
    <w:name w:val="WW8Num10z0"/>
    <w:qFormat/>
    <w:uiPriority w:val="0"/>
    <w:rPr>
      <w:rFonts w:ascii="Symbol" w:hAnsi="Symbol" w:cs="Times New Roman"/>
    </w:rPr>
  </w:style>
  <w:style w:type="character" w:customStyle="1" w:styleId="17">
    <w:name w:val="WW8Num9z0"/>
    <w:qFormat/>
    <w:uiPriority w:val="0"/>
    <w:rPr>
      <w:rFonts w:ascii="Symbol" w:hAnsi="Symbol" w:cs="Symbol"/>
    </w:rPr>
  </w:style>
  <w:style w:type="character" w:customStyle="1" w:styleId="18">
    <w:name w:val="ListLabel 1"/>
    <w:qFormat/>
    <w:uiPriority w:val="0"/>
    <w:rPr>
      <w:rFonts w:cs="Symbol"/>
    </w:rPr>
  </w:style>
  <w:style w:type="character" w:customStyle="1" w:styleId="19">
    <w:name w:val="ListLabel 2"/>
    <w:qFormat/>
    <w:uiPriority w:val="0"/>
    <w:rPr>
      <w:rFonts w:cs="Times New Roman"/>
    </w:rPr>
  </w:style>
  <w:style w:type="character" w:customStyle="1" w:styleId="20">
    <w:name w:val="ListLabel 3"/>
    <w:qFormat/>
    <w:uiPriority w:val="0"/>
    <w:rPr>
      <w:rFonts w:cs="Symbol"/>
    </w:rPr>
  </w:style>
  <w:style w:type="character" w:customStyle="1" w:styleId="21">
    <w:name w:val="ListLabel 4"/>
    <w:qFormat/>
    <w:uiPriority w:val="0"/>
    <w:rPr>
      <w:rFonts w:cs="Symbol"/>
    </w:rPr>
  </w:style>
  <w:style w:type="character" w:customStyle="1" w:styleId="22">
    <w:name w:val="ListLabel 5"/>
    <w:qFormat/>
    <w:uiPriority w:val="0"/>
    <w:rPr>
      <w:rFonts w:cs="Times New Roman"/>
    </w:rPr>
  </w:style>
  <w:style w:type="character" w:customStyle="1" w:styleId="23">
    <w:name w:val="ListLabel 6"/>
    <w:qFormat/>
    <w:uiPriority w:val="0"/>
    <w:rPr>
      <w:rFonts w:cs="Symbol"/>
    </w:rPr>
  </w:style>
  <w:style w:type="character" w:customStyle="1" w:styleId="24">
    <w:name w:val="Buline"/>
    <w:qFormat/>
    <w:uiPriority w:val="0"/>
    <w:rPr>
      <w:rFonts w:ascii="OpenSymbol;Arial Unicode MS" w:hAnsi="OpenSymbol;Arial Unicode MS" w:eastAsia="OpenSymbol;Arial Unicode MS" w:cs="OpenSymbol;Arial Unicode MS"/>
    </w:rPr>
  </w:style>
  <w:style w:type="character" w:customStyle="1" w:styleId="25">
    <w:name w:val="Font Style31"/>
    <w:qFormat/>
    <w:uiPriority w:val="0"/>
    <w:rPr>
      <w:rFonts w:ascii="Times New Roman" w:hAnsi="Times New Roman" w:cs="Times New Roman"/>
      <w:sz w:val="22"/>
      <w:szCs w:val="22"/>
    </w:rPr>
  </w:style>
  <w:style w:type="character" w:customStyle="1" w:styleId="26">
    <w:name w:val="Accentuare puternică"/>
    <w:basedOn w:val="10"/>
    <w:qFormat/>
    <w:uiPriority w:val="0"/>
    <w:rPr>
      <w:b/>
      <w:bCs/>
    </w:rPr>
  </w:style>
  <w:style w:type="character" w:customStyle="1" w:styleId="27">
    <w:name w:val="Text în Balon Caracter"/>
    <w:basedOn w:val="10"/>
    <w:qFormat/>
    <w:uiPriority w:val="0"/>
    <w:rPr>
      <w:rFonts w:ascii="Tahoma" w:hAnsi="Tahoma" w:cs="Tahoma"/>
      <w:sz w:val="16"/>
      <w:szCs w:val="16"/>
    </w:rPr>
  </w:style>
  <w:style w:type="character" w:customStyle="1" w:styleId="28">
    <w:name w:val="WW8Num24z0"/>
    <w:qFormat/>
    <w:uiPriority w:val="0"/>
    <w:rPr>
      <w:rFonts w:ascii="Times New Roman" w:hAnsi="Times New Roman" w:eastAsia="Times New Roman" w:cs="Times New Roman"/>
    </w:rPr>
  </w:style>
  <w:style w:type="character" w:customStyle="1" w:styleId="29">
    <w:name w:val="WW8Num23z2"/>
    <w:qFormat/>
    <w:uiPriority w:val="0"/>
    <w:rPr>
      <w:rFonts w:ascii="Wingdings" w:hAnsi="Wingdings" w:cs="Wingdings"/>
    </w:rPr>
  </w:style>
  <w:style w:type="character" w:customStyle="1" w:styleId="30">
    <w:name w:val="WW8Num23z1"/>
    <w:qFormat/>
    <w:uiPriority w:val="0"/>
    <w:rPr>
      <w:rFonts w:ascii="Courier New" w:hAnsi="Courier New" w:cs="Courier New"/>
    </w:rPr>
  </w:style>
  <w:style w:type="character" w:customStyle="1" w:styleId="31">
    <w:name w:val="WW8Num23z0"/>
    <w:qFormat/>
    <w:uiPriority w:val="0"/>
    <w:rPr>
      <w:rFonts w:ascii="Symbol" w:hAnsi="Symbol" w:cs="Symbol"/>
    </w:rPr>
  </w:style>
  <w:style w:type="character" w:customStyle="1" w:styleId="32">
    <w:name w:val="WW8Num22z2"/>
    <w:qFormat/>
    <w:uiPriority w:val="0"/>
    <w:rPr>
      <w:rFonts w:ascii="Wingdings" w:hAnsi="Wingdings" w:cs="Wingdings"/>
    </w:rPr>
  </w:style>
  <w:style w:type="character" w:customStyle="1" w:styleId="33">
    <w:name w:val="WW8Num22z1"/>
    <w:qFormat/>
    <w:uiPriority w:val="0"/>
    <w:rPr>
      <w:rFonts w:ascii="Courier New" w:hAnsi="Courier New" w:cs="Courier New"/>
    </w:rPr>
  </w:style>
  <w:style w:type="character" w:customStyle="1" w:styleId="34">
    <w:name w:val="WW8Num22z0"/>
    <w:qFormat/>
    <w:uiPriority w:val="0"/>
    <w:rPr>
      <w:rFonts w:ascii="Symbol" w:hAnsi="Symbol" w:cs="Symbol"/>
    </w:rPr>
  </w:style>
  <w:style w:type="character" w:customStyle="1" w:styleId="35">
    <w:name w:val="WW8Num21z3"/>
    <w:qFormat/>
    <w:uiPriority w:val="0"/>
    <w:rPr>
      <w:rFonts w:ascii="Symbol" w:hAnsi="Symbol" w:cs="Symbol"/>
    </w:rPr>
  </w:style>
  <w:style w:type="character" w:customStyle="1" w:styleId="36">
    <w:name w:val="WW8Num21z2"/>
    <w:qFormat/>
    <w:uiPriority w:val="0"/>
    <w:rPr>
      <w:rFonts w:ascii="Wingdings" w:hAnsi="Wingdings" w:cs="Wingdings"/>
    </w:rPr>
  </w:style>
  <w:style w:type="character" w:customStyle="1" w:styleId="37">
    <w:name w:val="WW8Num21z1"/>
    <w:qFormat/>
    <w:uiPriority w:val="0"/>
    <w:rPr>
      <w:rFonts w:ascii="Courier New" w:hAnsi="Courier New" w:cs="Courier New"/>
    </w:rPr>
  </w:style>
  <w:style w:type="character" w:customStyle="1" w:styleId="38">
    <w:name w:val="WW8Num21z0"/>
    <w:qFormat/>
    <w:uiPriority w:val="0"/>
    <w:rPr>
      <w:rFonts w:ascii="Times New Roman" w:hAnsi="Times New Roman" w:eastAsia="Times New Roman" w:cs="Times New Roman"/>
    </w:rPr>
  </w:style>
  <w:style w:type="character" w:customStyle="1" w:styleId="39">
    <w:name w:val="WW8Num19z2"/>
    <w:qFormat/>
    <w:uiPriority w:val="0"/>
    <w:rPr>
      <w:rFonts w:ascii="Wingdings" w:hAnsi="Wingdings" w:cs="Wingdings"/>
    </w:rPr>
  </w:style>
  <w:style w:type="character" w:customStyle="1" w:styleId="40">
    <w:name w:val="WW8Num19z1"/>
    <w:qFormat/>
    <w:uiPriority w:val="0"/>
    <w:rPr>
      <w:rFonts w:ascii="Courier New" w:hAnsi="Courier New" w:cs="Courier New"/>
    </w:rPr>
  </w:style>
  <w:style w:type="character" w:customStyle="1" w:styleId="41">
    <w:name w:val="WW8Num19z0"/>
    <w:qFormat/>
    <w:uiPriority w:val="0"/>
    <w:rPr>
      <w:rFonts w:ascii="Symbol" w:hAnsi="Symbol" w:cs="Symbol"/>
    </w:rPr>
  </w:style>
  <w:style w:type="character" w:customStyle="1" w:styleId="42">
    <w:name w:val="WW8Num17z3"/>
    <w:qFormat/>
    <w:uiPriority w:val="0"/>
    <w:rPr>
      <w:rFonts w:ascii="Symbol" w:hAnsi="Symbol" w:cs="Symbol"/>
    </w:rPr>
  </w:style>
  <w:style w:type="character" w:customStyle="1" w:styleId="43">
    <w:name w:val="WW8Num17z2"/>
    <w:qFormat/>
    <w:uiPriority w:val="0"/>
    <w:rPr>
      <w:rFonts w:ascii="Wingdings" w:hAnsi="Wingdings" w:cs="Wingdings"/>
    </w:rPr>
  </w:style>
  <w:style w:type="character" w:customStyle="1" w:styleId="44">
    <w:name w:val="WW8Num17z1"/>
    <w:qFormat/>
    <w:uiPriority w:val="0"/>
    <w:rPr>
      <w:rFonts w:ascii="Courier New" w:hAnsi="Courier New" w:cs="Courier New"/>
    </w:rPr>
  </w:style>
  <w:style w:type="character" w:customStyle="1" w:styleId="45">
    <w:name w:val="WW8Num16z4"/>
    <w:qFormat/>
    <w:uiPriority w:val="0"/>
    <w:rPr>
      <w:rFonts w:ascii="Courier New" w:hAnsi="Courier New" w:cs="Courier New"/>
    </w:rPr>
  </w:style>
  <w:style w:type="character" w:customStyle="1" w:styleId="46">
    <w:name w:val="WW8Num16z2"/>
    <w:qFormat/>
    <w:uiPriority w:val="0"/>
    <w:rPr>
      <w:rFonts w:ascii="Wingdings" w:hAnsi="Wingdings" w:cs="Wingdings"/>
    </w:rPr>
  </w:style>
  <w:style w:type="character" w:customStyle="1" w:styleId="47">
    <w:name w:val="WW8Num16z1"/>
    <w:qFormat/>
    <w:uiPriority w:val="0"/>
    <w:rPr>
      <w:rFonts w:ascii="Times New Roman" w:hAnsi="Times New Roman" w:eastAsia="Times New Roman" w:cs="Times New Roman"/>
    </w:rPr>
  </w:style>
  <w:style w:type="character" w:customStyle="1" w:styleId="48">
    <w:name w:val="WW8Num15z2"/>
    <w:qFormat/>
    <w:uiPriority w:val="0"/>
    <w:rPr>
      <w:rFonts w:ascii="Wingdings" w:hAnsi="Wingdings" w:cs="Wingdings"/>
    </w:rPr>
  </w:style>
  <w:style w:type="character" w:customStyle="1" w:styleId="49">
    <w:name w:val="WW8Num15z1"/>
    <w:qFormat/>
    <w:uiPriority w:val="0"/>
    <w:rPr>
      <w:rFonts w:ascii="Courier New" w:hAnsi="Courier New" w:cs="Courier New"/>
    </w:rPr>
  </w:style>
  <w:style w:type="character" w:customStyle="1" w:styleId="50">
    <w:name w:val="WW8Num14z2"/>
    <w:qFormat/>
    <w:uiPriority w:val="0"/>
    <w:rPr>
      <w:rFonts w:ascii="Wingdings" w:hAnsi="Wingdings" w:cs="Wingdings"/>
    </w:rPr>
  </w:style>
  <w:style w:type="character" w:customStyle="1" w:styleId="51">
    <w:name w:val="WW8Num14z1"/>
    <w:qFormat/>
    <w:uiPriority w:val="0"/>
    <w:rPr>
      <w:rFonts w:ascii="Courier New" w:hAnsi="Courier New" w:cs="Courier New"/>
    </w:rPr>
  </w:style>
  <w:style w:type="character" w:customStyle="1" w:styleId="52">
    <w:name w:val="WW8Num12z3"/>
    <w:qFormat/>
    <w:uiPriority w:val="0"/>
    <w:rPr>
      <w:rFonts w:ascii="Symbol" w:hAnsi="Symbol" w:cs="Symbol"/>
    </w:rPr>
  </w:style>
  <w:style w:type="character" w:customStyle="1" w:styleId="53">
    <w:name w:val="WW8Num12z2"/>
    <w:qFormat/>
    <w:uiPriority w:val="0"/>
    <w:rPr>
      <w:rFonts w:ascii="Wingdings" w:hAnsi="Wingdings" w:cs="Wingdings"/>
    </w:rPr>
  </w:style>
  <w:style w:type="character" w:customStyle="1" w:styleId="54">
    <w:name w:val="WW8Num11z2"/>
    <w:qFormat/>
    <w:uiPriority w:val="0"/>
    <w:rPr>
      <w:rFonts w:ascii="Wingdings" w:hAnsi="Wingdings" w:cs="Wingdings"/>
    </w:rPr>
  </w:style>
  <w:style w:type="character" w:customStyle="1" w:styleId="55">
    <w:name w:val="WW8Num10z3"/>
    <w:qFormat/>
    <w:uiPriority w:val="0"/>
    <w:rPr>
      <w:rFonts w:ascii="Symbol" w:hAnsi="Symbol" w:cs="Symbol"/>
    </w:rPr>
  </w:style>
  <w:style w:type="character" w:customStyle="1" w:styleId="56">
    <w:name w:val="WW8Num10z2"/>
    <w:qFormat/>
    <w:uiPriority w:val="0"/>
    <w:rPr>
      <w:rFonts w:ascii="Wingdings" w:hAnsi="Wingdings" w:cs="Wingdings"/>
    </w:rPr>
  </w:style>
  <w:style w:type="character" w:customStyle="1" w:styleId="57">
    <w:name w:val="WW8Num10z1"/>
    <w:qFormat/>
    <w:uiPriority w:val="0"/>
    <w:rPr>
      <w:rFonts w:ascii="Courier New" w:hAnsi="Courier New" w:cs="Courier New"/>
    </w:rPr>
  </w:style>
  <w:style w:type="character" w:customStyle="1" w:styleId="58">
    <w:name w:val="WW8Num9z3"/>
    <w:qFormat/>
    <w:uiPriority w:val="0"/>
    <w:rPr>
      <w:rFonts w:ascii="Symbol" w:hAnsi="Symbol" w:cs="Symbol"/>
    </w:rPr>
  </w:style>
  <w:style w:type="character" w:customStyle="1" w:styleId="59">
    <w:name w:val="WW8Num9z1"/>
    <w:qFormat/>
    <w:uiPriority w:val="0"/>
    <w:rPr>
      <w:rFonts w:ascii="Courier New" w:hAnsi="Courier New" w:cs="Courier New"/>
    </w:rPr>
  </w:style>
  <w:style w:type="character" w:customStyle="1" w:styleId="60">
    <w:name w:val="WW8Num8z2"/>
    <w:qFormat/>
    <w:uiPriority w:val="0"/>
    <w:rPr>
      <w:rFonts w:ascii="Wingdings" w:hAnsi="Wingdings" w:cs="Wingdings"/>
    </w:rPr>
  </w:style>
  <w:style w:type="character" w:customStyle="1" w:styleId="61">
    <w:name w:val="WW8Num8z1"/>
    <w:qFormat/>
    <w:uiPriority w:val="0"/>
    <w:rPr>
      <w:rFonts w:ascii="Courier New" w:hAnsi="Courier New" w:cs="Courier New"/>
    </w:rPr>
  </w:style>
  <w:style w:type="character" w:customStyle="1" w:styleId="62">
    <w:name w:val="WW8Num6z3"/>
    <w:qFormat/>
    <w:uiPriority w:val="0"/>
    <w:rPr>
      <w:rFonts w:ascii="Symbol" w:hAnsi="Symbol" w:cs="Symbol"/>
    </w:rPr>
  </w:style>
  <w:style w:type="character" w:customStyle="1" w:styleId="63">
    <w:name w:val="WW8Num6z2"/>
    <w:qFormat/>
    <w:uiPriority w:val="0"/>
    <w:rPr>
      <w:rFonts w:ascii="Wingdings" w:hAnsi="Wingdings" w:cs="Wingdings"/>
    </w:rPr>
  </w:style>
  <w:style w:type="character" w:customStyle="1" w:styleId="64">
    <w:name w:val="WW8Num6z1"/>
    <w:qFormat/>
    <w:uiPriority w:val="0"/>
    <w:rPr>
      <w:rFonts w:ascii="Courier New" w:hAnsi="Courier New" w:cs="Courier New"/>
    </w:rPr>
  </w:style>
  <w:style w:type="character" w:customStyle="1" w:styleId="65">
    <w:name w:val="WW8Num3z2"/>
    <w:qFormat/>
    <w:uiPriority w:val="0"/>
    <w:rPr>
      <w:rFonts w:ascii="Wingdings" w:hAnsi="Wingdings" w:cs="Wingdings"/>
    </w:rPr>
  </w:style>
  <w:style w:type="character" w:customStyle="1" w:styleId="66">
    <w:name w:val="WW8Num3z1"/>
    <w:qFormat/>
    <w:uiPriority w:val="0"/>
    <w:rPr>
      <w:rFonts w:ascii="Courier New" w:hAnsi="Courier New" w:cs="Courier New"/>
    </w:rPr>
  </w:style>
  <w:style w:type="character" w:customStyle="1" w:styleId="67">
    <w:name w:val="WW8Num2z2"/>
    <w:qFormat/>
    <w:uiPriority w:val="0"/>
    <w:rPr>
      <w:rFonts w:ascii="Wingdings" w:hAnsi="Wingdings" w:cs="Wingdings"/>
    </w:rPr>
  </w:style>
  <w:style w:type="character" w:customStyle="1" w:styleId="68">
    <w:name w:val="WW8Num2z1"/>
    <w:qFormat/>
    <w:uiPriority w:val="0"/>
    <w:rPr>
      <w:rFonts w:ascii="Courier New" w:hAnsi="Courier New" w:cs="Courier New"/>
    </w:rPr>
  </w:style>
  <w:style w:type="character" w:customStyle="1" w:styleId="69">
    <w:name w:val="WW-Absatz-Standardschriftart1"/>
    <w:qFormat/>
    <w:uiPriority w:val="0"/>
  </w:style>
  <w:style w:type="character" w:customStyle="1" w:styleId="70">
    <w:name w:val="WW8Num16z0"/>
    <w:qFormat/>
    <w:uiPriority w:val="0"/>
    <w:rPr>
      <w:rFonts w:ascii="Symbol" w:hAnsi="Symbol" w:cs="Symbol"/>
    </w:rPr>
  </w:style>
  <w:style w:type="character" w:customStyle="1" w:styleId="71">
    <w:name w:val="WW8Num15z0"/>
    <w:qFormat/>
    <w:uiPriority w:val="0"/>
    <w:rPr>
      <w:rFonts w:ascii="Symbol" w:hAnsi="Symbol" w:cs="Symbol"/>
    </w:rPr>
  </w:style>
  <w:style w:type="character" w:customStyle="1" w:styleId="72">
    <w:name w:val="WW8Num14z0"/>
    <w:qFormat/>
    <w:uiPriority w:val="0"/>
    <w:rPr>
      <w:rFonts w:ascii="Symbol" w:hAnsi="Symbol" w:cs="Symbol"/>
    </w:rPr>
  </w:style>
  <w:style w:type="character" w:customStyle="1" w:styleId="73">
    <w:name w:val="WW-Absatz-Standardschriftart"/>
    <w:qFormat/>
    <w:uiPriority w:val="0"/>
  </w:style>
  <w:style w:type="character" w:customStyle="1" w:styleId="74">
    <w:name w:val="Absatz-Standardschriftart"/>
    <w:qFormat/>
    <w:uiPriority w:val="0"/>
  </w:style>
  <w:style w:type="character" w:customStyle="1" w:styleId="75">
    <w:name w:val="WW8Num13z0"/>
    <w:qFormat/>
    <w:uiPriority w:val="0"/>
    <w:rPr>
      <w:rFonts w:ascii="Symbol" w:hAnsi="Symbol" w:cs="Symbol"/>
    </w:rPr>
  </w:style>
  <w:style w:type="character" w:customStyle="1" w:styleId="76">
    <w:name w:val="WW8Num12z1"/>
    <w:qFormat/>
    <w:uiPriority w:val="0"/>
    <w:rPr>
      <w:rFonts w:ascii="OpenSymbol;Arial Unicode MS" w:hAnsi="OpenSymbol;Arial Unicode MS" w:cs="OpenSymbol;Arial Unicode MS"/>
    </w:rPr>
  </w:style>
  <w:style w:type="character" w:customStyle="1" w:styleId="77">
    <w:name w:val="WW8Num12z0"/>
    <w:qFormat/>
    <w:uiPriority w:val="0"/>
    <w:rPr>
      <w:rFonts w:ascii="Symbol" w:hAnsi="Symbol" w:cs="OpenSymbol;Arial Unicode MS"/>
    </w:rPr>
  </w:style>
  <w:style w:type="character" w:customStyle="1" w:styleId="78">
    <w:name w:val="WW8Num11z1"/>
    <w:qFormat/>
    <w:uiPriority w:val="0"/>
    <w:rPr>
      <w:rFonts w:ascii="OpenSymbol;Arial Unicode MS" w:hAnsi="OpenSymbol;Arial Unicode MS" w:cs="OpenSymbol;Arial Unicode MS"/>
    </w:rPr>
  </w:style>
  <w:style w:type="character" w:customStyle="1" w:styleId="79">
    <w:name w:val="WW8Num11z0"/>
    <w:qFormat/>
    <w:uiPriority w:val="0"/>
    <w:rPr>
      <w:rFonts w:ascii="Symbol" w:hAnsi="Symbol" w:cs="OpenSymbol;Arial Unicode MS"/>
    </w:rPr>
  </w:style>
  <w:style w:type="character" w:customStyle="1" w:styleId="80">
    <w:name w:val="WW8Num8z0"/>
    <w:qFormat/>
    <w:uiPriority w:val="0"/>
    <w:rPr>
      <w:rFonts w:ascii="Symbol" w:hAnsi="Symbol" w:cs="Arial"/>
    </w:rPr>
  </w:style>
  <w:style w:type="character" w:customStyle="1" w:styleId="81">
    <w:name w:val="WW8Num7z0"/>
    <w:qFormat/>
    <w:uiPriority w:val="0"/>
    <w:rPr>
      <w:rFonts w:ascii="Symbol" w:hAnsi="Symbol" w:cs="Wingdings"/>
    </w:rPr>
  </w:style>
  <w:style w:type="character" w:customStyle="1" w:styleId="82">
    <w:name w:val="WW8Num6z0"/>
    <w:qFormat/>
    <w:uiPriority w:val="0"/>
    <w:rPr>
      <w:rFonts w:ascii="Symbol" w:hAnsi="Symbol" w:cs="Symbol"/>
    </w:rPr>
  </w:style>
  <w:style w:type="character" w:customStyle="1" w:styleId="83">
    <w:name w:val="WW8Num5z0"/>
    <w:qFormat/>
    <w:uiPriority w:val="0"/>
    <w:rPr>
      <w:rFonts w:ascii="Symbol" w:hAnsi="Symbol" w:cs="Symbol"/>
    </w:rPr>
  </w:style>
  <w:style w:type="character" w:customStyle="1" w:styleId="84">
    <w:name w:val="WW8Num3z0"/>
    <w:qFormat/>
    <w:uiPriority w:val="0"/>
  </w:style>
  <w:style w:type="character" w:customStyle="1" w:styleId="85">
    <w:name w:val="WW8Num2z0"/>
    <w:qFormat/>
    <w:uiPriority w:val="0"/>
    <w:rPr>
      <w:rFonts w:ascii="Symbol" w:hAnsi="Symbol" w:cs="Symbol"/>
    </w:rPr>
  </w:style>
  <w:style w:type="character" w:customStyle="1" w:styleId="86">
    <w:name w:val="WW8Num1z8"/>
    <w:qFormat/>
    <w:uiPriority w:val="0"/>
  </w:style>
  <w:style w:type="character" w:customStyle="1" w:styleId="87">
    <w:name w:val="WW8Num1z7"/>
    <w:qFormat/>
    <w:uiPriority w:val="0"/>
  </w:style>
  <w:style w:type="character" w:customStyle="1" w:styleId="88">
    <w:name w:val="WW8Num1z6"/>
    <w:qFormat/>
    <w:uiPriority w:val="0"/>
  </w:style>
  <w:style w:type="character" w:customStyle="1" w:styleId="89">
    <w:name w:val="WW8Num1z5"/>
    <w:qFormat/>
    <w:uiPriority w:val="0"/>
  </w:style>
  <w:style w:type="character" w:customStyle="1" w:styleId="90">
    <w:name w:val="WW8Num1z4"/>
    <w:qFormat/>
    <w:uiPriority w:val="0"/>
  </w:style>
  <w:style w:type="character" w:customStyle="1" w:styleId="91">
    <w:name w:val="WW8Num1z3"/>
    <w:qFormat/>
    <w:uiPriority w:val="0"/>
  </w:style>
  <w:style w:type="character" w:customStyle="1" w:styleId="92">
    <w:name w:val="WW8Num1z2"/>
    <w:qFormat/>
    <w:uiPriority w:val="0"/>
  </w:style>
  <w:style w:type="character" w:customStyle="1" w:styleId="93">
    <w:name w:val="WW8Num1z1"/>
    <w:qFormat/>
    <w:uiPriority w:val="0"/>
  </w:style>
  <w:style w:type="character" w:customStyle="1" w:styleId="94">
    <w:name w:val="WW8Num1z0"/>
    <w:qFormat/>
    <w:uiPriority w:val="0"/>
  </w:style>
  <w:style w:type="paragraph" w:customStyle="1" w:styleId="95">
    <w:name w:val="Stil titlu"/>
    <w:basedOn w:val="1"/>
    <w:next w:val="4"/>
    <w:qFormat/>
    <w:uiPriority w:val="0"/>
    <w:pPr>
      <w:keepNext/>
      <w:spacing w:before="240" w:after="120"/>
    </w:pPr>
    <w:rPr>
      <w:rFonts w:ascii="Arial" w:hAnsi="Arial" w:eastAsia="Microsoft YaHei" w:cs="Mangal"/>
      <w:sz w:val="28"/>
      <w:szCs w:val="28"/>
    </w:rPr>
  </w:style>
  <w:style w:type="paragraph" w:customStyle="1" w:styleId="96">
    <w:name w:val="Index"/>
    <w:basedOn w:val="1"/>
    <w:qFormat/>
    <w:uiPriority w:val="0"/>
    <w:pPr>
      <w:suppressLineNumbers/>
    </w:pPr>
    <w:rPr>
      <w:rFonts w:cs="Mangal"/>
    </w:rPr>
  </w:style>
  <w:style w:type="paragraph" w:customStyle="1" w:styleId="97">
    <w:name w:val="Text body"/>
    <w:basedOn w:val="1"/>
    <w:qFormat/>
    <w:uiPriority w:val="0"/>
    <w:pPr>
      <w:spacing w:after="120"/>
    </w:pPr>
  </w:style>
  <w:style w:type="paragraph" w:styleId="98">
    <w:name w:val="No Spacing"/>
    <w:qFormat/>
    <w:uiPriority w:val="0"/>
    <w:pPr>
      <w:suppressAutoHyphens/>
      <w:spacing w:after="160" w:line="259" w:lineRule="auto"/>
    </w:pPr>
    <w:rPr>
      <w:rFonts w:ascii="Times New Roman" w:hAnsi="Times New Roman" w:eastAsia="Times New Roman" w:cs="Times New Roman"/>
      <w:color w:val="00000A"/>
      <w:sz w:val="24"/>
      <w:szCs w:val="24"/>
      <w:lang w:val="en-GB" w:eastAsia="zh-CN" w:bidi="ar-SA"/>
    </w:rPr>
  </w:style>
  <w:style w:type="paragraph" w:customStyle="1" w:styleId="99">
    <w:name w:val="WW-Default"/>
    <w:qFormat/>
    <w:uiPriority w:val="0"/>
    <w:pPr>
      <w:suppressAutoHyphens/>
      <w:autoSpaceDE w:val="0"/>
      <w:spacing w:after="160" w:line="259" w:lineRule="auto"/>
    </w:pPr>
    <w:rPr>
      <w:rFonts w:ascii="Times New Roman" w:hAnsi="Times New Roman" w:eastAsia="Times New Roman" w:cs="Times New Roman"/>
      <w:color w:val="000000"/>
      <w:sz w:val="24"/>
      <w:szCs w:val="24"/>
      <w:lang w:val="en-US" w:eastAsia="zh-CN" w:bidi="ar-SA"/>
    </w:rPr>
  </w:style>
  <w:style w:type="paragraph" w:styleId="100">
    <w:name w:val="List Paragraph"/>
    <w:basedOn w:val="1"/>
    <w:qFormat/>
    <w:uiPriority w:val="0"/>
    <w:pPr>
      <w:widowControl w:val="0"/>
      <w:autoSpaceDE w:val="0"/>
      <w:ind w:left="720"/>
      <w:contextualSpacing/>
    </w:pPr>
    <w:rPr>
      <w:rFonts w:ascii="Book Antiqua" w:hAnsi="Book Antiqua" w:cs="Book Antiqua"/>
    </w:rPr>
  </w:style>
  <w:style w:type="paragraph" w:customStyle="1" w:styleId="101">
    <w:name w:val="Heading"/>
    <w:basedOn w:val="1"/>
    <w:next w:val="4"/>
    <w:qFormat/>
    <w:uiPriority w:val="0"/>
    <w:pPr>
      <w:keepNext/>
      <w:spacing w:before="240" w:after="120"/>
    </w:pPr>
    <w:rPr>
      <w:rFonts w:ascii="Arial" w:hAnsi="Arial" w:eastAsia="Lucida Sans Unicode" w:cs="Mangal"/>
      <w:sz w:val="28"/>
      <w:szCs w:val="28"/>
    </w:rPr>
  </w:style>
  <w:style w:type="character" w:customStyle="1" w:styleId="102">
    <w:name w:val="Header Char"/>
    <w:basedOn w:val="10"/>
    <w:link w:val="8"/>
    <w:semiHidden/>
    <w:qFormat/>
    <w:uiPriority w:val="99"/>
    <w:rPr>
      <w:rFonts w:ascii="Times New Roman" w:hAnsi="Times New Roman" w:cs="Times New Roman"/>
      <w:color w:val="000000"/>
      <w:sz w:val="24"/>
      <w:lang w:val="en-US" w:eastAsia="en-US" w:bidi="ar-SA"/>
    </w:rPr>
  </w:style>
  <w:style w:type="character" w:customStyle="1" w:styleId="103">
    <w:name w:val="Footer Char"/>
    <w:basedOn w:val="10"/>
    <w:link w:val="7"/>
    <w:qFormat/>
    <w:uiPriority w:val="99"/>
    <w:rPr>
      <w:rFonts w:ascii="Times New Roman" w:hAnsi="Times New Roman" w:cs="Times New Roman"/>
      <w:color w:val="000000"/>
      <w:sz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Deftones</Company>
  <Pages>10</Pages>
  <Words>2025</Words>
  <Characters>11547</Characters>
  <Lines>96</Lines>
  <Paragraphs>27</Paragraphs>
  <TotalTime>26</TotalTime>
  <ScaleCrop>false</ScaleCrop>
  <LinksUpToDate>false</LinksUpToDate>
  <CharactersWithSpaces>13545</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2019-04-19T05:52:00Z</dcterms:created>
  <dc:creator>Doina</dc:creator>
  <cp:lastModifiedBy>Secretar</cp:lastModifiedBy>
  <dcterms:modified xsi:type="dcterms:W3CDTF">2019-04-19T08:56:26Z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