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477900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ahoma" w:eastAsia="Times New Roman" w:hAnsi="Tahoma" w:cs="Tahoma"/>
          <w:sz w:val="24"/>
          <w:szCs w:val="24"/>
        </w:rPr>
        <w:t>﻿</w:t>
      </w:r>
    </w:p>
    <w:p w:rsidR="00000000" w:rsidRDefault="00477900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b/>
          <w:bCs/>
          <w:color w:val="0000FF"/>
        </w:rPr>
        <w:t>ORDIN nr. 4.004 din 14 mai 2019</w:t>
      </w:r>
    </w:p>
    <w:p w:rsidR="00000000" w:rsidRDefault="00477900">
      <w:pPr>
        <w:pStyle w:val="NormalWeb"/>
        <w:spacing w:before="0" w:beforeAutospacing="0" w:after="240" w:afterAutospacing="0"/>
        <w:jc w:val="both"/>
      </w:pPr>
      <w:r>
        <w:t xml:space="preserve">privind metodologia de calcul şi plată a sumelor reprezentând daune-interese moratorii </w:t>
      </w:r>
      <w:r>
        <w:t>sub forma dobânzii legale prevăzute în titlurile executorii, pentru personalul din unităţile/instituţiile de învăţământ de stat, Ministerul Educaţiei Naţionale şi alte unităţi din subordinea/coordonarea acestuia, în anul 2019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rPr>
          <w:b/>
          <w:bCs/>
        </w:rPr>
        <w:t xml:space="preserve">EMITENT: </w:t>
      </w:r>
    </w:p>
    <w:p w:rsidR="00000000" w:rsidRDefault="00477900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Ministerul Educaţi</w:t>
      </w:r>
      <w:r>
        <w:rPr>
          <w:color w:val="0000FF"/>
        </w:rPr>
        <w:t>ei Naţionale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rPr>
          <w:b/>
          <w:bCs/>
        </w:rPr>
        <w:t xml:space="preserve">PUBLICAT ÎN: </w:t>
      </w:r>
    </w:p>
    <w:p w:rsidR="00000000" w:rsidRDefault="00477900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Monitorul Oficial nr. 389 din 17 mai 2019</w:t>
      </w:r>
    </w:p>
    <w:p w:rsidR="00000000" w:rsidRDefault="00477900">
      <w:pPr>
        <w:pStyle w:val="NormalWeb"/>
      </w:pPr>
      <w:r>
        <w:br/>
      </w:r>
      <w:r>
        <w:rPr>
          <w:b/>
          <w:bCs/>
        </w:rPr>
        <w:t>Data Intrarii in vigoare: 17 Mai 2019</w:t>
      </w:r>
    </w:p>
    <w:p w:rsidR="00000000" w:rsidRDefault="00477900">
      <w:pPr>
        <w:pStyle w:val="NormalWeb"/>
        <w:jc w:val="both"/>
      </w:pPr>
      <w:r>
        <w:t>-------------------------------------------------------------------------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 pentru completarea Legii educaţiei naţionale nr. 1/2011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 xml:space="preserve">, instituirea </w:t>
      </w:r>
      <w:r>
        <w:t>unor derogări şi prorogarea unor termene,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având în vedere prevederile art. 3 din Ordonanţa Guvernului nr. 13/2011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 privind dobânda legală remuneratorie şi penalizatoare pentru obligaţii băneşti, precum şi pentru reglementarea unor măsuri financiar-fisca</w:t>
      </w:r>
      <w:r>
        <w:t>le în domeniul bancar, aprobată prin Legea nr. 43/2012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, cu completările ulterioare,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în baza prevederilor Legii nr. 500/2002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 privind finanţele publice, cu modificările şi completările ulterioare,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în temeiul dispoziţiilor art. 12 alin. (3) din Hotărâ</w:t>
      </w:r>
      <w:r>
        <w:t>rea Guvernului nr. 26/2017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 privind organizarea şi funcţionarea Ministerului Educaţiei Naţionale, cu modificările şi completările ulterioare,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ministrul educaţiei naţionale emite prezentul ordin.</w:t>
      </w:r>
    </w:p>
    <w:p w:rsidR="00000000" w:rsidRDefault="00477900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1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(1) Prezentul ordin stabileşte procedura de c</w:t>
      </w:r>
      <w:r>
        <w:t>alcul şi efectuare a plăţii sumelor prevăzute prin hotărâri judecătoreşti având ca obiect acordarea de daune-interese moratorii sub forma dobânzii legale pentru plata eşalonată a sumelor prevăzute în titluri executorii prin care s-au acordat drepturi salar</w:t>
      </w:r>
      <w:r>
        <w:t xml:space="preserve">iale personalului din unităţile/instituţiile de învăţământ de stat, Ministerul Educaţiei Naţionale şi alte unităţi din subordinea/coordonarea acestuia, denumite în continuare unităţi/instituţii, devenite executorii până la 31 decembrie 2018. </w:t>
      </w:r>
    </w:p>
    <w:p w:rsidR="00000000" w:rsidRDefault="00477900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(2) Hotărâ</w:t>
      </w:r>
      <w:r>
        <w:t xml:space="preserve">rile judecătoreşti având ca obiect acordarea de daune-interese moratorii sub forma dobânzii legale, pentru plata eşalonată a sumelor prevăzute în titluri executorii prin care s-au acordat drepturi salariale personalului din învăţământ, devenite executorii </w:t>
      </w:r>
      <w:r>
        <w:t>până la 31 decembrie 2018, se achită în anul 2019, de la bugetul de stat, prin bugetul Ministerului Educaţiei Naţionale.</w:t>
      </w:r>
    </w:p>
    <w:p w:rsidR="00000000" w:rsidRDefault="00477900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2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(1) Pentru hotărârile judecătoreşti având drept obiect acordarea de daune-interese moratorii sub forma dobânzii legale se</w:t>
      </w:r>
      <w:r>
        <w:t xml:space="preserve"> calculează şi se plăteşte dobânda legală aşa cum este specificată în hotărârea judecătorească. 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(2) Ratele dobânzii legale remuneratorii sau, după caz, penalizatoare aplicabile de la data naşterii debitului principal şi până la data plăţii efective a a</w:t>
      </w:r>
      <w:r>
        <w:t xml:space="preserve">cestuia, potrivit fiecărei hotărâri </w:t>
      </w:r>
      <w:r>
        <w:lastRenderedPageBreak/>
        <w:t>judecătoreşti, sunt prevăzute în anexa care face parte integrantă din prezentul ordin. Pentru calcul se aplică procentele prevăzute în anexă, în coloana 4 pentru dobânda legală remuneratorie, respectiv coloana 5 pentru d</w:t>
      </w:r>
      <w:r>
        <w:t xml:space="preserve">obânda legală penalizatoare, după caz, conform hotărârilor judecătoreşti. 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(3) </w:t>
      </w:r>
      <w:r>
        <w:t>Dobânda legală remuneratorie diminuată cu 20% sau, după caz, dobânda legală penalizatoare diminuată cu 20% se aplică la valoarea sumelor nete cuvenite, calculată potrivit hotărârii judecătoreşti, respectiv valoarea netă a debitului principal.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(4) Dobând</w:t>
      </w:r>
      <w:r>
        <w:t>a legală se calculează de la data stabilită prin hotărârea judecătorească şi până la data plăţii efective a debitului principal.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(5) Formula de calcul al sumelor datorate pentru dobânda legală este: (a se vedea imaginea asociată) 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în care: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CD = cu</w:t>
      </w:r>
      <w:r>
        <w:t>antum dobândă legală remuneratorie sau penalizatoare, după caz;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DP = debitul principal (valoarea netă a acestuia);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 xml:space="preserve">P = procentul de dobândă aplicabil perioadei de calcul, care reprezintă dobânda legală remuneratorie minus 20% 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(coloana 4) sau, dup</w:t>
      </w:r>
      <w:r>
        <w:t>ă caz, dobânda legală penalizatoare diminuată cu 20% (coloana 5), conform hotărârii judecătoreşti, cu respectarea prevederilor art. 2 alin. (1) şi alin. (2), aplicat la debitul principal (valoarea netă a acestuia);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Na = numărul de zile calendaristice al</w:t>
      </w:r>
      <w:r>
        <w:t>e anului calendaristic;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Nz = numărul de zile până la schimbarea procentului dobânzii de referinţă;</w:t>
      </w:r>
    </w:p>
    <w:p w:rsidR="00000000" w:rsidRDefault="00477900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i = perioada pentru care se calculează dobânda legală.</w:t>
      </w:r>
    </w:p>
    <w:p w:rsidR="00000000" w:rsidRDefault="00477900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Procentele de dobândă legală remuneratorie diminuată cu 20% sau, după caz, penalizatoare dim</w:t>
      </w:r>
      <w:r>
        <w:t xml:space="preserve">inuată cu 20%, prevăzute în coloana 4, respectiv coloana 5 din anexă, se aplică pentru fiecare perioadă, proporţional cu numărul de zile, raportat la numărul de zile dintr-un an calendaristic. </w:t>
      </w:r>
      <w:r>
        <w:br/>
      </w:r>
    </w:p>
    <w:p w:rsidR="00000000" w:rsidRDefault="00477900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3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(1) Plata sumelor datorate în temeiul hotărâril</w:t>
      </w:r>
      <w:r>
        <w:t>or judecătoreşti, prevăzute la art. 1, se efectuează de unitatea/ instituţia la care a fost angajat salariatul în perioada pentru care s-au acordat diferenţele salariale conform hotărârilor judecătoreşti, pe bază de state nominale, altele decât cele pentru</w:t>
      </w:r>
      <w:r>
        <w:t xml:space="preserve"> plata salariilor.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(2) Ordonatorii de credite efectuează calculul dobânzilor legale, potrivit prevederilor prezentului ordin, pentru sumele totale datorate, indiferent de plăţile efectuate până la data intrării în vigoare a prezentului ordin. Sumele plă</w:t>
      </w:r>
      <w:r>
        <w:t xml:space="preserve">tite se scad din sumele totale datorate, calculate potrivit prevederilor prezentului ordin, şi se plăteşte diferenţa. 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(3) Sumele care urmează a fi plătite se aprobă în consiliul de administraţie al unităţii/instituţiei.</w:t>
      </w:r>
    </w:p>
    <w:p w:rsidR="00000000" w:rsidRDefault="00477900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(4) Sumele prevăzute la alin.</w:t>
      </w:r>
      <w:r>
        <w:t xml:space="preserve"> (1) se plătesc în conturile menţionate de beneficiari.</w:t>
      </w:r>
    </w:p>
    <w:p w:rsidR="00000000" w:rsidRDefault="00477900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4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(1) Ordonatorii de credite secundari şi terţiari, consiliile de administraţie, precum şi comisiile constituite la nivelul unităţii/instituţiei de învăţământ, din care obligatoriu fac par</w:t>
      </w:r>
      <w:r>
        <w:t>te reprezentanţii federaţiilor sindicale, răspund de corectitudinea privind calculul şi plata dobânzilor legale şi au obligaţia de a angaja şi de a utiliza creditele bugetare alocate numai în limita prevederilor şi destinaţiilor aprobate, cu respectarea di</w:t>
      </w:r>
      <w:r>
        <w:t>spoziţiilor Legii nr. 500/2002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lastRenderedPageBreak/>
        <w:t> privind finanţele publice, cu modificările şi completările ulterioare.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(2) Potrivit clasificaţiei economice a cheltuielilor bugetare, dobânzile legale se vor încadra la titlul „Alte cheltuieli“, cod 59, articolul „Despăgu</w:t>
      </w:r>
      <w:r>
        <w:t>biri civile“, cod 59.17.</w:t>
      </w:r>
    </w:p>
    <w:p w:rsidR="00000000" w:rsidRDefault="00477900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(3) Pentru sumele cuvenite privind dobânda legală se datorează numai impozitul pe venit, care se reţine şi se calculează la data efectuării plăţii şi se plăteşte până la data de 25 a lunii următoare celei în care au fost plătite</w:t>
      </w:r>
      <w:r>
        <w:t xml:space="preserve"> aceste sume.</w:t>
      </w:r>
    </w:p>
    <w:p w:rsidR="00000000" w:rsidRDefault="00477900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ART. 5</w:t>
      </w:r>
    </w:p>
    <w:p w:rsidR="00000000" w:rsidRDefault="00477900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Prezentul ordin intră în vigoare la data publicării în Monitorul Oficial al României, Partea I.</w:t>
      </w:r>
      <w:r>
        <w:br/>
      </w:r>
      <w:r>
        <w:br/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Ministrul educaţiei naţionale,</w:t>
      </w:r>
    </w:p>
    <w:p w:rsidR="00000000" w:rsidRDefault="00477900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Ecaterina Andronescu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Bucureşti, 14 mai 2019.</w:t>
      </w: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Nr. 4.004.</w:t>
      </w:r>
    </w:p>
    <w:p w:rsidR="00000000" w:rsidRDefault="00477900">
      <w:pPr>
        <w:pStyle w:val="NormalWeb"/>
        <w:spacing w:before="0" w:beforeAutospacing="0" w:after="0" w:afterAutospacing="0"/>
        <w:jc w:val="both"/>
        <w:rPr>
          <w:color w:val="0000FF"/>
        </w:rPr>
      </w:pPr>
      <w:r>
        <w:rPr>
          <w:color w:val="0000FF"/>
        </w:rPr>
        <w:t> </w:t>
      </w:r>
      <w:r>
        <w:rPr>
          <w:color w:val="0000FF"/>
        </w:rPr>
        <w:t> </w:t>
      </w:r>
      <w:r>
        <w:rPr>
          <w:color w:val="0000FF"/>
        </w:rPr>
        <w:t>ANEXA 1</w:t>
      </w:r>
    </w:p>
    <w:p w:rsidR="00000000" w:rsidRDefault="00477900">
      <w:pPr>
        <w:pStyle w:val="NormalWeb"/>
        <w:spacing w:before="0" w:beforeAutospacing="0" w:after="0" w:afterAutospacing="0"/>
        <w:jc w:val="both"/>
      </w:pPr>
    </w:p>
    <w:p w:rsidR="00000000" w:rsidRDefault="00477900">
      <w:pPr>
        <w:pStyle w:val="NormalWeb"/>
        <w:spacing w:before="0" w:beforeAutospacing="0" w:after="0" w:afterAutospacing="0"/>
        <w:jc w:val="both"/>
      </w:pPr>
    </w:p>
    <w:p w:rsidR="00000000" w:rsidRDefault="00477900">
      <w:pPr>
        <w:pStyle w:val="NormalWeb"/>
        <w:spacing w:before="0" w:beforeAutospacing="0" w:after="0" w:afterAutospacing="0"/>
        <w:jc w:val="both"/>
      </w:pPr>
      <w:r>
        <w:t> </w:t>
      </w:r>
      <w:r>
        <w:t> </w:t>
      </w:r>
      <w:r>
        <w:t>Dobânzile legale remuneratorii/penalizatoare aplicabile în perioada 02.01.2008-30.04.2019</w:t>
      </w:r>
    </w:p>
    <w:p w:rsidR="00000000" w:rsidRDefault="00477900">
      <w:pPr>
        <w:pStyle w:val="PreformatatHTML"/>
        <w:divId w:val="2146120810"/>
        <w:rPr>
          <w:sz w:val="18"/>
          <w:szCs w:val="18"/>
        </w:rPr>
      </w:pP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┌─────────────────────┬───────┬─────────┬─────────────┬─────────────┐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       │         │             │Dobânda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</w:t>
      </w:r>
      <w:r>
        <w:rPr>
          <w:rFonts w:ascii="Courier New" w:hAnsi="Courier New" w:cs="Courier New"/>
          <w:sz w:val="18"/>
          <w:szCs w:val="18"/>
        </w:rPr>
        <w:t xml:space="preserve">               │       │         │Dobânda      │legală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       │Dobânda  │legală       │penalizatoare│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       │de       │remuneratorie│(dobânda de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│Perioada             │Fracţie│referinţă│(dobânda </w:t>
      </w:r>
      <w:r>
        <w:rPr>
          <w:rFonts w:ascii="Courier New" w:hAnsi="Courier New" w:cs="Courier New"/>
          <w:sz w:val="18"/>
          <w:szCs w:val="18"/>
        </w:rPr>
        <w:t>de  │referinţă BNR│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       │BNR      │referinţă BNR│+ 4 puncte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       │         │diminuată cu │procentuale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       │         │20%)         │diminuată cu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       </w:t>
      </w:r>
      <w:r>
        <w:rPr>
          <w:rFonts w:ascii="Courier New" w:hAnsi="Courier New" w:cs="Courier New"/>
          <w:sz w:val="18"/>
          <w:szCs w:val="18"/>
        </w:rPr>
        <w:t>│       │         │             │20%)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                    │2      │3        │4            │5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</w:t>
      </w:r>
      <w:r>
        <w:rPr>
          <w:rFonts w:ascii="Courier New" w:hAnsi="Courier New" w:cs="Courier New"/>
          <w:sz w:val="18"/>
          <w:szCs w:val="18"/>
        </w:rPr>
        <w:t>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│181    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│02.01.2008-30.06.2008│zile   │7,50%    │6,00%        │9,20%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366│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│184    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│01.07.2008-31.12.2008│zile   │9,75%    │7,80%        │11,00%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       │din 366│         │  </w:t>
      </w:r>
      <w:r>
        <w:rPr>
          <w:rFonts w:ascii="Courier New" w:hAnsi="Courier New" w:cs="Courier New"/>
          <w:sz w:val="18"/>
          <w:szCs w:val="18"/>
        </w:rPr>
        <w:t xml:space="preserve">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│181    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│01.01.2009-30.06.2009│zile   │10,25%   │8,20%        │11,40%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</w:t>
      </w:r>
      <w:r>
        <w:rPr>
          <w:rFonts w:ascii="Courier New" w:hAnsi="Courier New" w:cs="Courier New"/>
          <w:sz w:val="18"/>
          <w:szCs w:val="18"/>
        </w:rPr>
        <w:t xml:space="preserve">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│184    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│01.07.2009-31.12.2009│zile   │9,50%    │7,60%        │10,</w:t>
      </w:r>
      <w:r>
        <w:rPr>
          <w:rFonts w:ascii="Courier New" w:hAnsi="Courier New" w:cs="Courier New"/>
          <w:sz w:val="18"/>
          <w:szCs w:val="18"/>
        </w:rPr>
        <w:t>80%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│181    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│01.01.2010-30.06.2010│zile   </w:t>
      </w:r>
      <w:r>
        <w:rPr>
          <w:rFonts w:ascii="Courier New" w:hAnsi="Courier New" w:cs="Courier New"/>
          <w:sz w:val="18"/>
          <w:szCs w:val="18"/>
        </w:rPr>
        <w:t>│8,00%    │6,40%        │9,60%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│184    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│0</w:t>
      </w:r>
      <w:r>
        <w:rPr>
          <w:rFonts w:ascii="Courier New" w:hAnsi="Courier New" w:cs="Courier New"/>
          <w:sz w:val="18"/>
          <w:szCs w:val="18"/>
        </w:rPr>
        <w:t>1.07.2010-31.12.2010│zile   │6,25%    │5,00%        │8,20%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       │243    │         │    </w:t>
      </w:r>
      <w:r>
        <w:rPr>
          <w:rFonts w:ascii="Courier New" w:hAnsi="Courier New" w:cs="Courier New"/>
          <w:sz w:val="18"/>
          <w:szCs w:val="18"/>
        </w:rPr>
        <w:t xml:space="preserve">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│01.01.2011-31.08.2011│zile   │6,25%    │5,00%        │8,20%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│01.09.2011-02.11.2011│63 zile│6,25%    │5,00%        │8,20%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</w:t>
      </w:r>
      <w:r>
        <w:rPr>
          <w:rFonts w:ascii="Courier New" w:hAnsi="Courier New" w:cs="Courier New"/>
          <w:sz w:val="18"/>
          <w:szCs w:val="18"/>
        </w:rPr>
        <w:t>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│03.11.2011-31.12.2011│59 zile│6,00%    │4,80%        │8,00%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│01.01.2012-05.</w:t>
      </w:r>
      <w:r>
        <w:rPr>
          <w:rFonts w:ascii="Courier New" w:hAnsi="Courier New" w:cs="Courier New"/>
          <w:sz w:val="18"/>
          <w:szCs w:val="18"/>
        </w:rPr>
        <w:t>01.2012│5 zile │6,00%    │4,80%        │8,00%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366│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│06.01.2012-02.02.2012│28 zile│5,75%    │4,60%        │7,8</w:t>
      </w:r>
      <w:r>
        <w:rPr>
          <w:rFonts w:ascii="Courier New" w:hAnsi="Courier New" w:cs="Courier New"/>
          <w:sz w:val="18"/>
          <w:szCs w:val="18"/>
        </w:rPr>
        <w:t>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366│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│03.02.2012-29.03.2012│56 zile│5,50%    │4,40%        │7,60%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366</w:t>
      </w:r>
      <w:r>
        <w:rPr>
          <w:rFonts w:ascii="Courier New" w:hAnsi="Courier New" w:cs="Courier New"/>
          <w:sz w:val="18"/>
          <w:szCs w:val="18"/>
        </w:rPr>
        <w:t>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│277    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│30.03.2012-31.12.2012│zile   │5,25%    │4,20%        │7,40%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</w:t>
      </w:r>
      <w:r>
        <w:rPr>
          <w:rFonts w:ascii="Courier New" w:hAnsi="Courier New" w:cs="Courier New"/>
          <w:sz w:val="18"/>
          <w:szCs w:val="18"/>
        </w:rPr>
        <w:t xml:space="preserve">                    │din 366│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│182    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│01.01.2013-01.07.2013│zile   │5,25%    │4,20</w:t>
      </w:r>
      <w:r>
        <w:rPr>
          <w:rFonts w:ascii="Courier New" w:hAnsi="Courier New" w:cs="Courier New"/>
          <w:sz w:val="18"/>
          <w:szCs w:val="18"/>
        </w:rPr>
        <w:t>%        │7,40%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│02.07.2013-05.08.2013│35 zile│5,00%    │4,00%        │7,20%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 </w:t>
      </w:r>
      <w:r>
        <w:rPr>
          <w:rFonts w:ascii="Courier New" w:hAnsi="Courier New" w:cs="Courier New"/>
          <w:sz w:val="18"/>
          <w:szCs w:val="18"/>
        </w:rPr>
        <w:t xml:space="preserve">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│06.08.2013-30.09.2013│56 zile│4,50%    │3,60%        │6,80%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       │din 365│         │             │    </w:t>
      </w:r>
      <w:r>
        <w:rPr>
          <w:rFonts w:ascii="Courier New" w:hAnsi="Courier New" w:cs="Courier New"/>
          <w:sz w:val="18"/>
          <w:szCs w:val="18"/>
        </w:rPr>
        <w:t xml:space="preserve">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│01.10.2013-05.11.2013│36 zile│4,25%    │3,40%        │6,60%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</w:t>
      </w:r>
      <w:r>
        <w:rPr>
          <w:rFonts w:ascii="Courier New" w:hAnsi="Courier New" w:cs="Courier New"/>
          <w:sz w:val="18"/>
          <w:szCs w:val="18"/>
        </w:rPr>
        <w:t>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│06.11.2013-08.01.2014│64 zile│4,00%    │3,20%        │6,40%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│09</w:t>
      </w:r>
      <w:r>
        <w:rPr>
          <w:rFonts w:ascii="Courier New" w:hAnsi="Courier New" w:cs="Courier New"/>
          <w:sz w:val="18"/>
          <w:szCs w:val="18"/>
        </w:rPr>
        <w:t>.01.2014-04.02.2014│27 zile│3,75%    │3,00%        │6,20%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       │181    │         │     </w:t>
      </w:r>
      <w:r>
        <w:rPr>
          <w:rFonts w:ascii="Courier New" w:hAnsi="Courier New" w:cs="Courier New"/>
          <w:sz w:val="18"/>
          <w:szCs w:val="18"/>
        </w:rPr>
        <w:t xml:space="preserve">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│05.02.2014-04.08.2014│zile   │3,50%    │2,80%        │6,00%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│05.08.2014-30.09.</w:t>
      </w:r>
      <w:r>
        <w:rPr>
          <w:rFonts w:ascii="Courier New" w:hAnsi="Courier New" w:cs="Courier New"/>
          <w:sz w:val="18"/>
          <w:szCs w:val="18"/>
        </w:rPr>
        <w:t>2014│57 zile│3,25%    │2,60%        │5,80%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│01.10.2014-04.11.2014│35 zile│3,00%    │2,40%        │5,60% </w:t>
      </w:r>
      <w:r>
        <w:rPr>
          <w:rFonts w:ascii="Courier New" w:hAnsi="Courier New" w:cs="Courier New"/>
          <w:sz w:val="18"/>
          <w:szCs w:val="18"/>
        </w:rPr>
        <w:t xml:space="preserve">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│05.11.2014-07.01.2015│64 zile│2,75%    │2,20%        │5,40%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       </w:t>
      </w:r>
      <w:r>
        <w:rPr>
          <w:rFonts w:ascii="Courier New" w:hAnsi="Courier New" w:cs="Courier New"/>
          <w:sz w:val="18"/>
          <w:szCs w:val="18"/>
        </w:rPr>
        <w:t>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│08.01.2015-04.02.2015│28 zile│2,50%    │2,00%        │5,20%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       │din 365│         │             │          </w:t>
      </w:r>
      <w:r>
        <w:rPr>
          <w:rFonts w:ascii="Courier New" w:hAnsi="Courier New" w:cs="Courier New"/>
          <w:sz w:val="18"/>
          <w:szCs w:val="18"/>
        </w:rPr>
        <w:t xml:space="preserve">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│05.02.2015-31.03.2015│55 zile│2,25%    │1,80%        │5,00%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├─────────────────────┼───────┼──────</w:t>
      </w:r>
      <w:r>
        <w:rPr>
          <w:rFonts w:ascii="Courier New" w:hAnsi="Courier New" w:cs="Courier New"/>
          <w:sz w:val="18"/>
          <w:szCs w:val="18"/>
        </w:rPr>
        <w:t>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│01.04.2015-06.05.2015│36 zile│2,00%    │1,60%        │4,80%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</w:t>
      </w:r>
      <w:r>
        <w:rPr>
          <w:rFonts w:ascii="Courier New" w:hAnsi="Courier New" w:cs="Courier New"/>
          <w:sz w:val="18"/>
          <w:szCs w:val="18"/>
        </w:rPr>
        <w:t xml:space="preserve">             │239    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│07.05.2015-31.12.2015│zile   │1,75%    │1,40%        │4,60%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</w:t>
      </w:r>
      <w:r>
        <w:rPr>
          <w:rFonts w:ascii="Courier New" w:hAnsi="Courier New" w:cs="Courier New"/>
          <w:sz w:val="18"/>
          <w:szCs w:val="18"/>
        </w:rPr>
        <w:t>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│366    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│01.01.2016-31.12.2016│zile   │1,75%    │1,40%        │4,60%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366│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</w:t>
      </w:r>
      <w:r>
        <w:rPr>
          <w:rFonts w:ascii="Courier New" w:hAnsi="Courier New" w:cs="Courier New"/>
          <w:sz w:val="18"/>
          <w:szCs w:val="18"/>
        </w:rPr>
        <w:t>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│365    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│01.01.2017-31.12.2017│zile   │1,75%    │1,40%        │4,60%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       │din 365│         │             │            </w:t>
      </w:r>
      <w:r>
        <w:rPr>
          <w:rFonts w:ascii="Courier New" w:hAnsi="Courier New" w:cs="Courier New"/>
          <w:sz w:val="18"/>
          <w:szCs w:val="18"/>
        </w:rPr>
        <w:t xml:space="preserve">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│01.01.2018-08.01.2018│8 zile │1,75%    │1,40%        │4,60%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│09.01.2018-07.02.2018│30 zile│2,00%    │1,60%        │4,80%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</w:t>
      </w:r>
      <w:r>
        <w:rPr>
          <w:rFonts w:ascii="Courier New" w:hAnsi="Courier New" w:cs="Courier New"/>
          <w:sz w:val="18"/>
          <w:szCs w:val="18"/>
        </w:rPr>
        <w:t>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│08.02.2018-07.05.2018│89 zile│2,25%    │1,80%        │5,00%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          </w:t>
      </w:r>
      <w:r>
        <w:rPr>
          <w:rFonts w:ascii="Courier New" w:hAnsi="Courier New" w:cs="Courier New"/>
          <w:sz w:val="18"/>
          <w:szCs w:val="18"/>
        </w:rPr>
        <w:t xml:space="preserve">       │238    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│08.05.2018-31.12.2018│zile   │2,50%    │2,00%        │5,20%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├─────────────────────┼───────┼─────────┼─────────────┼───</w:t>
      </w:r>
      <w:r>
        <w:rPr>
          <w:rFonts w:ascii="Courier New" w:hAnsi="Courier New" w:cs="Courier New"/>
          <w:sz w:val="18"/>
          <w:szCs w:val="18"/>
        </w:rPr>
        <w:t>──────────┤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│120    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│01.01.2019-30.04.2019│zile   │2,50%    │2,00%        │5,20%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│din 365│         │             │             │</w:t>
      </w:r>
    </w:p>
    <w:p w:rsidR="00000000" w:rsidRDefault="00477900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divId w:val="214612081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└─────────────────────┴───────</w:t>
      </w:r>
      <w:r>
        <w:rPr>
          <w:rFonts w:ascii="Courier New" w:hAnsi="Courier New" w:cs="Courier New"/>
          <w:sz w:val="18"/>
          <w:szCs w:val="18"/>
        </w:rPr>
        <w:t>┴─────────┴─────────────┴─────────────┘</w:t>
      </w:r>
    </w:p>
    <w:p w:rsidR="00000000" w:rsidRDefault="00477900">
      <w:pPr>
        <w:autoSpaceDE/>
        <w:autoSpaceDN/>
        <w:spacing w:after="240"/>
        <w:rPr>
          <w:rFonts w:ascii="Times New Roman" w:eastAsia="Times New Roman" w:hAnsi="Times New Roman"/>
          <w:sz w:val="24"/>
          <w:szCs w:val="24"/>
        </w:rPr>
      </w:pPr>
    </w:p>
    <w:p w:rsidR="00477900" w:rsidRDefault="00477900">
      <w:pPr>
        <w:pStyle w:val="NormalWeb"/>
        <w:spacing w:before="0" w:beforeAutospacing="0" w:after="240" w:afterAutospacing="0"/>
        <w:jc w:val="both"/>
      </w:pPr>
      <w:r>
        <w:t> </w:t>
      </w:r>
      <w:r>
        <w:t> </w:t>
      </w:r>
      <w:r>
        <w:t>-----</w:t>
      </w:r>
    </w:p>
    <w:sectPr w:rsidR="00477900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oNotHyphenateCaps/>
  <w:drawingGridHorizontalSpacing w:val="0"/>
  <w:drawingGridVerticalSpacing w:val="0"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771"/>
    <w:rsid w:val="00477900"/>
    <w:rsid w:val="00AA7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03B02E-7D07-4CCE-902B-F029F90D0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5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msonormal0">
    <w:name w:val="msonormal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styleId="NormalWeb">
    <w:name w:val="Normal (Web)"/>
    <w:basedOn w:val="Normal"/>
    <w:uiPriority w:val="99"/>
    <w:semiHidden/>
    <w:unhideWhenUsed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Theme="minorEastAsia" w:hAnsi="Courier New" w:cs="Courier New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Pr>
      <w:rFonts w:ascii="Consolas" w:eastAsia="Verdana" w:hAnsi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6120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2351</Words>
  <Characters>13404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2</cp:revision>
  <dcterms:created xsi:type="dcterms:W3CDTF">2019-05-22T04:51:00Z</dcterms:created>
  <dcterms:modified xsi:type="dcterms:W3CDTF">2019-05-22T04:51:00Z</dcterms:modified>
</cp:coreProperties>
</file>