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76" w:lineRule="auto"/>
        <w:ind w:left="0" w:right="0" w:firstLine="0"/>
        <w:jc w:val="right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70c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70c0"/>
          <w:sz w:val="24"/>
          <w:szCs w:val="24"/>
          <w:u w:val="none"/>
          <w:shd w:fill="auto" w:val="clear"/>
          <w:vertAlign w:val="baseline"/>
          <w:rtl w:val="0"/>
        </w:rPr>
        <w:t xml:space="preserve">27 iunie 2022</w:t>
      </w:r>
    </w:p>
    <w:p w:rsidR="00000000" w:rsidDel="00000000" w:rsidP="00000000" w:rsidRDefault="00000000" w:rsidRPr="00000000" w14:paraId="00000002">
      <w:pPr>
        <w:pStyle w:val="Heading1"/>
        <w:pBdr>
          <w:bottom w:color="b9d2e3" w:space="2" w:sz="6" w:val="single"/>
        </w:pBdr>
        <w:shd w:fill="ffffff" w:val="clear"/>
        <w:spacing w:after="0" w:before="0" w:line="276" w:lineRule="auto"/>
        <w:ind w:right="75"/>
        <w:jc w:val="center"/>
        <w:rPr>
          <w:rFonts w:ascii="Trebuchet MS" w:cs="Trebuchet MS" w:eastAsia="Trebuchet MS" w:hAnsi="Trebuchet MS"/>
          <w:color w:val="0070c0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color w:val="0070c0"/>
          <w:sz w:val="24"/>
          <w:szCs w:val="24"/>
          <w:rtl w:val="0"/>
        </w:rPr>
        <w:t xml:space="preserve">Comunicat de presă</w:t>
      </w:r>
    </w:p>
    <w:p w:rsidR="00000000" w:rsidDel="00000000" w:rsidP="00000000" w:rsidRDefault="00000000" w:rsidRPr="00000000" w14:paraId="00000003">
      <w:pPr>
        <w:shd w:fill="ffffff" w:val="clear"/>
        <w:spacing w:after="120" w:lineRule="auto"/>
        <w:jc w:val="center"/>
        <w:rPr>
          <w:rFonts w:ascii="Trebuchet MS" w:cs="Trebuchet MS" w:eastAsia="Trebuchet MS" w:hAnsi="Trebuchet MS"/>
          <w:b w:val="1"/>
          <w:color w:val="004289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color w:val="004289"/>
          <w:sz w:val="24"/>
          <w:szCs w:val="24"/>
          <w:rtl w:val="0"/>
        </w:rPr>
        <w:t xml:space="preserve">Informare privind rezultatele inițiale înregistrate în prima sesiune a examenului de Bacalaureat 2022</w:t>
      </w:r>
    </w:p>
    <w:p w:rsidR="00000000" w:rsidDel="00000000" w:rsidP="00000000" w:rsidRDefault="00000000" w:rsidRPr="00000000" w14:paraId="00000004">
      <w:pPr>
        <w:shd w:fill="ffffff" w:val="clear"/>
        <w:spacing w:after="120" w:lineRule="auto"/>
        <w:jc w:val="center"/>
        <w:rPr>
          <w:rFonts w:ascii="Trebuchet MS" w:cs="Trebuchet MS" w:eastAsia="Trebuchet MS" w:hAnsi="Trebuchet MS"/>
          <w:b w:val="1"/>
          <w:color w:val="00428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rebuchet MS" w:cs="Trebuchet MS" w:eastAsia="Trebuchet MS" w:hAnsi="Trebuchet MS"/>
          <w:b w:val="1"/>
          <w:color w:val="333333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Ministerul Educației a publicat </w:t>
      </w: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highlight w:val="white"/>
          <w:rtl w:val="0"/>
        </w:rPr>
        <w:t xml:space="preserve">astăzi, 27 iunie, pe 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highlight w:val="white"/>
          <w:rtl w:val="0"/>
        </w:rPr>
        <w:t xml:space="preserve">site-ul dedicat </w:t>
      </w:r>
      <w:r w:rsidDel="00000000" w:rsidR="00000000" w:rsidRPr="00000000">
        <w:rPr>
          <w:rFonts w:ascii="Trebuchet MS" w:cs="Trebuchet MS" w:eastAsia="Trebuchet MS" w:hAnsi="Trebuchet MS"/>
          <w:b w:val="1"/>
          <w:color w:val="333333"/>
          <w:sz w:val="24"/>
          <w:szCs w:val="24"/>
          <w:highlight w:val="white"/>
          <w:rtl w:val="0"/>
        </w:rPr>
        <w:t xml:space="preserve"> </w:t>
      </w:r>
      <w:hyperlink r:id="rId6">
        <w:r w:rsidDel="00000000" w:rsidR="00000000" w:rsidRPr="00000000">
          <w:rPr>
            <w:rFonts w:ascii="Trebuchet MS" w:cs="Trebuchet MS" w:eastAsia="Trebuchet MS" w:hAnsi="Trebuchet MS"/>
            <w:b w:val="1"/>
            <w:color w:val="337ab7"/>
            <w:sz w:val="24"/>
            <w:szCs w:val="24"/>
            <w:u w:val="single"/>
            <w:rtl w:val="0"/>
          </w:rPr>
          <w:t xml:space="preserve">http://bacalaureat.edu.ro/</w:t>
        </w:r>
      </w:hyperlink>
      <w:r w:rsidDel="00000000" w:rsidR="00000000" w:rsidRPr="00000000">
        <w:rPr>
          <w:rFonts w:ascii="Trebuchet MS" w:cs="Trebuchet MS" w:eastAsia="Trebuchet MS" w:hAnsi="Trebuchet MS"/>
          <w:b w:val="1"/>
          <w:color w:val="333333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highlight w:val="white"/>
          <w:rtl w:val="0"/>
        </w:rPr>
        <w:t xml:space="preserve">r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ezultatele obținute</w:t>
      </w: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1"/>
          <w:color w:val="333333"/>
          <w:sz w:val="24"/>
          <w:szCs w:val="24"/>
          <w:rtl w:val="0"/>
        </w:rPr>
        <w:t xml:space="preserve">de absolvenții studiilor liceale care au susținut probele examenului național de Bacalaureat în sesiunea iunie-iulie 2022. </w:t>
      </w:r>
    </w:p>
    <w:p w:rsidR="00000000" w:rsidDel="00000000" w:rsidP="00000000" w:rsidRDefault="00000000" w:rsidRPr="00000000" w14:paraId="00000006">
      <w:pPr>
        <w:rPr>
          <w:rFonts w:ascii="Trebuchet MS" w:cs="Trebuchet MS" w:eastAsia="Trebuchet MS" w:hAnsi="Trebuchet MS"/>
          <w:b w:val="1"/>
          <w:color w:val="333333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color w:val="333333"/>
          <w:sz w:val="24"/>
          <w:szCs w:val="24"/>
          <w:rtl w:val="0"/>
        </w:rPr>
        <w:t xml:space="preserve">Rezultatele au fost afișate atât pe pagina web menționată anterior, cât și în centrele de examen, </w:t>
      </w: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prin anonimizarea numelui și a prenumelui candidaților, în concordanță cu prevederile art. 5 și ale art. 6 din </w:t>
      </w:r>
      <w:r w:rsidDel="00000000" w:rsidR="00000000" w:rsidRPr="00000000">
        <w:rPr>
          <w:rFonts w:ascii="Trebuchet MS" w:cs="Trebuchet MS" w:eastAsia="Trebuchet MS" w:hAnsi="Trebuchet MS"/>
          <w:i w:val="1"/>
          <w:color w:val="000000"/>
          <w:sz w:val="24"/>
          <w:szCs w:val="24"/>
          <w:rtl w:val="0"/>
        </w:rPr>
        <w:t xml:space="preserve">Regulamentul UE 2016/679 privind protecția persoanelor fizice în ceea ce privește prelucrarea datelor cu caracter personal și privind libera circulație a acestor date de abrogare a Directivei 95/46/CE </w:t>
      </w: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rebuchet MS" w:cs="Trebuchet MS" w:eastAsia="Trebuchet MS" w:hAnsi="Trebuchet MS"/>
          <w:i w:val="1"/>
          <w:color w:val="000000"/>
          <w:sz w:val="24"/>
          <w:szCs w:val="24"/>
          <w:rtl w:val="0"/>
        </w:rPr>
        <w:t xml:space="preserve">Regulamentul general privind protecția datelor – RGPD/GDPR</w:t>
      </w: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rebuchet MS" w:cs="Trebuchet MS" w:eastAsia="Trebuchet MS" w:hAnsi="Trebuchet MS"/>
          <w:b w:val="1"/>
          <w:color w:val="000000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Rata cumulată de promovare în județul Hunedoara (înainte de contestații) este de 71,55% </w:t>
      </w:r>
      <w:r w:rsidDel="00000000" w:rsidR="00000000" w:rsidRPr="00000000">
        <w:rPr>
          <w:rFonts w:ascii="Trebuchet MS" w:cs="Trebuchet MS" w:eastAsia="Trebuchet MS" w:hAnsi="Trebuchet MS"/>
          <w:b w:val="0"/>
          <w:color w:val="000000"/>
          <w:sz w:val="24"/>
          <w:szCs w:val="24"/>
          <w:rtl w:val="0"/>
        </w:rPr>
        <w:t xml:space="preserve">(față de 64,61% - sesiunea iunie-iulie 2021 și 59,34% - în sesiunea iunie-iulie 2020).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 Pentru promoția curentă, rata de promovare este 76,77% </w:t>
      </w:r>
      <w:r w:rsidDel="00000000" w:rsidR="00000000" w:rsidRPr="00000000">
        <w:rPr>
          <w:rFonts w:ascii="Trebuchet MS" w:cs="Trebuchet MS" w:eastAsia="Trebuchet MS" w:hAnsi="Trebuchet MS"/>
          <w:b w:val="0"/>
          <w:color w:val="000000"/>
          <w:sz w:val="24"/>
          <w:szCs w:val="24"/>
          <w:rtl w:val="0"/>
        </w:rPr>
        <w:t xml:space="preserve">( 72,13%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 - </w:t>
      </w:r>
      <w:r w:rsidDel="00000000" w:rsidR="00000000" w:rsidRPr="00000000">
        <w:rPr>
          <w:rFonts w:ascii="Trebuchet MS" w:cs="Trebuchet MS" w:eastAsia="Trebuchet MS" w:hAnsi="Trebuchet MS"/>
          <w:b w:val="0"/>
          <w:color w:val="000000"/>
          <w:sz w:val="24"/>
          <w:szCs w:val="24"/>
          <w:rtl w:val="0"/>
        </w:rPr>
        <w:t xml:space="preserve">sesiunea iunie-iulie 2021 și 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0"/>
          <w:color w:val="000000"/>
          <w:sz w:val="24"/>
          <w:szCs w:val="24"/>
          <w:rtl w:val="0"/>
        </w:rPr>
        <w:t xml:space="preserve">70,70% - sesiunea iunie-iulie 2020)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, iar pentru promoțiile anterioare – 32,96%  </w:t>
      </w:r>
      <w:r w:rsidDel="00000000" w:rsidR="00000000" w:rsidRPr="00000000">
        <w:rPr>
          <w:rFonts w:ascii="Trebuchet MS" w:cs="Trebuchet MS" w:eastAsia="Trebuchet MS" w:hAnsi="Trebuchet MS"/>
          <w:b w:val="0"/>
          <w:color w:val="000000"/>
          <w:sz w:val="24"/>
          <w:szCs w:val="24"/>
          <w:rtl w:val="0"/>
        </w:rPr>
        <w:t xml:space="preserve">(21,27% -sesiunea iunie-iulie 2021 și 19,61% - sesiunea iunie-iulie 2020)</w:t>
      </w: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. La nivel național, rata de promovare este de 73,3 %, față de 67,8 % în aceeași sesiune a anului școlar 2020-2021, respectiv, 62,9 %, înregistrată în anul școlar 2019 - 2020.</w:t>
      </w:r>
    </w:p>
    <w:p w:rsidR="00000000" w:rsidDel="00000000" w:rsidP="00000000" w:rsidRDefault="00000000" w:rsidRPr="00000000" w14:paraId="00000008">
      <w:pPr>
        <w:rPr>
          <w:rFonts w:ascii="Trebuchet MS" w:cs="Trebuchet MS" w:eastAsia="Trebuchet MS" w:hAnsi="Trebuchet MS"/>
          <w:b w:val="1"/>
          <w:color w:val="000000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4"/>
          <w:szCs w:val="24"/>
          <w:rtl w:val="0"/>
        </w:rPr>
        <w:t xml:space="preserve">Au promovat un număr de 1622 de candidați, dintr-un total de 2267 de candidați prezenți. Dintre aceștia, 1533 de candidați provin din promoția curentă, iar 89 de candidați din promoțiile anterioare.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rebuchet MS" w:cs="Trebuchet MS" w:eastAsia="Trebuchet MS" w:hAnsi="Trebuchet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 candidați au obținut media 10</w:t>
      </w:r>
      <w:r w:rsidDel="00000000" w:rsidR="00000000" w:rsidRPr="00000000">
        <w:rPr>
          <w:rFonts w:ascii="Trebuchet MS" w:cs="Trebuchet MS" w:eastAsia="Trebuchet MS" w:hAnsi="Trebuchet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(la fel ca în prima sesiune a anului trecut, respectiv, 9 candidați în sesiunea similară din 2020). Acești absolvenți de excepție provin din următoarele unități de învățământ: Liceul Teoretic „Traian Lalescu” Hunedoara (2 absolvenți), Colegiului Național Pedagogic „Regina Maria” Deva (1 absolvent) și Colegiul Național „Iancu de Hunedoara” Hunedoara (1 absolvent).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Pe discipline de examen, situația candidaților cu note de 10 este următoarea: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hd w:fill="ffffff" w:val="clear"/>
        <w:spacing w:after="0" w:before="280" w:line="240" w:lineRule="auto"/>
        <w:ind w:left="720" w:hanging="360"/>
        <w:rPr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13  au obținut nota 10 la proba de Limba și literatura română;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hd w:fill="ffffff" w:val="clear"/>
        <w:spacing w:after="0" w:before="0" w:line="240" w:lineRule="auto"/>
        <w:ind w:left="720" w:hanging="360"/>
        <w:rPr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64 au obținut nota 10 la proba obligatorie a profilului (Matematică - 46  / Istorie – 18)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hd w:fill="ffffff" w:val="clear"/>
        <w:spacing w:after="280" w:before="0" w:line="240" w:lineRule="auto"/>
        <w:ind w:left="720" w:hanging="360"/>
        <w:rPr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sz w:val="24"/>
          <w:szCs w:val="24"/>
          <w:rtl w:val="0"/>
        </w:rPr>
        <w:t xml:space="preserve">84 au obținut nota 10 la proba la alegere a profilului și a specializării.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Situația statistică înregistrată în cadrul sesiunii iunie-iulie a examenului de Bacalaureat Național – 2021 în județul Hunedoara, este prezentată în tabelul următor:</w:t>
      </w:r>
    </w:p>
    <w:tbl>
      <w:tblPr>
        <w:tblStyle w:val="Table1"/>
        <w:tblW w:w="9989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54"/>
        <w:gridCol w:w="1171"/>
        <w:gridCol w:w="1296"/>
        <w:gridCol w:w="1210"/>
        <w:gridCol w:w="1028"/>
        <w:gridCol w:w="1028"/>
        <w:gridCol w:w="1028"/>
        <w:gridCol w:w="1028"/>
        <w:gridCol w:w="947"/>
        <w:tblGridChange w:id="0">
          <w:tblGrid>
            <w:gridCol w:w="1254"/>
            <w:gridCol w:w="1171"/>
            <w:gridCol w:w="1296"/>
            <w:gridCol w:w="1210"/>
            <w:gridCol w:w="1028"/>
            <w:gridCol w:w="1028"/>
            <w:gridCol w:w="1028"/>
            <w:gridCol w:w="1028"/>
            <w:gridCol w:w="947"/>
          </w:tblGrid>
        </w:tblGridChange>
      </w:tblGrid>
      <w:tr>
        <w:trPr>
          <w:cantSplit w:val="0"/>
          <w:trHeight w:val="61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 candidați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Prezenți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Reușiți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Eliminați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6-6,99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7-7,99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8-8,99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9-9,99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2355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2267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1622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363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397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519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339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highlight w:val="white"/>
          <w:u w:val="none"/>
          <w:vertAlign w:val="baseline"/>
          <w:rtl w:val="0"/>
        </w:rPr>
        <w:t xml:space="preserve">Contestațiile pot fi depuse/transmise astăzi, 27 iunie, în intervalul orar 12:00 - 18:00</w:t>
      </w:r>
      <w:r w:rsidDel="00000000" w:rsidR="00000000" w:rsidRPr="00000000">
        <w:rPr>
          <w:rFonts w:ascii="Trebuchet MS" w:cs="Trebuchet MS" w:eastAsia="Trebuchet MS" w:hAnsi="Trebuchet MS"/>
          <w:b w:val="0"/>
          <w:i w:val="0"/>
          <w:smallCaps w:val="0"/>
          <w:strike w:val="0"/>
          <w:color w:val="333333"/>
          <w:sz w:val="24"/>
          <w:szCs w:val="24"/>
          <w:highlight w:val="white"/>
          <w:u w:val="none"/>
          <w:vertAlign w:val="baseline"/>
          <w:rtl w:val="0"/>
        </w:rPr>
        <w:t xml:space="preserve">, inclusiv prin mijloace electronice. În această situație, candidații completează, semnează și depun/transmit prin mijloace electronice și o declarație-tip în care se menționează faptul că au luat cunoștință că nota acordată ca urmare a soluționării contestației poate modifica, după caz, nota inițială, prin creștere sau descreștere. Pentru candidații minori, declarația-tip este semnată și de către părinții/reprezentanții legali ai acestora.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Rezultatele înregistrate după soluționarea contestațiilor vor fi anunțate vineri, 1 iulie 2022.</w:t>
      </w:r>
    </w:p>
    <w:p w:rsidR="00000000" w:rsidDel="00000000" w:rsidP="00000000" w:rsidRDefault="00000000" w:rsidRPr="00000000" w14:paraId="00000024">
      <w:pPr>
        <w:shd w:fill="ffffff" w:val="clear"/>
        <w:spacing w:after="150" w:before="0" w:line="240" w:lineRule="auto"/>
        <w:rPr>
          <w:rFonts w:ascii="Trebuchet MS" w:cs="Trebuchet MS" w:eastAsia="Trebuchet MS" w:hAnsi="Trebuchet MS"/>
          <w:color w:val="333333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color w:val="333333"/>
          <w:sz w:val="24"/>
          <w:szCs w:val="24"/>
          <w:rtl w:val="0"/>
        </w:rPr>
        <w:t xml:space="preserve">Pentru a fi declarat promovat, un absolvent de liceu trebuie să îndeplinească următoarele condiții, cumulativ: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hd w:fill="ffffff" w:val="clear"/>
        <w:spacing w:after="0" w:before="280" w:line="240" w:lineRule="auto"/>
        <w:ind w:left="720" w:hanging="360"/>
        <w:rPr>
          <w:color w:val="333333"/>
        </w:rPr>
      </w:pPr>
      <w:r w:rsidDel="00000000" w:rsidR="00000000" w:rsidRPr="00000000">
        <w:rPr>
          <w:rFonts w:ascii="Trebuchet MS" w:cs="Trebuchet MS" w:eastAsia="Trebuchet MS" w:hAnsi="Trebuchet MS"/>
          <w:color w:val="333333"/>
          <w:sz w:val="24"/>
          <w:szCs w:val="24"/>
          <w:rtl w:val="0"/>
        </w:rPr>
        <w:t xml:space="preserve">recunoașterea/echivalarea/susținerea tuturor probelor de evaluare a competențelor lingvistice și digitale;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hd w:fill="ffffff" w:val="clear"/>
        <w:spacing w:after="0" w:before="0" w:line="240" w:lineRule="auto"/>
        <w:ind w:left="720" w:hanging="360"/>
        <w:rPr>
          <w:color w:val="333333"/>
        </w:rPr>
      </w:pPr>
      <w:r w:rsidDel="00000000" w:rsidR="00000000" w:rsidRPr="00000000">
        <w:rPr>
          <w:rFonts w:ascii="Trebuchet MS" w:cs="Trebuchet MS" w:eastAsia="Trebuchet MS" w:hAnsi="Trebuchet MS"/>
          <w:color w:val="333333"/>
          <w:sz w:val="24"/>
          <w:szCs w:val="24"/>
          <w:rtl w:val="0"/>
        </w:rPr>
        <w:t xml:space="preserve">susținerea tuturor probelor scrise și obținerea notei 5 (cel puțin) la fiecare dintre acestea;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hd w:fill="ffffff" w:val="clear"/>
        <w:spacing w:after="280" w:before="0" w:line="240" w:lineRule="auto"/>
        <w:ind w:left="720" w:hanging="360"/>
        <w:rPr>
          <w:color w:val="333333"/>
        </w:rPr>
      </w:pPr>
      <w:r w:rsidDel="00000000" w:rsidR="00000000" w:rsidRPr="00000000">
        <w:rPr>
          <w:rFonts w:ascii="Trebuchet MS" w:cs="Trebuchet MS" w:eastAsia="Trebuchet MS" w:hAnsi="Trebuchet MS"/>
          <w:color w:val="333333"/>
          <w:sz w:val="24"/>
          <w:szCs w:val="24"/>
          <w:rtl w:val="0"/>
        </w:rPr>
        <w:t xml:space="preserve">obținerea mediei 6 (cel puțin) la probele scrise.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Istoricul rezultator înregistrate la Bacalaureat înainte de etapa de depunere a contestațiilor: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0.0" w:type="dxa"/>
        <w:jc w:val="left"/>
        <w:tblInd w:w="27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5"/>
        <w:gridCol w:w="1942"/>
        <w:gridCol w:w="2538"/>
        <w:gridCol w:w="2293"/>
        <w:gridCol w:w="1852"/>
        <w:tblGridChange w:id="0">
          <w:tblGrid>
            <w:gridCol w:w="725"/>
            <w:gridCol w:w="1942"/>
            <w:gridCol w:w="2538"/>
            <w:gridCol w:w="2293"/>
            <w:gridCol w:w="1852"/>
          </w:tblGrid>
        </w:tblGridChange>
      </w:tblGrid>
      <w:tr>
        <w:trPr>
          <w:cantSplit w:val="0"/>
          <w:trHeight w:val="1103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Nr.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crt.</w:t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 școlar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Procentul promovabilitate la nivelul județului Hunedoara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Procentul promovabilitate la nivel national</w:t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Nr. medii de 10 în județul Hunedoara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2021-2022</w:t>
            </w:r>
          </w:p>
        </w:tc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71,55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73,3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2020-2021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64,61%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67,8%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2019-2020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59,34%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62,9%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2018-2019</w:t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66,17%</w:t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67,2%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2017-2018</w:t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66,85%</w:t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67,65%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2016-2017</w:t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71,35%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72,87%</w:t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2015-2016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67,43%</w:t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66,67%</w:t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0"/>
        <w:jc w:val="both"/>
        <w:rPr>
          <w:rFonts w:ascii="Trebuchet MS" w:cs="Trebuchet MS" w:eastAsia="Trebuchet MS" w:hAnsi="Trebuchet MS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0" w:right="0" w:firstLine="720"/>
        <w:jc w:val="both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Biroul de presă al Inspectoratului Școlar Județean Hunedoara</w:t>
      </w:r>
    </w:p>
    <w:p w:rsidR="00000000" w:rsidDel="00000000" w:rsidP="00000000" w:rsidRDefault="00000000" w:rsidRPr="00000000" w14:paraId="00000056">
      <w:pPr>
        <w:rPr>
          <w:rFonts w:ascii="Trebuchet MS" w:cs="Trebuchet MS" w:eastAsia="Trebuchet MS" w:hAnsi="Trebuchet MS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rebuchet MS" w:cs="Trebuchet MS" w:eastAsia="Trebuchet MS" w:hAnsi="Trebuchet MS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276" w:top="1560" w:left="993" w:right="707" w:header="0" w:footer="24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Times New Roman"/>
  <w:font w:name="Georgia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703"/>
        <w:tab w:val="right" w:pos="9406"/>
        <w:tab w:val="left" w:pos="142"/>
      </w:tabs>
      <w:spacing w:after="0" w:before="160" w:line="240" w:lineRule="auto"/>
      <w:ind w:left="0" w:right="0" w:firstLine="0"/>
      <w:jc w:val="both"/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703"/>
        <w:tab w:val="right" w:pos="9406"/>
        <w:tab w:val="right" w:pos="0"/>
      </w:tabs>
      <w:spacing w:after="0" w:before="0" w:line="240" w:lineRule="auto"/>
      <w:ind w:left="0" w:right="-1080" w:hanging="9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f243e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f243e"/>
        <w:sz w:val="14"/>
        <w:szCs w:val="14"/>
        <w:u w:val="none"/>
        <w:shd w:fill="auto" w:val="clear"/>
        <w:vertAlign w:val="baseline"/>
        <w:rtl w:val="0"/>
      </w:rPr>
      <w:t xml:space="preserve"> Str. Gh. Baritiu  nr. 2, 330065  - DEVA, jud. HUNEDOARA </w:t>
    </w:r>
  </w:p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703"/>
        <w:tab w:val="right" w:pos="9406"/>
      </w:tabs>
      <w:spacing w:after="0" w:before="0" w:line="240" w:lineRule="auto"/>
      <w:ind w:left="6521" w:right="-1080" w:hanging="6327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f243e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f243e"/>
        <w:sz w:val="14"/>
        <w:szCs w:val="14"/>
        <w:u w:val="none"/>
        <w:shd w:fill="auto" w:val="clear"/>
        <w:vertAlign w:val="baseline"/>
        <w:rtl w:val="0"/>
      </w:rPr>
      <w:t xml:space="preserve">    Tel:    +40 (0)254213315, +40(0)254215755</w:t>
    </w:r>
  </w:p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703"/>
        <w:tab w:val="right" w:pos="9406"/>
      </w:tabs>
      <w:spacing w:after="0" w:before="0" w:line="240" w:lineRule="auto"/>
      <w:ind w:left="6521" w:right="-1080" w:hanging="6327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f243e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f243e"/>
        <w:sz w:val="14"/>
        <w:szCs w:val="14"/>
        <w:u w:val="none"/>
        <w:shd w:fill="auto" w:val="clear"/>
        <w:vertAlign w:val="baseline"/>
        <w:rtl w:val="0"/>
      </w:rPr>
      <w:t xml:space="preserve">    Fax:   +40 (0)254215034, +40(0) 254220911</w:t>
    </w:r>
  </w:p>
  <w:p w:rsidR="00000000" w:rsidDel="00000000" w:rsidP="00000000" w:rsidRDefault="00000000" w:rsidRPr="00000000" w14:paraId="00000064">
    <w:pPr>
      <w:tabs>
        <w:tab w:val="left" w:pos="-90"/>
      </w:tabs>
      <w:spacing w:after="0" w:before="0" w:line="240" w:lineRule="auto"/>
      <w:ind w:right="-1080" w:hanging="6327"/>
      <w:jc w:val="left"/>
      <w:rPr>
        <w:rFonts w:ascii="Times New Roman" w:cs="Times New Roman" w:eastAsia="Times New Roman" w:hAnsi="Times New Roman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sz w:val="14"/>
        <w:szCs w:val="14"/>
        <w:rtl w:val="0"/>
      </w:rPr>
      <w:tab/>
      <w:tab/>
      <w:t xml:space="preserve">e-mail: </w:t>
    </w:r>
    <w:hyperlink r:id="rId1">
      <w:r w:rsidDel="00000000" w:rsidR="00000000" w:rsidRPr="00000000">
        <w:rPr>
          <w:rFonts w:ascii="Times New Roman" w:cs="Times New Roman" w:eastAsia="Times New Roman" w:hAnsi="Times New Roman"/>
          <w:color w:val="0563c1"/>
          <w:sz w:val="14"/>
          <w:szCs w:val="14"/>
          <w:u w:val="single"/>
          <w:rtl w:val="0"/>
        </w:rPr>
        <w:t xml:space="preserve">inspectorat@isj.hd.edu.ro</w:t>
      </w:r>
    </w:hyperlink>
    <w:r w:rsidDel="00000000" w:rsidR="00000000" w:rsidRPr="00000000">
      <w:rPr>
        <w:rFonts w:ascii="Times New Roman" w:cs="Times New Roman" w:eastAsia="Times New Roman" w:hAnsi="Times New Roman"/>
        <w:sz w:val="14"/>
        <w:szCs w:val="14"/>
        <w:rtl w:val="0"/>
      </w:rPr>
      <w:t xml:space="preserve">,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1"/>
          <w:color w:val="0563c1"/>
          <w:sz w:val="14"/>
          <w:szCs w:val="14"/>
          <w:u w:val="single"/>
          <w:rtl w:val="0"/>
        </w:rPr>
        <w:t xml:space="preserve">http://isj.hd.edu.ro</w:t>
      </w:r>
    </w:hyperlink>
    <w:r w:rsidDel="00000000" w:rsidR="00000000" w:rsidRPr="00000000">
      <w:rPr>
        <w:rFonts w:ascii="Times New Roman" w:cs="Times New Roman" w:eastAsia="Times New Roman" w:hAnsi="Times New Roman"/>
        <w:b w:val="1"/>
        <w:sz w:val="14"/>
        <w:szCs w:val="14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703"/>
        <w:tab w:val="right" w:pos="9406"/>
      </w:tabs>
      <w:spacing w:after="0" w:before="160" w:line="240" w:lineRule="auto"/>
      <w:ind w:left="0" w:right="0" w:firstLine="0"/>
      <w:jc w:val="both"/>
      <w:rPr>
        <w:rFonts w:ascii="Trebuchet MS" w:cs="Trebuchet MS" w:eastAsia="Trebuchet MS" w:hAnsi="Trebuchet MS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rebuchet MS" w:cs="Trebuchet MS" w:eastAsia="Trebuchet MS" w:hAnsi="Trebuchet MS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3"/>
      <w:tblW w:w="10263.0" w:type="dxa"/>
      <w:jc w:val="left"/>
      <w:tblInd w:w="0.0" w:type="dxa"/>
      <w:tblBorders>
        <w:bottom w:color="000000" w:space="0" w:sz="4" w:val="single"/>
      </w:tblBorders>
      <w:tblLayout w:type="fixed"/>
      <w:tblLook w:val="0400"/>
    </w:tblPr>
    <w:tblGrid>
      <w:gridCol w:w="1238"/>
      <w:gridCol w:w="5394"/>
      <w:gridCol w:w="3631"/>
      <w:tblGridChange w:id="0">
        <w:tblGrid>
          <w:gridCol w:w="1238"/>
          <w:gridCol w:w="5394"/>
          <w:gridCol w:w="3631"/>
        </w:tblGrid>
      </w:tblGridChange>
    </w:tblGrid>
    <w:tr>
      <w:trPr>
        <w:cantSplit w:val="0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9">
          <w:pPr>
            <w:spacing w:after="0" w:line="240" w:lineRule="auto"/>
            <w:rPr>
              <w:sz w:val="28"/>
              <w:szCs w:val="28"/>
            </w:rPr>
          </w:pPr>
          <w:r w:rsidDel="00000000" w:rsidR="00000000" w:rsidRPr="00000000">
            <w:rPr>
              <w:sz w:val="28"/>
              <w:szCs w:val="28"/>
            </w:rPr>
            <w:drawing>
              <wp:inline distB="0" distT="0" distL="0" distR="0">
                <wp:extent cx="714375" cy="676275"/>
                <wp:effectExtent b="0" l="0" r="0" t="0"/>
                <wp:docPr descr="SIGLA-ISJ" id="1" name="image1.png"/>
                <a:graphic>
                  <a:graphicData uri="http://schemas.openxmlformats.org/drawingml/2006/picture">
                    <pic:pic>
                      <pic:nvPicPr>
                        <pic:cNvPr descr="SIGLA-ISJ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5A">
          <w:pPr>
            <w:spacing w:after="0" w:line="240" w:lineRule="auto"/>
            <w:rPr>
              <w:b w:val="1"/>
              <w:sz w:val="28"/>
              <w:szCs w:val="28"/>
            </w:rPr>
          </w:pPr>
          <w:r w:rsidDel="00000000" w:rsidR="00000000" w:rsidRPr="00000000">
            <w:rPr>
              <w:b w:val="1"/>
              <w:sz w:val="28"/>
              <w:szCs w:val="28"/>
              <w:rtl w:val="0"/>
            </w:rPr>
            <w:t xml:space="preserve">INSPECTORATUL </w:t>
          </w:r>
        </w:p>
        <w:p w:rsidR="00000000" w:rsidDel="00000000" w:rsidP="00000000" w:rsidRDefault="00000000" w:rsidRPr="00000000" w14:paraId="0000005B">
          <w:pPr>
            <w:spacing w:after="0" w:before="0" w:line="240" w:lineRule="auto"/>
            <w:rPr>
              <w:b w:val="1"/>
              <w:sz w:val="28"/>
              <w:szCs w:val="28"/>
            </w:rPr>
          </w:pPr>
          <w:r w:rsidDel="00000000" w:rsidR="00000000" w:rsidRPr="00000000">
            <w:rPr>
              <w:b w:val="1"/>
              <w:sz w:val="28"/>
              <w:szCs w:val="28"/>
              <w:rtl w:val="0"/>
            </w:rPr>
            <w:t xml:space="preserve">ȘCOLAR JUDEȚEAN </w:t>
          </w:r>
        </w:p>
        <w:p w:rsidR="00000000" w:rsidDel="00000000" w:rsidP="00000000" w:rsidRDefault="00000000" w:rsidRPr="00000000" w14:paraId="0000005C">
          <w:pPr>
            <w:spacing w:after="0" w:before="0" w:line="240" w:lineRule="auto"/>
            <w:rPr>
              <w:b w:val="1"/>
              <w:sz w:val="28"/>
              <w:szCs w:val="28"/>
            </w:rPr>
          </w:pPr>
          <w:r w:rsidDel="00000000" w:rsidR="00000000" w:rsidRPr="00000000">
            <w:rPr>
              <w:b w:val="1"/>
              <w:sz w:val="28"/>
              <w:szCs w:val="28"/>
              <w:rtl w:val="0"/>
            </w:rPr>
            <w:t xml:space="preserve">HUNEDOARA</w:t>
          </w:r>
        </w:p>
        <w:p w:rsidR="00000000" w:rsidDel="00000000" w:rsidP="00000000" w:rsidRDefault="00000000" w:rsidRPr="00000000" w14:paraId="0000005D">
          <w:pPr>
            <w:spacing w:after="0" w:before="0" w:line="240" w:lineRule="auto"/>
            <w:rPr>
              <w:b w:val="1"/>
              <w:sz w:val="6"/>
              <w:szCs w:val="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5E">
          <w:pPr>
            <w:spacing w:after="0" w:line="240" w:lineRule="auto"/>
            <w:jc w:val="right"/>
            <w:rPr>
              <w:sz w:val="28"/>
              <w:szCs w:val="28"/>
            </w:rPr>
          </w:pPr>
          <w:r w:rsidDel="00000000" w:rsidR="00000000" w:rsidRPr="00000000">
            <w:rPr/>
            <w:drawing>
              <wp:inline distB="0" distT="0" distL="0" distR="0">
                <wp:extent cx="2266950" cy="609600"/>
                <wp:effectExtent b="0" l="0" r="0" t="0"/>
                <wp:docPr descr="Image result for antet MEC&quot;" id="2" name="image2.png"/>
                <a:graphic>
                  <a:graphicData uri="http://schemas.openxmlformats.org/drawingml/2006/picture">
                    <pic:pic>
                      <pic:nvPicPr>
                        <pic:cNvPr descr="Image result for antet MEC&quot;" id="0" name="image2.png"/>
                        <pic:cNvPicPr preferRelativeResize="0"/>
                      </pic:nvPicPr>
                      <pic:blipFill>
                        <a:blip r:embed="rId2"/>
                        <a:srcRect b="0" l="0" r="30612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609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703"/>
        <w:tab w:val="right" w:pos="9406"/>
      </w:tabs>
      <w:spacing w:after="0" w:before="160" w:line="240" w:lineRule="auto"/>
      <w:ind w:left="0" w:right="0" w:firstLine="0"/>
      <w:jc w:val="both"/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rebuchet MS" w:cs="Trebuchet MS" w:eastAsia="Trebuchet MS" w:hAnsi="Trebuchet MS"/>
        <w:sz w:val="22"/>
        <w:szCs w:val="22"/>
        <w:lang w:val="ro-RO"/>
      </w:rPr>
    </w:rPrDefault>
    <w:pPrDefault>
      <w:pPr>
        <w:spacing w:after="240" w:before="16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  <w:jc w:val="left"/>
    </w:pPr>
    <w:rPr>
      <w:rFonts w:ascii="Times New Roman" w:cs="Times New Roman" w:eastAsia="Times New Roman" w:hAnsi="Times New Roman"/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Trebuchet MS" w:cs="Trebuchet MS" w:eastAsia="Trebuchet MS" w:hAnsi="Trebuchet MS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57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bacalaureat.edu.ro/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inspectorat@isj.hd.edu.ro" TargetMode="External"/><Relationship Id="rId2" Type="http://schemas.openxmlformats.org/officeDocument/2006/relationships/hyperlink" Target="http://isj.hd.edu.r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