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0E9" w:rsidRDefault="00D765AF">
      <w:pPr>
        <w:spacing w:after="60"/>
        <w:jc w:val="center"/>
      </w:pPr>
      <w:bookmarkStart w:id="0" w:name="_GoBack"/>
      <w:bookmarkEnd w:id="0"/>
      <w:r>
        <w:rPr>
          <w:b/>
          <w:bCs/>
          <w:color w:val="C85000"/>
          <w:sz w:val="32"/>
          <w:szCs w:val="32"/>
        </w:rPr>
        <w:t>PLANIFICARE CALENDARISTICĂ ANUALĂ</w:t>
      </w:r>
    </w:p>
    <w:p w:rsidR="002D50E9" w:rsidRDefault="00D765AF">
      <w:pPr>
        <w:spacing w:after="200"/>
        <w:jc w:val="center"/>
      </w:pPr>
      <w:r>
        <w:rPr>
          <w:b/>
          <w:bCs/>
          <w:sz w:val="22"/>
          <w:szCs w:val="22"/>
        </w:rPr>
        <w:t>BIOLOGIE – CLASA A IX-A · TRUNCHI COMUN + CURRICULUM DE SPECIALITATE (3 ORE/SĂPTĂMÂNĂ) · AN ȘCOLAR 2026-2027</w:t>
      </w:r>
    </w:p>
    <w:p w:rsidR="002D50E9" w:rsidRDefault="00D765AF">
      <w:pPr>
        <w:spacing w:after="40"/>
      </w:pPr>
      <w:r>
        <w:rPr>
          <w:b/>
          <w:bCs/>
        </w:rPr>
        <w:t xml:space="preserve">Unitatea de învățământ: </w:t>
      </w:r>
      <w:r>
        <w:t>………………………………………………………………</w:t>
      </w:r>
    </w:p>
    <w:p w:rsidR="002D50E9" w:rsidRDefault="00D765AF">
      <w:pPr>
        <w:spacing w:after="40"/>
      </w:pPr>
      <w:r>
        <w:rPr>
          <w:b/>
          <w:bCs/>
        </w:rPr>
        <w:t xml:space="preserve">Profesor: </w:t>
      </w:r>
      <w:r>
        <w:t>………………………………………………………………</w:t>
      </w:r>
    </w:p>
    <w:p w:rsidR="002D50E9" w:rsidRDefault="00D765AF">
      <w:pPr>
        <w:spacing w:after="40"/>
      </w:pPr>
      <w:r>
        <w:rPr>
          <w:b/>
          <w:bCs/>
        </w:rPr>
        <w:t xml:space="preserve">Clasa: </w:t>
      </w:r>
      <w:r>
        <w:t>a IX-a ……   ·   Filiera teoretică, profilul real, specializarea științe ale naturii</w:t>
      </w:r>
    </w:p>
    <w:p w:rsidR="002D50E9" w:rsidRDefault="00D765AF">
      <w:pPr>
        <w:spacing w:after="40"/>
      </w:pPr>
      <w:r>
        <w:rPr>
          <w:b/>
          <w:bCs/>
        </w:rPr>
        <w:t xml:space="preserve">Programa școlară: </w:t>
      </w:r>
      <w:r>
        <w:t>Biologie, clasa a IX-a, aprobată prin OMEC nr. 6930/19.12.2025, Anexa 35</w:t>
      </w:r>
    </w:p>
    <w:p w:rsidR="002D50E9" w:rsidRDefault="00D765AF">
      <w:pPr>
        <w:spacing w:after="40"/>
      </w:pPr>
      <w:r>
        <w:rPr>
          <w:b/>
          <w:bCs/>
        </w:rPr>
        <w:t xml:space="preserve">Număr de ore: </w:t>
      </w:r>
      <w:r>
        <w:t>3 ore/săptămână (TC 1 oră + CS 2 ore) · 36 de săptămâni, 5 module</w:t>
      </w:r>
    </w:p>
    <w:p w:rsidR="002D50E9" w:rsidRDefault="00D765AF">
      <w:pPr>
        <w:spacing w:before="80" w:after="160"/>
      </w:pPr>
      <w:r>
        <w:rPr>
          <w:i/>
          <w:iCs/>
          <w:color w:val="595959"/>
          <w:sz w:val="18"/>
          <w:szCs w:val="18"/>
        </w:rPr>
        <w:t>M</w:t>
      </w:r>
      <w:r>
        <w:rPr>
          <w:i/>
          <w:iCs/>
          <w:color w:val="595959"/>
          <w:sz w:val="18"/>
          <w:szCs w:val="18"/>
        </w:rPr>
        <w:t>odel orientativ prezentat la consfătuirea online a inspectorilor de biologie (9.09.2026). Se adaptează structurii anului școlar din județ, clasei și rezultatelor evaluării inițiale.</w:t>
      </w:r>
    </w:p>
    <w:tbl>
      <w:tblPr>
        <w:tblW w:w="15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1450"/>
        <w:gridCol w:w="2150"/>
        <w:gridCol w:w="6750"/>
        <w:gridCol w:w="650"/>
        <w:gridCol w:w="850"/>
        <w:gridCol w:w="2760"/>
      </w:tblGrid>
      <w:tr w:rsidR="002D50E9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A2E00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Nr. crt.</w:t>
            </w: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A2E00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Competențe specifice</w:t>
            </w: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A2E00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Unitatea de învățare</w:t>
            </w: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A2E00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Conținuturi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A2E00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Nr. ore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A2E00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Săp</w:t>
            </w:r>
            <w:r>
              <w:rPr>
                <w:b/>
                <w:bCs/>
                <w:color w:val="FFFFFF"/>
                <w:sz w:val="18"/>
                <w:szCs w:val="18"/>
              </w:rPr>
              <w:t>t.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A2E00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Observații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c>
          <w:tcPr>
            <w:tcW w:w="15110" w:type="dxa"/>
            <w:gridSpan w:val="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EBDC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color w:val="8A2E00"/>
              </w:rPr>
              <w:t>MODULUL 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1.2; 2.1; 2.2; 3.2; 4.1; 4.2; 5.1</w:t>
            </w: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b/>
                <w:bCs/>
                <w:sz w:val="18"/>
                <w:szCs w:val="18"/>
              </w:rPr>
              <w:t>Ș</w:t>
            </w:r>
            <w:r>
              <w:rPr>
                <w:b/>
                <w:bCs/>
                <w:sz w:val="18"/>
                <w:szCs w:val="18"/>
              </w:rPr>
              <w:t>tiința ca proces</w:t>
            </w: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Test predictiv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Etapele investigației/metodei științifice avansate bazate pe observații și experimente:</w:t>
            </w:r>
          </w:p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definirea unei probleme într-un context real de sănătate/ mediu/ biotehnologii, formularea ipotezei, stabilirea variabilelor, identificarea riscurilor/ surselor de erori, decizia asupra strategiei experimentale, analiza datelor obținute, elaborarea și prez</w:t>
            </w:r>
            <w:r>
              <w:rPr>
                <w:sz w:val="18"/>
                <w:szCs w:val="18"/>
              </w:rPr>
              <w:t>entarea concluziilor, argumentarea rezultatelor, propuneri de idei noi pentru îmbunătățirea investigației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S1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color w:val="595959"/>
                <w:sz w:val="18"/>
                <w:szCs w:val="18"/>
              </w:rPr>
              <w:t>1h la dispoziția profesorului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2.1. Moleculele vieții Apă, săruri minerale, proteine,glucide, lipide, vitamine, acizi nucleici, ATP – rol principal pentru fiecare tip de substanță Surse alimentare de proteine, glucide, lipide, vitamine. Dieta echilibrată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color w:val="595959"/>
                <w:sz w:val="18"/>
                <w:szCs w:val="18"/>
              </w:rPr>
              <w:t>1h la dispoziția profesorului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Diversitatea rolurilor proteinelor: catalizator - enzime, semnal - hormoni, apărare - anticorpi, transport - hemoglobina;</w:t>
            </w:r>
          </w:p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Diversitatea rolurilor glucidelor: structural - chitină, semnalizare - matricea extracelulară;</w:t>
            </w:r>
          </w:p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 xml:space="preserve">Diversitatea rolurilor lipidelor: </w:t>
            </w:r>
            <w:r>
              <w:rPr>
                <w:sz w:val="18"/>
                <w:szCs w:val="18"/>
              </w:rPr>
              <w:t>structural - membrane celulare, semnalizare - hormoni;</w:t>
            </w:r>
          </w:p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Diversitatea rolurilor vitaminelor.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S2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Utilizări ale moleculelor în biotehnologii alimentare - enzime și în biotehnologii farmaceutice - hormoni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S3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Recapitulare/evaluare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1.1; 1.2; 2.1; 2.2; 3.2; 4.1; 4.2; 5.2</w:t>
            </w: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b/>
                <w:bCs/>
                <w:sz w:val="18"/>
                <w:szCs w:val="18"/>
              </w:rPr>
              <w:t>Celula – unitate structurală și funcțională a lumii vii</w:t>
            </w: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2.2. Celula – structură vie. De ce virusurile nu sunt vii?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Tipuri fundamentale de celule - procariote și eucariote. Originea și diversitatea celulelor eucariote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S4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Componentele celulei – principalele elemente structurale și funcțiile lor: membrană/perete celular, citoplasmă, organite celulare (ribozomi, mitocondrii, aparatul Golgi, RE, lizozomi, plastide, vacuole, centrozom)- detalii de structură și funcții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Componentele celulei – principalele elemente structurale și funcțiile lor: membrană/perete celular, citoplasmă, organite celulare (ribozomi, mitocondrii, aparatul Golgi, RE, lizozomi, plastide, vacuole, centrozom)-detalii de structură și funcții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S5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color w:val="595959"/>
                <w:sz w:val="18"/>
                <w:szCs w:val="18"/>
              </w:rPr>
              <w:t>1h la</w:t>
            </w:r>
            <w:r>
              <w:rPr>
                <w:i/>
                <w:iCs/>
                <w:color w:val="595959"/>
                <w:sz w:val="18"/>
                <w:szCs w:val="18"/>
              </w:rPr>
              <w:t xml:space="preserve"> dispoziția profesorului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Componentele celulei – principalele elemente structurale și funcțiile lor: nucleu/nucleoid -detalii de structură și funcții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Relația: ADN-ARN-proteine - noțiuni introductive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Cromosomii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S6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color w:val="595959"/>
                <w:sz w:val="18"/>
                <w:szCs w:val="18"/>
              </w:rPr>
              <w:t>1h la dispoziția profesorului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Ciclul celular. Amitoza și mitoza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Mitoza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Rolul mitozei în creștere și dezvoltare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Recapitulare/evaluare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S7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c>
          <w:tcPr>
            <w:tcW w:w="15110" w:type="dxa"/>
            <w:gridSpan w:val="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color w:val="595959"/>
                <w:sz w:val="18"/>
                <w:szCs w:val="18"/>
              </w:rPr>
              <w:t>VACANȚĂ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c>
          <w:tcPr>
            <w:tcW w:w="15110" w:type="dxa"/>
            <w:gridSpan w:val="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EBDC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color w:val="8A2E00"/>
              </w:rPr>
              <w:t>MODULUL II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sz w:val="18"/>
                <w:szCs w:val="18"/>
              </w:rPr>
              <w:t>Celula – unitate structurală și funcțională a lumii vii (continuare)</w:t>
            </w: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Schimbul de substanțe între celulă și mediu: difuzie, osmoză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S8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color w:val="595959"/>
                <w:sz w:val="18"/>
                <w:szCs w:val="18"/>
              </w:rPr>
              <w:t>1h la dispoziția profesorului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Schimbul de substanțe între celulă și mediu: difuzie facilitată, transport activ, transport vezicular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Corespondența dintre morfologia și structura celulelor eucariote și funcțiile lor: ex. celule secretoare, de conducere, de apărare, de asimilație etc. la plante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S9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Corespondența dintre morfologia și structura celulelor eucariote și funcțiile lor: ex. celule epiteliale, musculare, nervoase, conjunctive la vertebrate; celule de înmulțire la fungi, plante, animale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S10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Corespondența dintre morfologia și structura celulelor eucariote și funcțiile lor: celule de înmulțire la fungi, plante, animale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S11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color w:val="595959"/>
                <w:sz w:val="18"/>
                <w:szCs w:val="18"/>
              </w:rPr>
              <w:t>1h la dispoziția profesorului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Importanța volumelor și a suprafețelor celulare în schimburile de substanțe între organism și mediu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1.1; 2.2; 3.1; 4.1; 5.2</w:t>
            </w: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b/>
                <w:bCs/>
                <w:sz w:val="18"/>
                <w:szCs w:val="18"/>
              </w:rPr>
              <w:t>Niveluri de integrare și organizare a lumii vii</w:t>
            </w: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Niveluri de integrare: de la celulă la organism (uni- și pluricelular) – prez</w:t>
            </w:r>
            <w:r>
              <w:rPr>
                <w:sz w:val="18"/>
                <w:szCs w:val="18"/>
              </w:rPr>
              <w:t>entare generală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S12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Niveluri de organizare: de la individ la biosferă (concepte de bază: individ, specie/populație, biocenoză, biom, biosferă)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Caracteristici ale biotopului si indici structurali ai biocenozei.</w:t>
            </w:r>
          </w:p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Caracteristici ale populației. Factori care influențează dimensiunea populației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S13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color w:val="595959"/>
                <w:sz w:val="18"/>
                <w:szCs w:val="18"/>
              </w:rPr>
              <w:t>1h la dispoziția profesorului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Lucrări practice/studii de caz/aplicații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S14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color w:val="595959"/>
                <w:sz w:val="18"/>
                <w:szCs w:val="18"/>
              </w:rPr>
              <w:t>3h la dispoziția profesorului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Recapitulare/sistematizare/evaluare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S15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color w:val="595959"/>
                <w:sz w:val="18"/>
                <w:szCs w:val="18"/>
              </w:rPr>
              <w:t>3h la dispoziția profesorului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c>
          <w:tcPr>
            <w:tcW w:w="15110" w:type="dxa"/>
            <w:gridSpan w:val="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color w:val="595959"/>
                <w:sz w:val="18"/>
                <w:szCs w:val="18"/>
              </w:rPr>
              <w:t>VACANȚĂ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c>
          <w:tcPr>
            <w:tcW w:w="15110" w:type="dxa"/>
            <w:gridSpan w:val="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EBDC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color w:val="8A2E00"/>
              </w:rPr>
              <w:t>MODULUL III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1.1; 1.2; 2.1; 2.2; 3.1; 3.2; 4.1; 4.2; 5.1; 5.2</w:t>
            </w: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b/>
                <w:bCs/>
                <w:sz w:val="18"/>
                <w:szCs w:val="18"/>
              </w:rPr>
              <w:t>Diversitatea și conservarea lumii vii</w:t>
            </w: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Diversitatea lumii vii -prezentare generală.</w:t>
            </w:r>
          </w:p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Arborele vieții și clasificarea organismelor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S16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4.1. PROCARIOTE.</w:t>
            </w:r>
          </w:p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DOMENIILE BACTERIA ȘI ARCHAEA - caractere generale (morfologie, nutriție, reproducere), medii de viață (inclusiv medii extreme), importanță în ecosisteme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DIVERSITATEA PROCARIOTELOR -</w:t>
            </w:r>
          </w:p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caractere comune și de diferențiere dintre Bacteria și Archaea; specii reprezentative (ex. Lactobacillus sp. respectiv, Halobacterium salinarum); bacterii benefice, bacterii patogene; interacțiuni și adaptări (ex. biofilm, microbiom uman/vegetal)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4.2. DOMENIUL EUKARYOTA</w:t>
            </w:r>
          </w:p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Protozoare: amibe, flagelate, sporozoare, ciliate - caractere generale (morfologie, nutriție, reproducere), exemple de specii reprezentative, medii de viață, importanță în ecosisteme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S17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Diversitatea protozoarelor: exemple de specii reprezentative, interacțiuni și adaptări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Chromista (alge unicelulare și pluricelulare cu clorofile a și c, diatomee, alge brune) - caractere generale (morfologie, nutriție, reproducere), medii de viață, importanță în ecosisteme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Chromista – diversitatea algelor: exemple de specii reprezentative, interacțiuni și adaptări (ex. înflorirea apelor)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S18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Fungi: tipuri de fungi (drojdii, mucegaiuri, ciuperci cu pălărie, ciuperci parazite) - caractere generale – prezentare comparati</w:t>
            </w:r>
            <w:r>
              <w:rPr>
                <w:sz w:val="18"/>
                <w:szCs w:val="18"/>
              </w:rPr>
              <w:t>vă (morfologie, nutriție, reproducere), medii de viață, importanță în ecosisteme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S19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Diversitatea fungilor: exemple de specii reprezentative, interacțiuni și adaptări (ex. simbioza la licheni)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Protozoare, Chromista, Fungi -sistematizare/evaluare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S20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color w:val="595959"/>
                <w:sz w:val="18"/>
                <w:szCs w:val="18"/>
              </w:rPr>
              <w:t>3h la dispoziția profesorului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Plante: alge roșii, alge verzi - caractere generale – prezentare comparativă (morfologie, nutriție, reproducere), exemple de specii reprezentative, medii de viață, importanță în ecosisteme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S21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c>
          <w:tcPr>
            <w:tcW w:w="15110" w:type="dxa"/>
            <w:gridSpan w:val="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color w:val="595959"/>
                <w:sz w:val="18"/>
                <w:szCs w:val="18"/>
              </w:rPr>
              <w:t>VACANȚĂ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c>
          <w:tcPr>
            <w:tcW w:w="15110" w:type="dxa"/>
            <w:gridSpan w:val="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EBDC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color w:val="8A2E00"/>
              </w:rPr>
              <w:t>MODULUL IV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sz w:val="18"/>
                <w:szCs w:val="18"/>
              </w:rPr>
              <w:t>Diversitatea și conservarea lumii vii (continuare)</w:t>
            </w: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Plante: mușchi, ferigi - caractere generale – prezentare comparativă (morfologie, nutriție, reproducere), exemple de specii reprezentative, medii de viață, importanță în ecosisteme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S22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Plante: gimnosperme, angiosperme- caractere generale – prezentare comparativă (morfologie, nutriție, reproducere), exemple de specii reprezentative, medii de viață, importanță în ecosisteme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S23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Diversitatea plantelor:</w:t>
            </w:r>
          </w:p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specii reprezentative cu importanță ecologică și economică, interacțiuni și adaptări, comunicare între plante (prin semnale chimice și prin intermediul fungilor)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S24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color w:val="595959"/>
                <w:sz w:val="18"/>
                <w:szCs w:val="18"/>
              </w:rPr>
              <w:t>1h la dispoziția profesorului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Animale: Nevertebrate: spongieri, celenterate, viermi (lați, cilindrici, inelați)- caractere generale – prezentare comparativă (morfologie, nutriție, relație, reproducere), exemple de specii reprezentative, medii de viață, importanță în ecosisteme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S25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Animale: Nevertebrate: moluște (melci, scoici, cefalopode), artropode (arahnide, crustacei, insecte) - caractere generale – prezentare comparativă (morfologie, nutriție, relație, reproducere), exemple de specii reprezentative, medii de viață, importanță în</w:t>
            </w:r>
            <w:r>
              <w:rPr>
                <w:sz w:val="18"/>
                <w:szCs w:val="18"/>
              </w:rPr>
              <w:t xml:space="preserve"> ecosisteme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S26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Diversitatea nevertebratelor: exemple de specii reprezentative cu importanță ecologică și economică, interacțiuni și adaptări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S27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color w:val="595959"/>
                <w:sz w:val="18"/>
                <w:szCs w:val="18"/>
              </w:rPr>
              <w:t>1h la dispoziția profesorului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Vertebrate: pești, amfibieni- caractere generale – prezentare comparativă (morfologie, nutriție, relație, reproducere), exemple de specii reprezentative, medii de viață, importanță în ecosisteme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S28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color w:val="595959"/>
                <w:sz w:val="18"/>
                <w:szCs w:val="18"/>
              </w:rPr>
              <w:t>1h la dispoziția profesorului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Vertebrate: reptile, mamifere - caractere generale – prezentare comparativă (morfologie, nutriție, relație, reproducere), exemple de specii reprezentative, medii de viață, importanță în ecosisteme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S29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color w:val="595959"/>
                <w:sz w:val="18"/>
                <w:szCs w:val="18"/>
              </w:rPr>
              <w:t>1h la dispoziția profesorului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c>
          <w:tcPr>
            <w:tcW w:w="15110" w:type="dxa"/>
            <w:gridSpan w:val="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color w:val="595959"/>
                <w:sz w:val="18"/>
                <w:szCs w:val="18"/>
              </w:rPr>
              <w:t>VACANȚĂ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c>
          <w:tcPr>
            <w:tcW w:w="15110" w:type="dxa"/>
            <w:gridSpan w:val="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EBDC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color w:val="8A2E00"/>
              </w:rPr>
              <w:t>MODULUL V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sz w:val="18"/>
                <w:szCs w:val="18"/>
              </w:rPr>
              <w:t>Diversitatea și conservarea lumii vii (continuare)</w:t>
            </w: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Diversitatea vertebratelor: exemple de specii reprezentative cu importanță ecologică și economică, interacțiuni și adaptări, factori care influențează diversitatea, corelații între complexitatea structural</w:t>
            </w:r>
            <w:r>
              <w:rPr>
                <w:sz w:val="18"/>
                <w:szCs w:val="18"/>
              </w:rPr>
              <w:t>ă a vertebratelor și diversitatea taxonomică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S30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color w:val="595959"/>
                <w:sz w:val="18"/>
                <w:szCs w:val="18"/>
              </w:rPr>
              <w:t>1h la dispoziția profesorului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4.3.Educație pentru sănătate. Paraziți – bacterii, protozoare, fungi, animale nevertebrate; posibili vectori ai unor boli – artropode (căpușe, păianjeni, păduchi, ploșnițe, țânțari), păsări, mamifere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S31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color w:val="595959"/>
                <w:sz w:val="18"/>
                <w:szCs w:val="18"/>
              </w:rPr>
              <w:t>1h la dispoziția profesorului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4.4. Diversitatea vieții pe Pământ: valoare, vulnerabilități și responsabilitatea conservării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S32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color w:val="595959"/>
                <w:sz w:val="18"/>
                <w:szCs w:val="18"/>
              </w:rPr>
              <w:t>2h la dispoziția profesorului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Recapitulare/sistematizare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1.2; 2.2; 3.1; 3.2; 4.1; 4.2; 5.1; 5.2</w:t>
            </w: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b/>
                <w:bCs/>
                <w:sz w:val="18"/>
                <w:szCs w:val="18"/>
              </w:rPr>
              <w:t>Impactul activităților umane asupra ecosistemelor</w:t>
            </w: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Prezența omului în mediu în era modernă (demografie, dezvoltare, utilizarea resurselor, deșeurile, poluarea). Schimbările climatice -încălzirea globală; amprenta ecologică – cele două perspective: footprint și handprint (amprenta ecologică și amprenta eco</w:t>
            </w:r>
            <w:r>
              <w:rPr>
                <w:sz w:val="18"/>
                <w:szCs w:val="18"/>
              </w:rPr>
              <w:t>logică pozitivă).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S33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color w:val="595959"/>
                <w:sz w:val="18"/>
                <w:szCs w:val="18"/>
              </w:rPr>
              <w:t>1h la dispoziția profesorului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Influența activităților antropice asupra ciclului natural al carbonului. Amprenta de carbon. Efectul de seră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S34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i/>
                <w:iCs/>
                <w:color w:val="595959"/>
                <w:sz w:val="18"/>
                <w:szCs w:val="18"/>
              </w:rPr>
              <w:t>1h la dispoziția profesorului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Recapitulare/sistematizare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  <w:jc w:val="center"/>
            </w:pP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AFAFA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b/>
                <w:bCs/>
                <w:sz w:val="18"/>
                <w:szCs w:val="18"/>
              </w:rPr>
              <w:t>SĂPTĂMÂNA ALTFEL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S35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  <w:tr w:rsidR="002D50E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14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21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7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b/>
                <w:bCs/>
                <w:sz w:val="18"/>
                <w:szCs w:val="18"/>
              </w:rPr>
              <w:t>SĂPTĂMÂNA VERDE</w:t>
            </w:r>
          </w:p>
        </w:tc>
        <w:tc>
          <w:tcPr>
            <w:tcW w:w="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S36</w:t>
            </w:r>
          </w:p>
        </w:tc>
        <w:tc>
          <w:tcPr>
            <w:tcW w:w="27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</w:tr>
    </w:tbl>
    <w:p w:rsidR="002D50E9" w:rsidRDefault="00D765AF">
      <w:pPr>
        <w:spacing w:before="300" w:after="120"/>
      </w:pPr>
      <w:r>
        <w:rPr>
          <w:b/>
          <w:bCs/>
          <w:color w:val="C85000"/>
          <w:sz w:val="24"/>
          <w:szCs w:val="24"/>
        </w:rPr>
        <w:t>Sinteza bugetului de timp</w:t>
      </w:r>
    </w:p>
    <w:tbl>
      <w:tblPr>
        <w:tblW w:w="8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"/>
        <w:gridCol w:w="6200"/>
        <w:gridCol w:w="1400"/>
      </w:tblGrid>
      <w:tr w:rsidR="002D50E9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A2E00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Nr.</w:t>
            </w:r>
          </w:p>
        </w:tc>
        <w:tc>
          <w:tcPr>
            <w:tcW w:w="6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A2E00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b/>
                <w:bCs/>
                <w:color w:val="FFFFFF"/>
                <w:sz w:val="18"/>
                <w:szCs w:val="18"/>
              </w:rPr>
              <w:t>Unitatea de învățare</w:t>
            </w:r>
          </w:p>
        </w:tc>
        <w:tc>
          <w:tcPr>
            <w:tcW w:w="1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A2E00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Nr. ore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Ș</w:t>
            </w:r>
            <w:r>
              <w:rPr>
                <w:sz w:val="18"/>
                <w:szCs w:val="18"/>
              </w:rPr>
              <w:t>tiința ca proces</w:t>
            </w:r>
          </w:p>
        </w:tc>
        <w:tc>
          <w:tcPr>
            <w:tcW w:w="1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8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Celula – unitate structurală și funcțională a lumii vii</w:t>
            </w:r>
          </w:p>
        </w:tc>
        <w:tc>
          <w:tcPr>
            <w:tcW w:w="1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25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Niveluri de integrare și organizare a lumii vii</w:t>
            </w:r>
          </w:p>
        </w:tc>
        <w:tc>
          <w:tcPr>
            <w:tcW w:w="1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12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6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Diversitatea și conservarea lumii vii</w:t>
            </w:r>
          </w:p>
        </w:tc>
        <w:tc>
          <w:tcPr>
            <w:tcW w:w="1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51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6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Impactul activităților umane asupra ecosistemelor</w:t>
            </w:r>
          </w:p>
        </w:tc>
        <w:tc>
          <w:tcPr>
            <w:tcW w:w="1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sz w:val="18"/>
                <w:szCs w:val="18"/>
              </w:rPr>
              <w:t>Săptămâna „Școala altfel” și „Săptămâna verde”</w:t>
            </w:r>
          </w:p>
        </w:tc>
        <w:tc>
          <w:tcPr>
            <w:tcW w:w="1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</w:tr>
      <w:tr w:rsidR="002D50E9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EBDC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2D50E9">
            <w:pPr>
              <w:spacing w:after="20"/>
            </w:pPr>
          </w:p>
        </w:tc>
        <w:tc>
          <w:tcPr>
            <w:tcW w:w="6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EBDC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</w:pPr>
            <w:r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4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EBDC"/>
            <w:tcMar>
              <w:top w:w="50" w:type="dxa"/>
              <w:left w:w="80" w:type="dxa"/>
              <w:bottom w:w="50" w:type="dxa"/>
              <w:right w:w="80" w:type="dxa"/>
            </w:tcMar>
          </w:tcPr>
          <w:p w:rsidR="002D50E9" w:rsidRDefault="00D765AF">
            <w:pPr>
              <w:spacing w:after="20"/>
              <w:jc w:val="center"/>
            </w:pPr>
            <w:r>
              <w:rPr>
                <w:b/>
                <w:bCs/>
                <w:sz w:val="18"/>
                <w:szCs w:val="18"/>
              </w:rPr>
              <w:t>104</w:t>
            </w:r>
          </w:p>
        </w:tc>
      </w:tr>
    </w:tbl>
    <w:p w:rsidR="002D50E9" w:rsidRDefault="00D765AF">
      <w:pPr>
        <w:spacing w:before="200" w:after="60"/>
      </w:pPr>
      <w:r>
        <w:rPr>
          <w:b/>
          <w:bCs/>
          <w:color w:val="C85000"/>
          <w:sz w:val="22"/>
          <w:szCs w:val="22"/>
        </w:rPr>
        <w:t>Observații</w:t>
      </w:r>
    </w:p>
    <w:p w:rsidR="002D50E9" w:rsidRDefault="00D765AF">
      <w:pPr>
        <w:pStyle w:val="ListParagraph"/>
        <w:numPr>
          <w:ilvl w:val="0"/>
          <w:numId w:val="2"/>
        </w:numPr>
        <w:spacing w:after="40"/>
      </w:pPr>
      <w:r>
        <w:rPr>
          <w:sz w:val="19"/>
          <w:szCs w:val="19"/>
        </w:rPr>
        <w:t>Orele marcate „la dispoziția profesorului” însumează 26 ore (aproximativ 25% din bugetul de timp) și se folosesc pentru remediere, consolidare, extindere, lucrări practice sau evaluare, în funcție de nevoile clasei.</w:t>
      </w:r>
    </w:p>
    <w:p w:rsidR="002D50E9" w:rsidRDefault="00D765AF">
      <w:pPr>
        <w:pStyle w:val="ListParagraph"/>
        <w:numPr>
          <w:ilvl w:val="0"/>
          <w:numId w:val="2"/>
        </w:numPr>
        <w:spacing w:after="40"/>
      </w:pPr>
      <w:r>
        <w:rPr>
          <w:sz w:val="19"/>
          <w:szCs w:val="19"/>
        </w:rPr>
        <w:t>Săptămânile (S1–S36) sunt orientative; d</w:t>
      </w:r>
      <w:r>
        <w:rPr>
          <w:sz w:val="19"/>
          <w:szCs w:val="19"/>
        </w:rPr>
        <w:t>atele concrete se completează conform structurii anului școlar 2026-2027 (OMEC nr. 3194/2026) și vacanței mobile stabilite în județ.</w:t>
      </w:r>
    </w:p>
    <w:p w:rsidR="002D50E9" w:rsidRDefault="00D765AF">
      <w:pPr>
        <w:pStyle w:val="ListParagraph"/>
        <w:numPr>
          <w:ilvl w:val="0"/>
          <w:numId w:val="2"/>
        </w:numPr>
        <w:spacing w:after="40"/>
      </w:pPr>
      <w:r>
        <w:rPr>
          <w:sz w:val="19"/>
          <w:szCs w:val="19"/>
        </w:rPr>
        <w:t>Competențele specifice sunt cele din programa școlară; ordinea și distribuția conținuturilor pot fi adaptate de profesor.</w:t>
      </w:r>
    </w:p>
    <w:sectPr w:rsidR="002D50E9">
      <w:footerReference w:type="default" r:id="rId7"/>
      <w:pgSz w:w="16838" w:h="11906" w:orient="landscape"/>
      <w:pgMar w:top="720" w:right="864" w:bottom="720" w:left="86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5AF" w:rsidRDefault="00D765AF">
      <w:r>
        <w:separator/>
      </w:r>
    </w:p>
  </w:endnote>
  <w:endnote w:type="continuationSeparator" w:id="0">
    <w:p w:rsidR="00D765AF" w:rsidRDefault="00D76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50E9" w:rsidRDefault="00D765AF">
    <w:pPr>
      <w:jc w:val="right"/>
    </w:pPr>
    <w:r>
      <w:rPr>
        <w:color w:val="808080"/>
        <w:sz w:val="16"/>
        <w:szCs w:val="16"/>
      </w:rPr>
      <w:t xml:space="preserve">Planificare calendaristică – Biologie, clasa a IX-a (TC + CS) · pagina </w:t>
    </w:r>
    <w:r>
      <w:rPr>
        <w:color w:val="808080"/>
        <w:sz w:val="16"/>
        <w:szCs w:val="16"/>
      </w:rPr>
      <w:fldChar w:fldCharType="begin"/>
    </w:r>
    <w:r>
      <w:rPr>
        <w:color w:val="808080"/>
        <w:sz w:val="16"/>
        <w:szCs w:val="16"/>
      </w:rPr>
      <w:instrText>PAGE</w:instrText>
    </w:r>
    <w:r w:rsidR="00794C37">
      <w:rPr>
        <w:color w:val="808080"/>
        <w:sz w:val="16"/>
        <w:szCs w:val="16"/>
      </w:rPr>
      <w:fldChar w:fldCharType="separate"/>
    </w:r>
    <w:r w:rsidR="00794C37">
      <w:rPr>
        <w:noProof/>
        <w:color w:val="808080"/>
        <w:sz w:val="16"/>
        <w:szCs w:val="16"/>
      </w:rPr>
      <w:t>2</w:t>
    </w:r>
    <w:r>
      <w:rPr>
        <w:color w:val="8080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5AF" w:rsidRDefault="00D765AF">
      <w:r>
        <w:separator/>
      </w:r>
    </w:p>
  </w:footnote>
  <w:footnote w:type="continuationSeparator" w:id="0">
    <w:p w:rsidR="00D765AF" w:rsidRDefault="00D765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8324B"/>
    <w:multiLevelType w:val="hybridMultilevel"/>
    <w:tmpl w:val="4E2A0B5E"/>
    <w:lvl w:ilvl="0" w:tplc="8DFC9EDE">
      <w:start w:val="1"/>
      <w:numFmt w:val="bullet"/>
      <w:lvlText w:val="•"/>
      <w:lvlJc w:val="left"/>
      <w:pPr>
        <w:ind w:left="360" w:hanging="240"/>
      </w:pPr>
    </w:lvl>
    <w:lvl w:ilvl="1" w:tplc="5B9A74D2">
      <w:numFmt w:val="decimal"/>
      <w:lvlText w:val=""/>
      <w:lvlJc w:val="left"/>
    </w:lvl>
    <w:lvl w:ilvl="2" w:tplc="38EE903A">
      <w:numFmt w:val="decimal"/>
      <w:lvlText w:val=""/>
      <w:lvlJc w:val="left"/>
    </w:lvl>
    <w:lvl w:ilvl="3" w:tplc="9CFC1348">
      <w:numFmt w:val="decimal"/>
      <w:lvlText w:val=""/>
      <w:lvlJc w:val="left"/>
    </w:lvl>
    <w:lvl w:ilvl="4" w:tplc="EEF8600E">
      <w:numFmt w:val="decimal"/>
      <w:lvlText w:val=""/>
      <w:lvlJc w:val="left"/>
    </w:lvl>
    <w:lvl w:ilvl="5" w:tplc="6ECC1F8C">
      <w:numFmt w:val="decimal"/>
      <w:lvlText w:val=""/>
      <w:lvlJc w:val="left"/>
    </w:lvl>
    <w:lvl w:ilvl="6" w:tplc="B6A685E0">
      <w:numFmt w:val="decimal"/>
      <w:lvlText w:val=""/>
      <w:lvlJc w:val="left"/>
    </w:lvl>
    <w:lvl w:ilvl="7" w:tplc="60228A42">
      <w:numFmt w:val="decimal"/>
      <w:lvlText w:val=""/>
      <w:lvlJc w:val="left"/>
    </w:lvl>
    <w:lvl w:ilvl="8" w:tplc="7334076C">
      <w:numFmt w:val="decimal"/>
      <w:lvlText w:val=""/>
      <w:lvlJc w:val="left"/>
    </w:lvl>
  </w:abstractNum>
  <w:abstractNum w:abstractNumId="1" w15:restartNumberingAfterBreak="0">
    <w:nsid w:val="57FD4754"/>
    <w:multiLevelType w:val="hybridMultilevel"/>
    <w:tmpl w:val="4BBCC1EA"/>
    <w:lvl w:ilvl="0" w:tplc="A2148C20">
      <w:start w:val="1"/>
      <w:numFmt w:val="bullet"/>
      <w:lvlText w:val="●"/>
      <w:lvlJc w:val="left"/>
      <w:pPr>
        <w:ind w:left="720" w:hanging="360"/>
      </w:pPr>
    </w:lvl>
    <w:lvl w:ilvl="1" w:tplc="1DE65D04">
      <w:start w:val="1"/>
      <w:numFmt w:val="bullet"/>
      <w:lvlText w:val="○"/>
      <w:lvlJc w:val="left"/>
      <w:pPr>
        <w:ind w:left="1440" w:hanging="360"/>
      </w:pPr>
    </w:lvl>
    <w:lvl w:ilvl="2" w:tplc="D5E07C96">
      <w:start w:val="1"/>
      <w:numFmt w:val="bullet"/>
      <w:lvlText w:val="■"/>
      <w:lvlJc w:val="left"/>
      <w:pPr>
        <w:ind w:left="2160" w:hanging="360"/>
      </w:pPr>
    </w:lvl>
    <w:lvl w:ilvl="3" w:tplc="E39A07A0">
      <w:start w:val="1"/>
      <w:numFmt w:val="bullet"/>
      <w:lvlText w:val="●"/>
      <w:lvlJc w:val="left"/>
      <w:pPr>
        <w:ind w:left="2880" w:hanging="360"/>
      </w:pPr>
    </w:lvl>
    <w:lvl w:ilvl="4" w:tplc="FEC46772">
      <w:start w:val="1"/>
      <w:numFmt w:val="bullet"/>
      <w:lvlText w:val="○"/>
      <w:lvlJc w:val="left"/>
      <w:pPr>
        <w:ind w:left="3600" w:hanging="360"/>
      </w:pPr>
    </w:lvl>
    <w:lvl w:ilvl="5" w:tplc="EE9205D8">
      <w:start w:val="1"/>
      <w:numFmt w:val="bullet"/>
      <w:lvlText w:val="■"/>
      <w:lvlJc w:val="left"/>
      <w:pPr>
        <w:ind w:left="4320" w:hanging="360"/>
      </w:pPr>
    </w:lvl>
    <w:lvl w:ilvl="6" w:tplc="A92A39FE">
      <w:start w:val="1"/>
      <w:numFmt w:val="bullet"/>
      <w:lvlText w:val="●"/>
      <w:lvlJc w:val="left"/>
      <w:pPr>
        <w:ind w:left="5040" w:hanging="360"/>
      </w:pPr>
    </w:lvl>
    <w:lvl w:ilvl="7" w:tplc="41F4870A">
      <w:start w:val="1"/>
      <w:numFmt w:val="bullet"/>
      <w:lvlText w:val="●"/>
      <w:lvlJc w:val="left"/>
      <w:pPr>
        <w:ind w:left="5760" w:hanging="360"/>
      </w:pPr>
    </w:lvl>
    <w:lvl w:ilvl="8" w:tplc="1172B212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0E9"/>
    <w:rsid w:val="002D50E9"/>
    <w:rsid w:val="00794C37"/>
    <w:rsid w:val="00D76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B2D649-3BC2-46F6-A4FD-E136BD659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1639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Microsoft account</cp:lastModifiedBy>
  <cp:revision>2</cp:revision>
  <dcterms:created xsi:type="dcterms:W3CDTF">2026-10-01T10:14:00Z</dcterms:created>
  <dcterms:modified xsi:type="dcterms:W3CDTF">2026-10-01T10:14:00Z</dcterms:modified>
</cp:coreProperties>
</file>