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71337">
        <w:rPr>
          <w:rFonts w:ascii="Times New Roman" w:hAnsi="Times New Roman"/>
          <w:sz w:val="28"/>
          <w:szCs w:val="28"/>
        </w:rPr>
        <w:t>Fundamentarea Ofertei de programe a CCD Deva</w:t>
      </w:r>
      <w:r>
        <w:rPr>
          <w:rFonts w:ascii="Times New Roman" w:hAnsi="Times New Roman"/>
          <w:sz w:val="28"/>
          <w:szCs w:val="28"/>
        </w:rPr>
        <w:br/>
      </w:r>
      <w:r w:rsidRPr="00B71337">
        <w:rPr>
          <w:rFonts w:ascii="Times New Roman" w:hAnsi="Times New Roman"/>
          <w:sz w:val="28"/>
          <w:szCs w:val="28"/>
        </w:rPr>
        <w:t>pe baza analizei nevoilor de formare (ANF)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1337">
        <w:rPr>
          <w:rFonts w:ascii="Times New Roman" w:hAnsi="Times New Roman"/>
          <w:sz w:val="24"/>
          <w:szCs w:val="24"/>
        </w:rPr>
        <w:t>Analiza de nevoi (ANF) realizată, pentru etapa actuală, a pornit de la necesitatea identificării:</w:t>
      </w:r>
    </w:p>
    <w:p w:rsidR="00B71337" w:rsidRPr="00B71337" w:rsidRDefault="00B71337" w:rsidP="00B71337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>nevoilor instit</w:t>
      </w:r>
      <w:r>
        <w:rPr>
          <w:rFonts w:ascii="Times New Roman" w:hAnsi="Times New Roman"/>
          <w:sz w:val="24"/>
          <w:szCs w:val="24"/>
        </w:rPr>
        <w:t>uționale/ sistemice de formare;</w:t>
      </w:r>
    </w:p>
    <w:p w:rsidR="00B71337" w:rsidRPr="00B71337" w:rsidRDefault="00B71337" w:rsidP="00B71337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 xml:space="preserve">nevoilor individuale ale diferitelor categorii de personal </w:t>
      </w:r>
      <w:r>
        <w:rPr>
          <w:rFonts w:ascii="Times New Roman" w:hAnsi="Times New Roman"/>
          <w:sz w:val="24"/>
          <w:szCs w:val="24"/>
        </w:rPr>
        <w:t>din unitățile școlare din județ.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1337">
        <w:rPr>
          <w:rFonts w:ascii="Times New Roman" w:hAnsi="Times New Roman"/>
          <w:sz w:val="24"/>
          <w:szCs w:val="24"/>
        </w:rPr>
        <w:t>Analiza nevoilor de formare a fost concepută, și în acest an, pornind de la principiul conform căruia acesta reprezintă unul dintre elementele cheie ale</w:t>
      </w:r>
      <w:r>
        <w:rPr>
          <w:rFonts w:ascii="Times New Roman" w:hAnsi="Times New Roman"/>
          <w:sz w:val="24"/>
          <w:szCs w:val="24"/>
        </w:rPr>
        <w:t xml:space="preserve"> dezvoltării școlare, întrucât:</w:t>
      </w:r>
    </w:p>
    <w:p w:rsidR="00B71337" w:rsidRPr="00B71337" w:rsidRDefault="00B71337" w:rsidP="00B71337">
      <w:pPr>
        <w:pStyle w:val="Header"/>
        <w:numPr>
          <w:ilvl w:val="0"/>
          <w:numId w:val="4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>identifică domeniile în care sunt necesare diverse măsuri privind formarea și dezvoltarea profesională și personală a resursei umane din sistem;</w:t>
      </w:r>
    </w:p>
    <w:p w:rsidR="00B71337" w:rsidRPr="00B71337" w:rsidRDefault="00B71337" w:rsidP="00B71337">
      <w:pPr>
        <w:pStyle w:val="Header"/>
        <w:numPr>
          <w:ilvl w:val="0"/>
          <w:numId w:val="4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>surprinde tendințele nevoii de formare/ dezvoltare resimțite  de personalul angajat (dezvoltarea resursei umane pornind de la planurile i</w:t>
      </w:r>
      <w:r>
        <w:rPr>
          <w:rFonts w:ascii="Times New Roman" w:hAnsi="Times New Roman"/>
          <w:sz w:val="24"/>
          <w:szCs w:val="24"/>
        </w:rPr>
        <w:t>ndividuale de dezvoltare – PDI).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1337">
        <w:rPr>
          <w:rFonts w:ascii="Times New Roman" w:hAnsi="Times New Roman"/>
          <w:sz w:val="24"/>
          <w:szCs w:val="24"/>
        </w:rPr>
        <w:t>Analiza a fost realizată pe parcursul anului de formare precedent precum și în perioada iunie – august 2012.</w:t>
      </w: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1337">
        <w:rPr>
          <w:rFonts w:ascii="Times New Roman" w:hAnsi="Times New Roman"/>
          <w:sz w:val="24"/>
          <w:szCs w:val="24"/>
        </w:rPr>
        <w:t>Datele obținute au fost incluse în procesele de configurare a Ofertei de programe de formare continuă pentru anul școlar 2012/ 2013 a Casei corpului Didactic și în planurile și proiectele de dezvoltare instituțională, în perioada următoare (2 – 3 ani</w:t>
      </w:r>
      <w:r>
        <w:rPr>
          <w:rFonts w:ascii="Times New Roman" w:hAnsi="Times New Roman"/>
          <w:sz w:val="24"/>
          <w:szCs w:val="24"/>
        </w:rPr>
        <w:t>).</w:t>
      </w: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1337">
        <w:rPr>
          <w:rFonts w:ascii="Times New Roman" w:hAnsi="Times New Roman"/>
          <w:sz w:val="24"/>
          <w:szCs w:val="24"/>
        </w:rPr>
        <w:t>Informații importante au fost obținute și în perspectiva construcției programelor de formare, atât a celor purtătoare de credite cât și a programelor modulare, derulate prin stagii nondisciplinare.</w:t>
      </w: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1337">
        <w:rPr>
          <w:rFonts w:ascii="Times New Roman" w:hAnsi="Times New Roman"/>
          <w:sz w:val="24"/>
          <w:szCs w:val="24"/>
        </w:rPr>
        <w:t xml:space="preserve">La baza analizei a stat concepția unei acțiuni manageriale coerente incluzând cel puțin momentele: </w:t>
      </w:r>
      <w:r w:rsidRPr="00B71337">
        <w:rPr>
          <w:rFonts w:ascii="Times New Roman" w:hAnsi="Times New Roman"/>
          <w:sz w:val="24"/>
          <w:szCs w:val="24"/>
        </w:rPr>
        <w:t>planificare/ implementare (aplicare şi funcţionare)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337">
        <w:rPr>
          <w:rFonts w:ascii="Times New Roman" w:hAnsi="Times New Roman"/>
          <w:sz w:val="24"/>
          <w:szCs w:val="24"/>
        </w:rPr>
        <w:t>/ evaluare, verificare, acţiune corectivă / analiza efectuată de conducerea superioară</w:t>
      </w:r>
      <w:r w:rsidRPr="00B71337">
        <w:rPr>
          <w:rFonts w:ascii="Times New Roman" w:hAnsi="Times New Roman"/>
          <w:sz w:val="24"/>
          <w:szCs w:val="24"/>
        </w:rPr>
        <w:t>.</w:t>
      </w: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71337">
        <w:rPr>
          <w:rFonts w:ascii="Times New Roman" w:hAnsi="Times New Roman"/>
          <w:b/>
          <w:sz w:val="24"/>
          <w:szCs w:val="24"/>
        </w:rPr>
        <w:tab/>
      </w:r>
      <w:r w:rsidRPr="00B71337">
        <w:rPr>
          <w:rFonts w:ascii="Times New Roman" w:hAnsi="Times New Roman"/>
          <w:b/>
          <w:sz w:val="24"/>
          <w:szCs w:val="24"/>
        </w:rPr>
        <w:t xml:space="preserve">Analiza </w:t>
      </w:r>
      <w:r w:rsidRPr="00B71337">
        <w:rPr>
          <w:rFonts w:ascii="Times New Roman" w:hAnsi="Times New Roman"/>
          <w:b/>
          <w:sz w:val="24"/>
          <w:szCs w:val="24"/>
        </w:rPr>
        <w:t>sistematică a formării continue</w:t>
      </w: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71337">
        <w:rPr>
          <w:rFonts w:ascii="Times New Roman" w:hAnsi="Times New Roman"/>
          <w:sz w:val="24"/>
          <w:szCs w:val="24"/>
        </w:rPr>
        <w:t>Instrumentele cercetării au f</w:t>
      </w:r>
      <w:r>
        <w:rPr>
          <w:rFonts w:ascii="Times New Roman" w:hAnsi="Times New Roman"/>
          <w:sz w:val="24"/>
          <w:szCs w:val="24"/>
        </w:rPr>
        <w:t>ost următoarele:</w:t>
      </w:r>
    </w:p>
    <w:p w:rsidR="00B71337" w:rsidRPr="00B71337" w:rsidRDefault="00B71337" w:rsidP="00B71337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>chestionarul de analiză de nevoi (ANF);</w:t>
      </w:r>
    </w:p>
    <w:p w:rsidR="00B71337" w:rsidRPr="00B71337" w:rsidRDefault="00B71337" w:rsidP="00B71337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>chestionare de evaluare a programelor (feed – back);</w:t>
      </w:r>
    </w:p>
    <w:p w:rsidR="00B71337" w:rsidRPr="00B71337" w:rsidRDefault="00B71337" w:rsidP="00B71337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chestionare de impact;</w:t>
      </w:r>
    </w:p>
    <w:p w:rsidR="00B71337" w:rsidRPr="00B71337" w:rsidRDefault="00B71337" w:rsidP="00B71337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>analiza de conținut (analiza documentelor școlare: fișe ale postului, rapoarte de activitate, rapoarte de stare a învățământului etc.;</w:t>
      </w:r>
    </w:p>
    <w:p w:rsidR="00B71337" w:rsidRPr="00B71337" w:rsidRDefault="00B71337" w:rsidP="00B71337">
      <w:pPr>
        <w:pStyle w:val="Header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>focus-grup cu cadre didactice și auxiliare, RFC, director</w:t>
      </w:r>
      <w:r>
        <w:rPr>
          <w:rFonts w:ascii="Times New Roman" w:hAnsi="Times New Roman"/>
          <w:sz w:val="24"/>
          <w:szCs w:val="24"/>
        </w:rPr>
        <w:t>i, inspector școlari, formatori.</w:t>
      </w:r>
    </w:p>
    <w:p w:rsidR="00B71337" w:rsidRPr="00981DB3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81DB3">
        <w:rPr>
          <w:rFonts w:ascii="Times New Roman" w:hAnsi="Times New Roman"/>
          <w:b/>
          <w:sz w:val="24"/>
          <w:szCs w:val="24"/>
        </w:rPr>
        <w:lastRenderedPageBreak/>
        <w:tab/>
      </w:r>
      <w:r w:rsidRPr="00981DB3">
        <w:rPr>
          <w:rFonts w:ascii="Times New Roman" w:hAnsi="Times New Roman"/>
          <w:b/>
          <w:sz w:val="24"/>
          <w:szCs w:val="24"/>
        </w:rPr>
        <w:t>Concluzii rezultate din analiza nevoilor de formare (AN</w:t>
      </w:r>
      <w:r w:rsidR="00981DB3" w:rsidRPr="00981DB3">
        <w:rPr>
          <w:rFonts w:ascii="Times New Roman" w:hAnsi="Times New Roman"/>
          <w:b/>
          <w:sz w:val="24"/>
          <w:szCs w:val="24"/>
        </w:rPr>
        <w:t>F) pe bază de chestionar – 2012</w:t>
      </w:r>
    </w:p>
    <w:p w:rsidR="00981DB3" w:rsidRPr="00B71337" w:rsidRDefault="00981DB3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981DB3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1337" w:rsidRPr="00981DB3">
        <w:rPr>
          <w:rFonts w:ascii="Times New Roman" w:hAnsi="Times New Roman"/>
          <w:b/>
          <w:sz w:val="24"/>
          <w:szCs w:val="24"/>
        </w:rPr>
        <w:t>Populație/ Eșantion</w:t>
      </w:r>
      <w:r w:rsidR="00B71337" w:rsidRPr="00B71337">
        <w:rPr>
          <w:rFonts w:ascii="Times New Roman" w:hAnsi="Times New Roman"/>
          <w:sz w:val="24"/>
          <w:szCs w:val="24"/>
        </w:rPr>
        <w:t xml:space="preserve">: Au fost concepute și aplicate 420 chestionare pentru cadre didactice, provenind din 52 unităţi şcolare din judeţ; au răspuns </w:t>
      </w:r>
      <w:r>
        <w:rPr>
          <w:rFonts w:ascii="Times New Roman" w:hAnsi="Times New Roman"/>
          <w:sz w:val="24"/>
          <w:szCs w:val="24"/>
        </w:rPr>
        <w:t>un număr total de 378 subiecți.</w:t>
      </w:r>
    </w:p>
    <w:p w:rsidR="00981DB3" w:rsidRDefault="00981DB3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ab/>
      </w:r>
      <w:r w:rsidRPr="00981DB3">
        <w:rPr>
          <w:rFonts w:ascii="Times New Roman" w:hAnsi="Times New Roman"/>
          <w:b/>
          <w:sz w:val="24"/>
          <w:szCs w:val="24"/>
        </w:rPr>
        <w:t>Mediul de proveniență</w:t>
      </w:r>
      <w:r w:rsidRPr="00B71337">
        <w:rPr>
          <w:rFonts w:ascii="Times New Roman" w:hAnsi="Times New Roman"/>
          <w:sz w:val="24"/>
          <w:szCs w:val="24"/>
        </w:rPr>
        <w:t xml:space="preserve">: urban </w:t>
      </w:r>
      <w:r w:rsidR="00981DB3">
        <w:rPr>
          <w:rFonts w:ascii="Times New Roman" w:hAnsi="Times New Roman"/>
          <w:sz w:val="24"/>
          <w:szCs w:val="24"/>
        </w:rPr>
        <w:t xml:space="preserve">- </w:t>
      </w:r>
      <w:r w:rsidRPr="00B71337">
        <w:rPr>
          <w:rFonts w:ascii="Times New Roman" w:hAnsi="Times New Roman"/>
          <w:sz w:val="24"/>
          <w:szCs w:val="24"/>
        </w:rPr>
        <w:t xml:space="preserve">79, 6% subiecți; rural </w:t>
      </w:r>
      <w:r w:rsidR="00981DB3">
        <w:rPr>
          <w:rFonts w:ascii="Times New Roman" w:hAnsi="Times New Roman"/>
          <w:sz w:val="24"/>
          <w:szCs w:val="24"/>
        </w:rPr>
        <w:t xml:space="preserve">- </w:t>
      </w:r>
      <w:r w:rsidRPr="00B71337">
        <w:rPr>
          <w:rFonts w:ascii="Times New Roman" w:hAnsi="Times New Roman"/>
          <w:sz w:val="24"/>
          <w:szCs w:val="24"/>
        </w:rPr>
        <w:t>20,4%, ponderile eșantionului fiind reprezentative pentru structura, pe medii, a personalu</w:t>
      </w:r>
      <w:r w:rsidR="00981DB3">
        <w:rPr>
          <w:rFonts w:ascii="Times New Roman" w:hAnsi="Times New Roman"/>
          <w:sz w:val="24"/>
          <w:szCs w:val="24"/>
        </w:rPr>
        <w:t>lui didactic angajat în sistem.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21F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-3390</wp:posOffset>
            </wp:positionV>
            <wp:extent cx="5581624" cy="1767035"/>
            <wp:effectExtent l="19050" t="0" r="19076" b="4615"/>
            <wp:wrapNone/>
            <wp:docPr id="1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981DB3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1337" w:rsidRPr="00981DB3">
        <w:rPr>
          <w:rFonts w:ascii="Times New Roman" w:hAnsi="Times New Roman"/>
          <w:b/>
          <w:sz w:val="24"/>
          <w:szCs w:val="24"/>
        </w:rPr>
        <w:t>Distribuţia pe niveluri de învățământ</w:t>
      </w:r>
      <w:r w:rsidR="00B71337" w:rsidRPr="00B71337">
        <w:rPr>
          <w:rFonts w:ascii="Times New Roman" w:hAnsi="Times New Roman"/>
          <w:sz w:val="24"/>
          <w:szCs w:val="24"/>
        </w:rPr>
        <w:t xml:space="preserve"> a fost următoarea: preprimar </w:t>
      </w:r>
      <w:r>
        <w:rPr>
          <w:rFonts w:ascii="Times New Roman" w:hAnsi="Times New Roman"/>
          <w:sz w:val="24"/>
          <w:szCs w:val="24"/>
        </w:rPr>
        <w:t>-</w:t>
      </w:r>
      <w:r w:rsidR="00B71337" w:rsidRPr="00B71337">
        <w:rPr>
          <w:rFonts w:ascii="Times New Roman" w:hAnsi="Times New Roman"/>
          <w:sz w:val="24"/>
          <w:szCs w:val="24"/>
        </w:rPr>
        <w:t xml:space="preserve"> 10%; primar </w:t>
      </w:r>
      <w:r>
        <w:rPr>
          <w:rFonts w:ascii="Times New Roman" w:hAnsi="Times New Roman"/>
          <w:sz w:val="24"/>
          <w:szCs w:val="24"/>
        </w:rPr>
        <w:t xml:space="preserve">- </w:t>
      </w:r>
      <w:r w:rsidR="00B71337" w:rsidRPr="00B71337">
        <w:rPr>
          <w:rFonts w:ascii="Times New Roman" w:hAnsi="Times New Roman"/>
          <w:sz w:val="24"/>
          <w:szCs w:val="24"/>
        </w:rPr>
        <w:t>19%</w:t>
      </w:r>
      <w:r>
        <w:rPr>
          <w:rFonts w:ascii="Times New Roman" w:hAnsi="Times New Roman"/>
          <w:sz w:val="24"/>
          <w:szCs w:val="24"/>
        </w:rPr>
        <w:t>; gimnazial - 36%; liceal - 35%.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121F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-2969</wp:posOffset>
            </wp:positionV>
            <wp:extent cx="5559130" cy="2002664"/>
            <wp:effectExtent l="19050" t="0" r="22520" b="0"/>
            <wp:wrapNone/>
            <wp:docPr id="1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981DB3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B71337" w:rsidRPr="00B71337">
        <w:rPr>
          <w:rFonts w:ascii="Times New Roman" w:hAnsi="Times New Roman"/>
          <w:sz w:val="24"/>
          <w:szCs w:val="24"/>
        </w:rPr>
        <w:t xml:space="preserve">Cei mai mulți subiecți dintre cei chestionați au o </w:t>
      </w:r>
      <w:r w:rsidR="00B71337" w:rsidRPr="00981DB3">
        <w:rPr>
          <w:rFonts w:ascii="Times New Roman" w:hAnsi="Times New Roman"/>
          <w:b/>
          <w:sz w:val="24"/>
          <w:szCs w:val="24"/>
        </w:rPr>
        <w:t>experiență didactică</w:t>
      </w:r>
      <w:r w:rsidR="00B71337" w:rsidRPr="00B71337">
        <w:rPr>
          <w:rFonts w:ascii="Times New Roman" w:hAnsi="Times New Roman"/>
          <w:sz w:val="24"/>
          <w:szCs w:val="24"/>
        </w:rPr>
        <w:t xml:space="preserve"> cuprinsă între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337">
        <w:rPr>
          <w:rFonts w:ascii="Times New Roman" w:hAnsi="Times New Roman"/>
          <w:sz w:val="24"/>
          <w:szCs w:val="24"/>
        </w:rPr>
        <w:t>ș</w:t>
      </w:r>
      <w:r>
        <w:rPr>
          <w:rFonts w:ascii="Times New Roman" w:hAnsi="Times New Roman"/>
          <w:sz w:val="24"/>
          <w:szCs w:val="24"/>
        </w:rPr>
        <w:t xml:space="preserve">i </w:t>
      </w:r>
      <w:r w:rsidR="00B71337" w:rsidRPr="00B71337">
        <w:rPr>
          <w:rFonts w:ascii="Times New Roman" w:hAnsi="Times New Roman"/>
          <w:sz w:val="24"/>
          <w:szCs w:val="24"/>
        </w:rPr>
        <w:t xml:space="preserve">25 ani; de asemenea, ponderea cea mai însemnată a subiecților supuși </w:t>
      </w:r>
      <w:r>
        <w:rPr>
          <w:rFonts w:ascii="Times New Roman" w:hAnsi="Times New Roman"/>
          <w:sz w:val="24"/>
          <w:szCs w:val="24"/>
        </w:rPr>
        <w:t>i</w:t>
      </w:r>
      <w:r w:rsidR="00B71337" w:rsidRPr="00B71337">
        <w:rPr>
          <w:rFonts w:ascii="Times New Roman" w:hAnsi="Times New Roman"/>
          <w:sz w:val="24"/>
          <w:szCs w:val="24"/>
        </w:rPr>
        <w:t xml:space="preserve">nvestigației dispune de un nivel reprezentat de obținerea gradului didactic II </w:t>
      </w:r>
      <w:r>
        <w:rPr>
          <w:rFonts w:ascii="Times New Roman" w:hAnsi="Times New Roman"/>
          <w:sz w:val="24"/>
          <w:szCs w:val="24"/>
        </w:rPr>
        <w:t>-</w:t>
      </w:r>
      <w:r w:rsidR="00B71337" w:rsidRPr="00B71337">
        <w:rPr>
          <w:rFonts w:ascii="Times New Roman" w:hAnsi="Times New Roman"/>
          <w:sz w:val="24"/>
          <w:szCs w:val="24"/>
        </w:rPr>
        <w:t xml:space="preserve"> 26% și, r</w:t>
      </w:r>
      <w:r>
        <w:rPr>
          <w:rFonts w:ascii="Times New Roman" w:hAnsi="Times New Roman"/>
          <w:sz w:val="24"/>
          <w:szCs w:val="24"/>
        </w:rPr>
        <w:t>espectiv, gradul I - 41%.</w:t>
      </w:r>
    </w:p>
    <w:p w:rsidR="00981DB3" w:rsidRDefault="00981DB3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981DB3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F121F">
        <w:rPr>
          <w:rFonts w:ascii="Times New Roman" w:hAnsi="Times New Roman"/>
          <w:sz w:val="24"/>
          <w:szCs w:val="24"/>
        </w:rPr>
        <w:t>Principalele aspecte investigate sunt ilustrate, sintetic si grafic, in datele de mai jos.</w:t>
      </w:r>
    </w:p>
    <w:p w:rsidR="00EF121F" w:rsidRPr="00B71337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1337" w:rsidRPr="00EF121F">
        <w:rPr>
          <w:rFonts w:ascii="Times New Roman" w:hAnsi="Times New Roman"/>
          <w:b/>
          <w:sz w:val="24"/>
          <w:szCs w:val="24"/>
        </w:rPr>
        <w:t>Gradul în care formabilii sunt dispuși să acorde timp și resurse suplimentare pentru formarea continuă</w:t>
      </w:r>
      <w:r w:rsidR="00B71337" w:rsidRPr="00B71337">
        <w:rPr>
          <w:rFonts w:ascii="Times New Roman" w:hAnsi="Times New Roman"/>
          <w:sz w:val="24"/>
          <w:szCs w:val="24"/>
        </w:rPr>
        <w:t>: 63% dintre subiecți sunt înclinați</w:t>
      </w:r>
      <w:r>
        <w:rPr>
          <w:rFonts w:ascii="Times New Roman" w:hAnsi="Times New Roman"/>
          <w:sz w:val="24"/>
          <w:szCs w:val="24"/>
        </w:rPr>
        <w:t xml:space="preserve"> înspre aceasta în mare măsură.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-3390</wp:posOffset>
            </wp:positionV>
            <wp:extent cx="5565480" cy="1687133"/>
            <wp:effectExtent l="19050" t="0" r="16170" b="8317"/>
            <wp:wrapNone/>
            <wp:docPr id="1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1337" w:rsidRPr="00EF121F">
        <w:rPr>
          <w:rFonts w:ascii="Times New Roman" w:hAnsi="Times New Roman"/>
          <w:b/>
          <w:sz w:val="24"/>
          <w:szCs w:val="24"/>
        </w:rPr>
        <w:t>Criteriile avute în vedere în alegerea programului</w:t>
      </w:r>
      <w:r w:rsidR="00B71337" w:rsidRPr="00B71337">
        <w:rPr>
          <w:rFonts w:ascii="Times New Roman" w:hAnsi="Times New Roman"/>
          <w:sz w:val="24"/>
          <w:szCs w:val="24"/>
        </w:rPr>
        <w:t xml:space="preserve">: cei mai mulți menționează nevoile personale de dezvoltare profesională </w:t>
      </w:r>
      <w:r>
        <w:rPr>
          <w:rFonts w:ascii="Times New Roman" w:hAnsi="Times New Roman"/>
          <w:sz w:val="24"/>
          <w:szCs w:val="24"/>
        </w:rPr>
        <w:t>-</w:t>
      </w:r>
      <w:r w:rsidR="00B71337" w:rsidRPr="00B71337">
        <w:rPr>
          <w:rFonts w:ascii="Times New Roman" w:hAnsi="Times New Roman"/>
          <w:sz w:val="24"/>
          <w:szCs w:val="24"/>
        </w:rPr>
        <w:t xml:space="preserve"> 52%, respectiv, tematica programului </w:t>
      </w:r>
      <w:r>
        <w:rPr>
          <w:rFonts w:ascii="Times New Roman" w:hAnsi="Times New Roman"/>
          <w:sz w:val="24"/>
          <w:szCs w:val="24"/>
        </w:rPr>
        <w:t>- 31%.</w:t>
      </w: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-2969</wp:posOffset>
            </wp:positionV>
            <wp:extent cx="5588609" cy="2917064"/>
            <wp:effectExtent l="19050" t="0" r="12091" b="0"/>
            <wp:wrapNone/>
            <wp:docPr id="1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Pr="00B71337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B71337" w:rsidRPr="00EF121F">
        <w:rPr>
          <w:rFonts w:ascii="Times New Roman" w:hAnsi="Times New Roman"/>
          <w:b/>
          <w:sz w:val="24"/>
          <w:szCs w:val="24"/>
        </w:rPr>
        <w:t xml:space="preserve">Sursele de informare cu privire la </w:t>
      </w:r>
      <w:r w:rsidRPr="00EF121F">
        <w:rPr>
          <w:rFonts w:ascii="Times New Roman" w:hAnsi="Times New Roman"/>
          <w:b/>
          <w:sz w:val="24"/>
          <w:szCs w:val="24"/>
        </w:rPr>
        <w:t>formarea continuă</w:t>
      </w:r>
      <w:r w:rsidR="00B71337" w:rsidRPr="00B71337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cei mai  mulți responden</w:t>
      </w:r>
      <w:r w:rsidRPr="00B71337">
        <w:rPr>
          <w:rFonts w:ascii="Times New Roman" w:hAnsi="Times New Roman"/>
          <w:sz w:val="24"/>
          <w:szCs w:val="24"/>
        </w:rPr>
        <w:t>ț</w:t>
      </w:r>
      <w:r>
        <w:rPr>
          <w:rFonts w:ascii="Times New Roman" w:hAnsi="Times New Roman"/>
          <w:sz w:val="24"/>
          <w:szCs w:val="24"/>
        </w:rPr>
        <w:t>i</w:t>
      </w:r>
      <w:r w:rsidR="00B71337" w:rsidRPr="00B71337">
        <w:rPr>
          <w:rFonts w:ascii="Times New Roman" w:hAnsi="Times New Roman"/>
          <w:sz w:val="24"/>
          <w:szCs w:val="24"/>
        </w:rPr>
        <w:t>, 83%, sunt informați prin responsabilul de formare</w:t>
      </w:r>
      <w:r>
        <w:rPr>
          <w:rFonts w:ascii="Times New Roman" w:hAnsi="Times New Roman"/>
          <w:sz w:val="24"/>
          <w:szCs w:val="24"/>
        </w:rPr>
        <w:t xml:space="preserve"> continuă sau de pe site-ul CCD.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1333</wp:posOffset>
            </wp:positionV>
            <wp:extent cx="5571195" cy="2240924"/>
            <wp:effectExtent l="19050" t="0" r="10455" b="6976"/>
            <wp:wrapNone/>
            <wp:docPr id="1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1337" w:rsidRPr="00B71337">
        <w:rPr>
          <w:rFonts w:ascii="Times New Roman" w:hAnsi="Times New Roman"/>
          <w:sz w:val="24"/>
          <w:szCs w:val="24"/>
        </w:rPr>
        <w:t xml:space="preserve">Cei mai mulți subiecți apreciază că </w:t>
      </w:r>
      <w:r w:rsidR="00B71337" w:rsidRPr="00EF121F">
        <w:rPr>
          <w:rFonts w:ascii="Times New Roman" w:hAnsi="Times New Roman"/>
          <w:b/>
          <w:sz w:val="24"/>
          <w:szCs w:val="24"/>
        </w:rPr>
        <w:t>frecventarea programelor CCD</w:t>
      </w:r>
      <w:r w:rsidR="00B71337" w:rsidRPr="00B71337">
        <w:rPr>
          <w:rFonts w:ascii="Times New Roman" w:hAnsi="Times New Roman"/>
          <w:sz w:val="24"/>
          <w:szCs w:val="24"/>
        </w:rPr>
        <w:t xml:space="preserve"> i-a ajutat în activitatea proprie: în mare măsură </w:t>
      </w:r>
      <w:r>
        <w:rPr>
          <w:rFonts w:ascii="Times New Roman" w:hAnsi="Times New Roman"/>
          <w:sz w:val="24"/>
          <w:szCs w:val="24"/>
        </w:rPr>
        <w:t>-</w:t>
      </w:r>
      <w:r w:rsidR="00B71337" w:rsidRPr="00B71337">
        <w:rPr>
          <w:rFonts w:ascii="Times New Roman" w:hAnsi="Times New Roman"/>
          <w:sz w:val="24"/>
          <w:szCs w:val="24"/>
        </w:rPr>
        <w:t xml:space="preserve"> 43,9%, în oarecare măsură </w:t>
      </w:r>
      <w:r>
        <w:rPr>
          <w:rFonts w:ascii="Times New Roman" w:hAnsi="Times New Roman"/>
          <w:sz w:val="24"/>
          <w:szCs w:val="24"/>
        </w:rPr>
        <w:t>- 45% (item10).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-1574</wp:posOffset>
            </wp:positionV>
            <wp:extent cx="5588609" cy="1809482"/>
            <wp:effectExtent l="19050" t="0" r="12091" b="268"/>
            <wp:wrapNone/>
            <wp:docPr id="1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F121F">
        <w:rPr>
          <w:rFonts w:ascii="Times New Roman" w:hAnsi="Times New Roman"/>
          <w:b/>
          <w:sz w:val="24"/>
          <w:szCs w:val="24"/>
        </w:rPr>
        <w:t>Modalit</w:t>
      </w:r>
      <w:r w:rsidRPr="00EF121F">
        <w:rPr>
          <w:rFonts w:ascii="Times New Roman" w:hAnsi="Times New Roman"/>
          <w:b/>
          <w:sz w:val="24"/>
          <w:szCs w:val="24"/>
        </w:rPr>
        <w:t>ăț</w:t>
      </w:r>
      <w:r w:rsidRPr="00EF121F">
        <w:rPr>
          <w:rFonts w:ascii="Times New Roman" w:hAnsi="Times New Roman"/>
          <w:b/>
          <w:sz w:val="24"/>
          <w:szCs w:val="24"/>
        </w:rPr>
        <w:t>i de formare</w:t>
      </w:r>
      <w:r>
        <w:rPr>
          <w:rFonts w:ascii="Times New Roman" w:hAnsi="Times New Roman"/>
          <w:sz w:val="24"/>
          <w:szCs w:val="24"/>
        </w:rPr>
        <w:t>: c</w:t>
      </w:r>
      <w:r w:rsidR="00B71337" w:rsidRPr="00B71337">
        <w:rPr>
          <w:rFonts w:ascii="Times New Roman" w:hAnsi="Times New Roman"/>
          <w:sz w:val="24"/>
          <w:szCs w:val="24"/>
        </w:rPr>
        <w:t xml:space="preserve">ei mai mulți dintre subiecți preferă formarea directă (face to face) </w:t>
      </w:r>
      <w:r>
        <w:rPr>
          <w:rFonts w:ascii="Times New Roman" w:hAnsi="Times New Roman"/>
          <w:sz w:val="24"/>
          <w:szCs w:val="24"/>
        </w:rPr>
        <w:t>-</w:t>
      </w:r>
      <w:r w:rsidR="00B71337" w:rsidRPr="00B71337">
        <w:rPr>
          <w:rFonts w:ascii="Times New Roman" w:hAnsi="Times New Roman"/>
          <w:sz w:val="24"/>
          <w:szCs w:val="24"/>
        </w:rPr>
        <w:t xml:space="preserve"> 38% sau combinată (față în față și pe platform de învățare) </w:t>
      </w:r>
      <w:r>
        <w:rPr>
          <w:rFonts w:ascii="Times New Roman" w:hAnsi="Times New Roman"/>
          <w:sz w:val="24"/>
          <w:szCs w:val="24"/>
        </w:rPr>
        <w:t>- 36%.</w:t>
      </w: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-2647</wp:posOffset>
            </wp:positionV>
            <wp:extent cx="5526844" cy="1983346"/>
            <wp:effectExtent l="19050" t="0" r="16706" b="0"/>
            <wp:wrapNone/>
            <wp:docPr id="1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lastRenderedPageBreak/>
        <w:tab/>
        <w:t xml:space="preserve">Foarte util pentru organizarea formării ne apare răspunsul referitor la </w:t>
      </w:r>
      <w:r w:rsidRPr="00EF121F">
        <w:rPr>
          <w:rFonts w:ascii="Times New Roman" w:hAnsi="Times New Roman"/>
          <w:b/>
          <w:sz w:val="24"/>
          <w:szCs w:val="24"/>
        </w:rPr>
        <w:t>perioada adecvată pentru formare</w:t>
      </w:r>
      <w:r w:rsidRPr="00B71337">
        <w:rPr>
          <w:rFonts w:ascii="Times New Roman" w:hAnsi="Times New Roman"/>
          <w:sz w:val="24"/>
          <w:szCs w:val="24"/>
        </w:rPr>
        <w:t>: 41% dintre respondenți preferă participarea la stagii efectuate în week-end-uri de formare, iar 35% - formar</w:t>
      </w:r>
      <w:r w:rsidR="00EF121F">
        <w:rPr>
          <w:rFonts w:ascii="Times New Roman" w:hAnsi="Times New Roman"/>
          <w:sz w:val="24"/>
          <w:szCs w:val="24"/>
        </w:rPr>
        <w:t>ea în timpul vacanțelor școlare.</w:t>
      </w:r>
    </w:p>
    <w:p w:rsidR="00EF121F" w:rsidRDefault="00EF121F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ab/>
        <w:t>Referitor la ponderea anumitor tipuri de activități în economia programelor, 71% dintre persoanele chestionate cred că îmbinarea optimă între activitățile teoretice și cele cu caracter practic/</w:t>
      </w:r>
      <w:r w:rsidR="00EF121F">
        <w:rPr>
          <w:rFonts w:ascii="Times New Roman" w:hAnsi="Times New Roman"/>
          <w:sz w:val="24"/>
          <w:szCs w:val="24"/>
        </w:rPr>
        <w:t>aplicativ este de preferat.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796</wp:posOffset>
            </wp:positionV>
            <wp:extent cx="5559130" cy="2221606"/>
            <wp:effectExtent l="19050" t="0" r="22520" b="7244"/>
            <wp:wrapNone/>
            <wp:docPr id="1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Pr="00B71337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tab/>
        <w:t xml:space="preserve">Dintre cele 14 variante de răspuns sugerate vizând domeniul în care respondenții resimt cea mai acută </w:t>
      </w:r>
      <w:r w:rsidRPr="00E35FAC">
        <w:rPr>
          <w:rFonts w:ascii="Times New Roman" w:hAnsi="Times New Roman"/>
          <w:b/>
          <w:sz w:val="24"/>
          <w:szCs w:val="24"/>
        </w:rPr>
        <w:t>nevoie de formare</w:t>
      </w:r>
      <w:r w:rsidRPr="00B71337">
        <w:rPr>
          <w:rFonts w:ascii="Times New Roman" w:hAnsi="Times New Roman"/>
          <w:sz w:val="24"/>
          <w:szCs w:val="24"/>
        </w:rPr>
        <w:t>, sunt indicate, în ordine: educația afectivității și inteligenței emoționale, educația prin și pentru cultură, TIC, managementul clasei de elevi și managementul situațiile conflictuale, educația de tip incluziv, comunicarea didactică/ educațională, metodica activităților de predare-învățare, evaluarea în procesul de învățămâ</w:t>
      </w:r>
      <w:r w:rsidR="00E35FAC">
        <w:rPr>
          <w:rFonts w:ascii="Times New Roman" w:hAnsi="Times New Roman"/>
          <w:sz w:val="24"/>
          <w:szCs w:val="24"/>
        </w:rPr>
        <w:t>nt.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20740</wp:posOffset>
            </wp:positionH>
            <wp:positionV relativeFrom="paragraph">
              <wp:posOffset>-2111</wp:posOffset>
            </wp:positionV>
            <wp:extent cx="5582259" cy="2355019"/>
            <wp:effectExtent l="19050" t="0" r="18441" b="7181"/>
            <wp:wrapNone/>
            <wp:docPr id="1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Pr="00B71337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337">
        <w:rPr>
          <w:rFonts w:ascii="Times New Roman" w:hAnsi="Times New Roman"/>
          <w:sz w:val="24"/>
          <w:szCs w:val="24"/>
        </w:rPr>
        <w:lastRenderedPageBreak/>
        <w:tab/>
        <w:t xml:space="preserve">Majoritatea subiecților chestionați apreciază </w:t>
      </w:r>
      <w:r w:rsidRPr="00E35FAC">
        <w:rPr>
          <w:rFonts w:ascii="Times New Roman" w:hAnsi="Times New Roman"/>
          <w:b/>
          <w:sz w:val="24"/>
          <w:szCs w:val="24"/>
        </w:rPr>
        <w:t>utilitatea programelor</w:t>
      </w:r>
      <w:r w:rsidRPr="00B71337">
        <w:rPr>
          <w:rFonts w:ascii="Times New Roman" w:hAnsi="Times New Roman"/>
          <w:sz w:val="24"/>
          <w:szCs w:val="24"/>
        </w:rPr>
        <w:t xml:space="preserve"> la care au participat în activitatea directă – în predare-învățare sau în managementul diferitelor situații concrete, în școală și în comunitate. Dispunerea ponderii răspunsurilor este ilustrată mai jos:</w:t>
      </w:r>
    </w:p>
    <w:p w:rsid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FAC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563674" cy="2102610"/>
            <wp:effectExtent l="19050" t="0" r="17976" b="0"/>
            <wp:docPr id="2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2CF0" w:rsidRDefault="00702CF0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1337" w:rsidRPr="00B71337">
        <w:rPr>
          <w:rFonts w:ascii="Times New Roman" w:hAnsi="Times New Roman"/>
          <w:sz w:val="24"/>
          <w:szCs w:val="24"/>
        </w:rPr>
        <w:t xml:space="preserve">Datele obținute prin studiul ANF pe bază de chestionar au fost completate prin celelalte modalități de </w:t>
      </w:r>
      <w:r>
        <w:rPr>
          <w:rFonts w:ascii="Times New Roman" w:hAnsi="Times New Roman"/>
          <w:sz w:val="24"/>
          <w:szCs w:val="24"/>
        </w:rPr>
        <w:t>investigare menționate mai sus.</w:t>
      </w:r>
    </w:p>
    <w:p w:rsidR="00E35FAC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E35FAC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71337" w:rsidRPr="00B71337">
        <w:rPr>
          <w:rFonts w:ascii="Times New Roman" w:hAnsi="Times New Roman"/>
          <w:sz w:val="24"/>
          <w:szCs w:val="24"/>
        </w:rPr>
        <w:t>Astfel, evaluarea eficienţei şi eficacităţii programelor de formare a fost realizată pe parcursul anului şcolar 2011 - 2012 şi prin discuții și convorbiri formale cu cadrele didactice din unităţile şcolare din judeţ pentru a măsura impactul acestora asupra calităţii procesului educa</w:t>
      </w:r>
      <w:r>
        <w:rPr>
          <w:rFonts w:ascii="Times New Roman" w:hAnsi="Times New Roman"/>
          <w:sz w:val="24"/>
          <w:szCs w:val="24"/>
        </w:rPr>
        <w:t>ţional. Din acestea a rezultat:</w:t>
      </w:r>
    </w:p>
    <w:p w:rsidR="00B71337" w:rsidRPr="00E35FAC" w:rsidRDefault="00B71337" w:rsidP="00E35FAC">
      <w:pPr>
        <w:pStyle w:val="Header"/>
        <w:numPr>
          <w:ilvl w:val="0"/>
          <w:numId w:val="6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5FAC">
        <w:rPr>
          <w:rFonts w:ascii="Times New Roman" w:hAnsi="Times New Roman"/>
          <w:b/>
          <w:sz w:val="24"/>
          <w:szCs w:val="24"/>
        </w:rPr>
        <w:t>interesul crescut pentru participarea la activităţi de formare adaptate cerinţelor moderne ale educaţiei;</w:t>
      </w:r>
    </w:p>
    <w:p w:rsidR="00B71337" w:rsidRPr="00E35FAC" w:rsidRDefault="00B71337" w:rsidP="00E35FAC">
      <w:pPr>
        <w:pStyle w:val="Header"/>
        <w:numPr>
          <w:ilvl w:val="0"/>
          <w:numId w:val="6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5FAC">
        <w:rPr>
          <w:rFonts w:ascii="Times New Roman" w:hAnsi="Times New Roman"/>
          <w:b/>
          <w:sz w:val="24"/>
          <w:szCs w:val="24"/>
        </w:rPr>
        <w:t>interes pentru activități bazate pe metode interactive/ conţinuturi cu caracter practic/ formatoare de abilităţi practice;</w:t>
      </w:r>
    </w:p>
    <w:p w:rsidR="00B71337" w:rsidRPr="00E35FAC" w:rsidRDefault="00B71337" w:rsidP="00E35FAC">
      <w:pPr>
        <w:pStyle w:val="Header"/>
        <w:numPr>
          <w:ilvl w:val="0"/>
          <w:numId w:val="6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5FAC">
        <w:rPr>
          <w:rFonts w:ascii="Times New Roman" w:hAnsi="Times New Roman"/>
          <w:b/>
          <w:sz w:val="24"/>
          <w:szCs w:val="24"/>
        </w:rPr>
        <w:t>accent necesar pe dezvoltarea competenţelor transferabile şi a atitudinilor bazate pe valori;</w:t>
      </w:r>
    </w:p>
    <w:p w:rsidR="00B71337" w:rsidRPr="00E35FAC" w:rsidRDefault="00B71337" w:rsidP="00E35FAC">
      <w:pPr>
        <w:pStyle w:val="Header"/>
        <w:numPr>
          <w:ilvl w:val="0"/>
          <w:numId w:val="6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5FAC">
        <w:rPr>
          <w:rFonts w:ascii="Times New Roman" w:hAnsi="Times New Roman"/>
          <w:b/>
          <w:sz w:val="24"/>
          <w:szCs w:val="24"/>
        </w:rPr>
        <w:t>susținerea activităților prin suporturi de curs de calitate (în format electronic sau tipărit);</w:t>
      </w:r>
    </w:p>
    <w:p w:rsidR="00B71337" w:rsidRPr="00E35FAC" w:rsidRDefault="00B71337" w:rsidP="00E35FAC">
      <w:pPr>
        <w:pStyle w:val="Header"/>
        <w:numPr>
          <w:ilvl w:val="0"/>
          <w:numId w:val="6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5FAC">
        <w:rPr>
          <w:rFonts w:ascii="Times New Roman" w:hAnsi="Times New Roman"/>
          <w:b/>
          <w:sz w:val="24"/>
          <w:szCs w:val="24"/>
        </w:rPr>
        <w:t>sunt de asemenea solicitări pentru pentru alte forme de organizare a activităţilor (cursurilor ID/ on-line/ blended learning);</w:t>
      </w:r>
    </w:p>
    <w:p w:rsidR="00B71337" w:rsidRPr="00E35FAC" w:rsidRDefault="00B71337" w:rsidP="00E35FAC">
      <w:pPr>
        <w:pStyle w:val="Header"/>
        <w:numPr>
          <w:ilvl w:val="0"/>
          <w:numId w:val="6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5FAC">
        <w:rPr>
          <w:rFonts w:ascii="Times New Roman" w:hAnsi="Times New Roman"/>
          <w:b/>
          <w:sz w:val="24"/>
          <w:szCs w:val="24"/>
        </w:rPr>
        <w:t xml:space="preserve">este necesar să se țină seama de costurile deplasărilor sau a prezenței la stagii, solicitându-se ca activitățile să fie deplasate în localitatea sau chiar școala de proveniență a formabililor; </w:t>
      </w: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B71337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337" w:rsidRPr="00895F66" w:rsidRDefault="00B71337" w:rsidP="00B71337">
      <w:pPr>
        <w:pStyle w:val="Header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71337" w:rsidRPr="00895F66" w:rsidSect="00A24941">
      <w:headerReference w:type="default" r:id="rId17"/>
      <w:footerReference w:type="default" r:id="rId18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EA3" w:rsidRDefault="00396EA3" w:rsidP="00803785">
      <w:pPr>
        <w:spacing w:after="0" w:line="240" w:lineRule="auto"/>
      </w:pPr>
      <w:r>
        <w:separator/>
      </w:r>
    </w:p>
  </w:endnote>
  <w:endnote w:type="continuationSeparator" w:id="0">
    <w:p w:rsidR="00396EA3" w:rsidRDefault="00396EA3" w:rsidP="00803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187" w:rsidRPr="00297187" w:rsidRDefault="009C0E76">
    <w:pPr>
      <w:pStyle w:val="Footer"/>
      <w:jc w:val="center"/>
      <w:rPr>
        <w:rFonts w:ascii="Times New Roman" w:hAnsi="Times New Roman"/>
        <w:sz w:val="20"/>
        <w:szCs w:val="20"/>
      </w:rPr>
    </w:pPr>
    <w:r w:rsidRPr="00297187">
      <w:rPr>
        <w:rFonts w:ascii="Times New Roman" w:hAnsi="Times New Roman"/>
        <w:sz w:val="20"/>
        <w:szCs w:val="20"/>
      </w:rPr>
      <w:fldChar w:fldCharType="begin"/>
    </w:r>
    <w:r w:rsidR="00297187" w:rsidRPr="00297187">
      <w:rPr>
        <w:rFonts w:ascii="Times New Roman" w:hAnsi="Times New Roman"/>
        <w:sz w:val="20"/>
        <w:szCs w:val="20"/>
      </w:rPr>
      <w:instrText xml:space="preserve"> PAGE   \* MERGEFORMAT </w:instrText>
    </w:r>
    <w:r w:rsidRPr="00297187">
      <w:rPr>
        <w:rFonts w:ascii="Times New Roman" w:hAnsi="Times New Roman"/>
        <w:sz w:val="20"/>
        <w:szCs w:val="20"/>
      </w:rPr>
      <w:fldChar w:fldCharType="separate"/>
    </w:r>
    <w:r w:rsidR="00702CF0">
      <w:rPr>
        <w:rFonts w:ascii="Times New Roman" w:hAnsi="Times New Roman"/>
        <w:noProof/>
        <w:sz w:val="20"/>
        <w:szCs w:val="20"/>
      </w:rPr>
      <w:t>2</w:t>
    </w:r>
    <w:r w:rsidRPr="00297187">
      <w:rPr>
        <w:rFonts w:ascii="Times New Roman" w:hAnsi="Times New Roman"/>
        <w:sz w:val="20"/>
        <w:szCs w:val="20"/>
      </w:rPr>
      <w:fldChar w:fldCharType="end"/>
    </w:r>
  </w:p>
  <w:p w:rsidR="00297187" w:rsidRDefault="002971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EA3" w:rsidRDefault="00396EA3" w:rsidP="00803785">
      <w:pPr>
        <w:spacing w:after="0" w:line="240" w:lineRule="auto"/>
      </w:pPr>
      <w:r>
        <w:separator/>
      </w:r>
    </w:p>
  </w:footnote>
  <w:footnote w:type="continuationSeparator" w:id="0">
    <w:p w:rsidR="00396EA3" w:rsidRDefault="00396EA3" w:rsidP="00803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785" w:rsidRPr="00803785" w:rsidRDefault="00532C3A" w:rsidP="0028761F">
    <w:pPr>
      <w:pStyle w:val="Header"/>
      <w:spacing w:after="0" w:line="240" w:lineRule="auto"/>
      <w:ind w:left="4248"/>
      <w:jc w:val="center"/>
      <w:rPr>
        <w:rFonts w:ascii="Arial" w:hAnsi="Arial" w:cs="Arial"/>
        <w:sz w:val="16"/>
        <w:szCs w:val="16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13970</wp:posOffset>
          </wp:positionV>
          <wp:extent cx="675640" cy="720090"/>
          <wp:effectExtent l="19050" t="0" r="0" b="0"/>
          <wp:wrapNone/>
          <wp:docPr id="1" name="Picture 1" descr="c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640" cy="720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03785" w:rsidRPr="00803785">
      <w:rPr>
        <w:rFonts w:ascii="Arial" w:hAnsi="Arial" w:cs="Arial"/>
        <w:sz w:val="16"/>
        <w:szCs w:val="16"/>
      </w:rPr>
      <w:t>Ministerul Educaţiei</w:t>
    </w:r>
    <w:r w:rsidR="0028761F">
      <w:rPr>
        <w:rFonts w:ascii="Arial" w:hAnsi="Arial" w:cs="Arial"/>
        <w:sz w:val="16"/>
        <w:szCs w:val="16"/>
      </w:rPr>
      <w:t>,</w:t>
    </w:r>
    <w:r w:rsidR="00803785" w:rsidRPr="00803785">
      <w:rPr>
        <w:rFonts w:ascii="Arial" w:hAnsi="Arial" w:cs="Arial"/>
        <w:sz w:val="16"/>
        <w:szCs w:val="16"/>
      </w:rPr>
      <w:t xml:space="preserve"> Cercetării</w:t>
    </w:r>
    <w:r w:rsidR="0028761F">
      <w:rPr>
        <w:rFonts w:ascii="Arial" w:hAnsi="Arial" w:cs="Arial"/>
        <w:sz w:val="16"/>
        <w:szCs w:val="16"/>
      </w:rPr>
      <w:t>,</w:t>
    </w:r>
    <w:r w:rsidR="00803785" w:rsidRPr="00803785">
      <w:rPr>
        <w:rFonts w:ascii="Arial" w:hAnsi="Arial" w:cs="Arial"/>
        <w:sz w:val="16"/>
        <w:szCs w:val="16"/>
      </w:rPr>
      <w:t xml:space="preserve"> Tineretului</w:t>
    </w:r>
    <w:r w:rsidR="0028761F" w:rsidRPr="00803785">
      <w:rPr>
        <w:rFonts w:ascii="Arial" w:hAnsi="Arial" w:cs="Arial"/>
        <w:sz w:val="16"/>
        <w:szCs w:val="16"/>
      </w:rPr>
      <w:t xml:space="preserve"> şi</w:t>
    </w:r>
    <w:r w:rsidR="0028761F">
      <w:rPr>
        <w:rFonts w:ascii="Arial" w:hAnsi="Arial" w:cs="Arial"/>
        <w:sz w:val="16"/>
        <w:szCs w:val="16"/>
      </w:rPr>
      <w:t xml:space="preserve"> Sportului</w:t>
    </w:r>
  </w:p>
  <w:p w:rsidR="00803785" w:rsidRPr="00803785" w:rsidRDefault="00803785" w:rsidP="0028761F">
    <w:pPr>
      <w:pStyle w:val="Header"/>
      <w:spacing w:after="0" w:line="240" w:lineRule="auto"/>
      <w:ind w:left="4248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Inspectoratul Şcolar al Judeţului Hunedoara</w:t>
    </w:r>
  </w:p>
  <w:p w:rsidR="00803785" w:rsidRPr="00803785" w:rsidRDefault="00803785" w:rsidP="0028761F">
    <w:pPr>
      <w:pStyle w:val="Header"/>
      <w:spacing w:after="0" w:line="240" w:lineRule="auto"/>
      <w:ind w:left="4248"/>
      <w:jc w:val="center"/>
      <w:rPr>
        <w:rFonts w:ascii="Arial" w:hAnsi="Arial" w:cs="Arial"/>
        <w:b/>
        <w:sz w:val="24"/>
        <w:szCs w:val="24"/>
      </w:rPr>
    </w:pPr>
    <w:r w:rsidRPr="00803785">
      <w:rPr>
        <w:rFonts w:ascii="Arial" w:hAnsi="Arial" w:cs="Arial"/>
        <w:b/>
        <w:sz w:val="24"/>
        <w:szCs w:val="24"/>
      </w:rPr>
      <w:t>Casa Corpului Didactic Deva</w:t>
    </w:r>
  </w:p>
  <w:p w:rsidR="00803785" w:rsidRDefault="00803785" w:rsidP="0028761F">
    <w:pPr>
      <w:pStyle w:val="Header"/>
      <w:spacing w:after="0" w:line="240" w:lineRule="auto"/>
      <w:ind w:left="4248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 xml:space="preserve">330065 - Deva, Str. G. Bariţiu, Nr. 2, </w:t>
    </w:r>
  </w:p>
  <w:p w:rsidR="00803785" w:rsidRPr="00803785" w:rsidRDefault="00803785" w:rsidP="0028761F">
    <w:pPr>
      <w:pStyle w:val="Header"/>
      <w:spacing w:after="0" w:line="240" w:lineRule="auto"/>
      <w:ind w:left="4248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Judeţul Hunedoara, România</w:t>
    </w:r>
  </w:p>
  <w:p w:rsidR="00803785" w:rsidRPr="00803785" w:rsidRDefault="00803785" w:rsidP="0028761F">
    <w:pPr>
      <w:pStyle w:val="Header"/>
      <w:spacing w:after="0" w:line="240" w:lineRule="auto"/>
      <w:ind w:left="4248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telefon/fax: 0254/232.452</w:t>
    </w:r>
  </w:p>
  <w:p w:rsidR="00803785" w:rsidRDefault="00803785" w:rsidP="0028761F">
    <w:pPr>
      <w:pStyle w:val="Header"/>
      <w:spacing w:after="0" w:line="240" w:lineRule="auto"/>
      <w:ind w:left="4248"/>
      <w:jc w:val="center"/>
      <w:rPr>
        <w:rFonts w:ascii="Arial" w:hAnsi="Arial" w:cs="Arial"/>
        <w:sz w:val="16"/>
        <w:szCs w:val="16"/>
      </w:rPr>
    </w:pPr>
    <w:r w:rsidRPr="00803785">
      <w:rPr>
        <w:rFonts w:ascii="Arial" w:hAnsi="Arial" w:cs="Arial"/>
        <w:sz w:val="16"/>
        <w:szCs w:val="16"/>
      </w:rPr>
      <w:t>e-mail: ccd_deva@yahoo.com; URL: http://isj.hd.edu.ro/c</w:t>
    </w:r>
    <w:r w:rsidR="00C25DF4">
      <w:rPr>
        <w:rFonts w:ascii="Arial" w:hAnsi="Arial" w:cs="Arial"/>
        <w:sz w:val="16"/>
        <w:szCs w:val="16"/>
      </w:rPr>
      <w:t>c</w:t>
    </w:r>
    <w:r w:rsidRPr="00803785">
      <w:rPr>
        <w:rFonts w:ascii="Arial" w:hAnsi="Arial" w:cs="Arial"/>
        <w:sz w:val="16"/>
        <w:szCs w:val="16"/>
      </w:rPr>
      <w:t>d/</w:t>
    </w:r>
  </w:p>
  <w:p w:rsidR="00CF7F5D" w:rsidRPr="00803785" w:rsidRDefault="009C0E76" w:rsidP="00CF7F5D">
    <w:pPr>
      <w:pStyle w:val="Header"/>
      <w:spacing w:after="0" w:line="240" w:lineRule="auto"/>
      <w:rPr>
        <w:rFonts w:ascii="Arial" w:hAnsi="Arial" w:cs="Arial"/>
        <w:sz w:val="16"/>
        <w:szCs w:val="16"/>
      </w:rPr>
    </w:pPr>
    <w:r w:rsidRPr="009C0E76">
      <w:rPr>
        <w:rFonts w:ascii="Arial" w:hAnsi="Arial" w:cs="Arial"/>
        <w:noProof/>
        <w:sz w:val="16"/>
        <w:szCs w:val="16"/>
        <w:lang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.3pt;margin-top:3pt;width:438.75pt;height:0;z-index:251658240" o:connectortype="straight" strokecolor="red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7FD"/>
    <w:multiLevelType w:val="hybridMultilevel"/>
    <w:tmpl w:val="F1087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056B43"/>
    <w:multiLevelType w:val="hybridMultilevel"/>
    <w:tmpl w:val="9326B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015FD"/>
    <w:multiLevelType w:val="hybridMultilevel"/>
    <w:tmpl w:val="5F3008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163A8"/>
    <w:multiLevelType w:val="hybridMultilevel"/>
    <w:tmpl w:val="89F64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247AD8"/>
    <w:multiLevelType w:val="hybridMultilevel"/>
    <w:tmpl w:val="F9B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FC5CB2"/>
    <w:multiLevelType w:val="hybridMultilevel"/>
    <w:tmpl w:val="B2F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2"/>
  <w:displayBackgroundShape/>
  <w:defaultTabStop w:val="567"/>
  <w:hyphenationZone w:val="425"/>
  <w:characterSpacingControl w:val="doNotCompress"/>
  <w:hdrShapeDefaults>
    <o:shapedefaults v:ext="edit" spidmax="5122">
      <o:colormenu v:ext="edit" fillcolor="none [3069]" strokecolor="none"/>
    </o:shapedefaults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24941"/>
    <w:rsid w:val="0020737D"/>
    <w:rsid w:val="0028761F"/>
    <w:rsid w:val="00297187"/>
    <w:rsid w:val="00322ED0"/>
    <w:rsid w:val="00396EA3"/>
    <w:rsid w:val="004910A5"/>
    <w:rsid w:val="00532C3A"/>
    <w:rsid w:val="006A71C6"/>
    <w:rsid w:val="006D48BD"/>
    <w:rsid w:val="00702CF0"/>
    <w:rsid w:val="00766FBC"/>
    <w:rsid w:val="00803785"/>
    <w:rsid w:val="00814FCF"/>
    <w:rsid w:val="00892AD6"/>
    <w:rsid w:val="00895F66"/>
    <w:rsid w:val="0093509B"/>
    <w:rsid w:val="00981DB3"/>
    <w:rsid w:val="0098616A"/>
    <w:rsid w:val="009C0E76"/>
    <w:rsid w:val="009C50DB"/>
    <w:rsid w:val="00A24941"/>
    <w:rsid w:val="00A64CFA"/>
    <w:rsid w:val="00B71337"/>
    <w:rsid w:val="00BD018B"/>
    <w:rsid w:val="00BE7427"/>
    <w:rsid w:val="00C00A81"/>
    <w:rsid w:val="00C024D3"/>
    <w:rsid w:val="00C25DF4"/>
    <w:rsid w:val="00CA7678"/>
    <w:rsid w:val="00CE7460"/>
    <w:rsid w:val="00CF326D"/>
    <w:rsid w:val="00CF7F5D"/>
    <w:rsid w:val="00E35FAC"/>
    <w:rsid w:val="00EF121F"/>
    <w:rsid w:val="00F14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069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0A5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378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378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378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785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21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\\CCD-MIHALACHE\Public\Documents\ANF%202012-2013%20lugoja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8.0324014224590096E-2"/>
          <c:y val="0.19497000840155518"/>
          <c:w val="0.75748431943519545"/>
          <c:h val="0.73239261965703462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200"/>
                      <a:t>2</a:t>
                    </a:r>
                    <a:r>
                      <a:rPr lang="ro-RO" sz="1200"/>
                      <a:t>0,4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/>
                      <a:t>urban
</a:t>
                    </a:r>
                    <a:r>
                      <a:rPr lang="ro-RO" sz="1200"/>
                      <a:t>79,6</a:t>
                    </a:r>
                    <a:r>
                      <a:rPr lang="en-US" sz="1200"/>
                      <a:t>%</a:t>
                    </a:r>
                    <a:endParaRPr lang="en-US"/>
                  </a:p>
                </c:rich>
              </c:tx>
              <c:showCatName val="1"/>
              <c:showPercent val="1"/>
            </c:dLbl>
            <c:txPr>
              <a:bodyPr/>
              <a:lstStyle/>
              <a:p>
                <a:pPr>
                  <a:defRPr sz="1200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CatName val="1"/>
            <c:showPercent val="1"/>
          </c:dLbls>
          <c:cat>
            <c:strRef>
              <c:f>'Î 1'!$B$3:$B$4</c:f>
              <c:strCache>
                <c:ptCount val="2"/>
                <c:pt idx="0">
                  <c:v>rural</c:v>
                </c:pt>
                <c:pt idx="1">
                  <c:v>urban</c:v>
                </c:pt>
              </c:strCache>
            </c:strRef>
          </c:cat>
          <c:val>
            <c:numRef>
              <c:f>'Î 1'!$C$3:$C$4</c:f>
              <c:numCache>
                <c:formatCode>General</c:formatCode>
                <c:ptCount val="2"/>
                <c:pt idx="0">
                  <c:v>21</c:v>
                </c:pt>
                <c:pt idx="1">
                  <c:v>82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600"/>
                      <a:t>58%</a:t>
                    </a:r>
                  </a:p>
                </c:rich>
              </c:tx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600"/>
                      <a:t>40%</a:t>
                    </a:r>
                  </a:p>
                </c:rich>
              </c:tx>
              <c:showPercent val="1"/>
            </c:dLbl>
            <c:dLbl>
              <c:idx val="2"/>
              <c:layout>
                <c:manualLayout>
                  <c:x val="1.36496587926509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2%</a:t>
                    </a:r>
                  </a:p>
                </c:rich>
              </c:tx>
              <c:showPercent val="1"/>
            </c:dLbl>
            <c:txPr>
              <a:bodyPr/>
              <a:lstStyle/>
              <a:p>
                <a:pPr>
                  <a:defRPr sz="2400" b="1"/>
                </a:pPr>
                <a:endParaRPr lang="en-US"/>
              </a:p>
            </c:txPr>
            <c:showPercent val="1"/>
          </c:dLbls>
          <c:cat>
            <c:strRef>
              <c:f>'Î 17'!$B$3:$B$5</c:f>
              <c:strCache>
                <c:ptCount val="3"/>
                <c:pt idx="0">
                  <c:v>in mare masura</c:v>
                </c:pt>
                <c:pt idx="1">
                  <c:v>intr-o oarecare masura</c:v>
                </c:pt>
                <c:pt idx="2">
                  <c:v>in mica masura</c:v>
                </c:pt>
              </c:strCache>
            </c:strRef>
          </c:cat>
          <c:val>
            <c:numRef>
              <c:f>'Î 17'!$C$3:$C$5</c:f>
              <c:numCache>
                <c:formatCode>General</c:formatCode>
                <c:ptCount val="3"/>
                <c:pt idx="0">
                  <c:v>59</c:v>
                </c:pt>
                <c:pt idx="1">
                  <c:v>41</c:v>
                </c:pt>
                <c:pt idx="2">
                  <c:v>2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600"/>
                      <a:t>1</a:t>
                    </a:r>
                    <a:r>
                      <a:rPr lang="ro-RO" sz="1600"/>
                      <a:t>0</a:t>
                    </a:r>
                    <a:endParaRPr lang="en-US" sz="1600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o-RO" sz="1600"/>
                      <a:t>19</a:t>
                    </a:r>
                    <a:endParaRPr lang="en-US" sz="1600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o-RO" sz="1600"/>
                      <a:t>36</a:t>
                    </a:r>
                    <a:endParaRPr lang="en-US" sz="1600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1600"/>
                      <a:t>3</a:t>
                    </a:r>
                    <a:r>
                      <a:rPr lang="ro-RO" sz="1600"/>
                      <a:t>5</a:t>
                    </a:r>
                    <a:endParaRPr lang="en-US" sz="1600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2400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Val val="1"/>
          </c:dLbls>
          <c:cat>
            <c:strRef>
              <c:f>'Î 2'!$B$3:$B$6</c:f>
              <c:strCache>
                <c:ptCount val="4"/>
                <c:pt idx="0">
                  <c:v>prescolar</c:v>
                </c:pt>
                <c:pt idx="1">
                  <c:v>primar</c:v>
                </c:pt>
                <c:pt idx="2">
                  <c:v>gimnazial</c:v>
                </c:pt>
                <c:pt idx="3">
                  <c:v>liceal</c:v>
                </c:pt>
              </c:strCache>
            </c:strRef>
          </c:cat>
          <c:val>
            <c:numRef>
              <c:f>'Î 2'!$C$3:$C$6</c:f>
              <c:numCache>
                <c:formatCode>General</c:formatCode>
                <c:ptCount val="4"/>
                <c:pt idx="0">
                  <c:v>12</c:v>
                </c:pt>
                <c:pt idx="1">
                  <c:v>21</c:v>
                </c:pt>
                <c:pt idx="2">
                  <c:v>40</c:v>
                </c:pt>
                <c:pt idx="3">
                  <c:v>37</c:v>
                </c:pt>
              </c:numCache>
            </c:numRef>
          </c:val>
        </c:ser>
        <c:shape val="box"/>
        <c:axId val="76533760"/>
        <c:axId val="76536064"/>
        <c:axId val="0"/>
      </c:bar3DChart>
      <c:catAx>
        <c:axId val="76533760"/>
        <c:scaling>
          <c:orientation val="minMax"/>
        </c:scaling>
        <c:axPos val="b"/>
        <c:tickLblPos val="nextTo"/>
        <c:crossAx val="76536064"/>
        <c:crosses val="autoZero"/>
        <c:auto val="1"/>
        <c:lblAlgn val="ctr"/>
        <c:lblOffset val="100"/>
      </c:catAx>
      <c:valAx>
        <c:axId val="76536064"/>
        <c:scaling>
          <c:orientation val="minMax"/>
        </c:scaling>
        <c:axPos val="l"/>
        <c:majorGridlines/>
        <c:numFmt formatCode="General" sourceLinked="1"/>
        <c:tickLblPos val="nextTo"/>
        <c:crossAx val="76533760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1600"/>
                      <a:t>63%</a:t>
                    </a:r>
                  </a:p>
                </c:rich>
              </c:tx>
              <c:showPercent val="1"/>
            </c:dLbl>
            <c:dLbl>
              <c:idx val="1"/>
              <c:layout>
                <c:manualLayout>
                  <c:x val="7.3607781380268703E-2"/>
                  <c:y val="0.13065527825970893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35%</a:t>
                    </a:r>
                  </a:p>
                </c:rich>
              </c:tx>
              <c:showPercent val="1"/>
            </c:dLbl>
            <c:dLbl>
              <c:idx val="2"/>
              <c:layout>
                <c:manualLayout>
                  <c:x val="-2.2637640883124682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2%</a:t>
                    </a:r>
                  </a:p>
                </c:rich>
              </c:tx>
              <c:showPercent val="1"/>
            </c:dLbl>
            <c:txPr>
              <a:bodyPr/>
              <a:lstStyle/>
              <a:p>
                <a:pPr>
                  <a:defRPr sz="2400" b="1"/>
                </a:pPr>
                <a:endParaRPr lang="en-US"/>
              </a:p>
            </c:txPr>
            <c:showPercent val="1"/>
          </c:dLbls>
          <c:cat>
            <c:strRef>
              <c:f>'Î 6'!$B$3:$B$5</c:f>
              <c:strCache>
                <c:ptCount val="3"/>
                <c:pt idx="0">
                  <c:v>in mare masura</c:v>
                </c:pt>
                <c:pt idx="1">
                  <c:v>intr-o oarecare masura</c:v>
                </c:pt>
                <c:pt idx="2">
                  <c:v>in mica masura</c:v>
                </c:pt>
              </c:strCache>
            </c:strRef>
          </c:cat>
          <c:val>
            <c:numRef>
              <c:f>'Î 6'!$C$3:$C$5</c:f>
              <c:numCache>
                <c:formatCode>General</c:formatCode>
                <c:ptCount val="3"/>
                <c:pt idx="0">
                  <c:v>65</c:v>
                </c:pt>
                <c:pt idx="1">
                  <c:v>36</c:v>
                </c:pt>
                <c:pt idx="2">
                  <c:v>2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r>
                      <a:rPr lang="ro-RO"/>
                      <a:t>1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ro-RO"/>
                      <a:t>2</a:t>
                    </a:r>
                    <a:endParaRPr lang="en-US"/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ro-RO"/>
                      <a:t>4</a:t>
                    </a:r>
                    <a:endParaRPr lang="en-US"/>
                  </a:p>
                </c:rich>
              </c:tx>
              <c:showVal val="1"/>
            </c:dLbl>
            <c:dLbl>
              <c:idx val="6"/>
              <c:tx>
                <c:rich>
                  <a:bodyPr/>
                  <a:lstStyle/>
                  <a:p>
                    <a:r>
                      <a:rPr lang="ro-RO"/>
                      <a:t>3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600" b="1"/>
                </a:pPr>
                <a:endParaRPr lang="en-US"/>
              </a:p>
            </c:txPr>
            <c:showVal val="1"/>
          </c:dLbls>
          <c:cat>
            <c:strRef>
              <c:f>'Î 7'!$B$3:$B$9</c:f>
              <c:strCache>
                <c:ptCount val="7"/>
                <c:pt idx="0">
                  <c:v>Tematica de curs</c:v>
                </c:pt>
                <c:pt idx="1">
                  <c:v>Nevoile individuale de dezvoltare profesională</c:v>
                </c:pt>
                <c:pt idx="2">
                  <c:v>Modalitatea de certificare (atestat cu credite, adeverinţă etc.)</c:v>
                </c:pt>
                <c:pt idx="3">
                  <c:v>Reputaţia formatorului/formatorilor</c:v>
                </c:pt>
                <c:pt idx="4">
                  <c:v>Posibilitatea parcurgerii individuale a unor secvenţe din program</c:v>
                </c:pt>
                <c:pt idx="5">
                  <c:v>Cuantumul taxei de curs</c:v>
                </c:pt>
                <c:pt idx="6">
                  <c:v>Tipul furnizorului de formare (universitate, CCD, ONG etc.)</c:v>
                </c:pt>
              </c:strCache>
            </c:strRef>
          </c:cat>
          <c:val>
            <c:numRef>
              <c:f>'Î 7'!$C$3:$C$9</c:f>
              <c:numCache>
                <c:formatCode>General</c:formatCode>
                <c:ptCount val="7"/>
                <c:pt idx="0">
                  <c:v>35</c:v>
                </c:pt>
                <c:pt idx="1">
                  <c:v>58</c:v>
                </c:pt>
                <c:pt idx="2">
                  <c:v>9</c:v>
                </c:pt>
                <c:pt idx="3">
                  <c:v>0</c:v>
                </c:pt>
                <c:pt idx="4">
                  <c:v>1</c:v>
                </c:pt>
                <c:pt idx="5">
                  <c:v>5</c:v>
                </c:pt>
                <c:pt idx="6">
                  <c:v>4</c:v>
                </c:pt>
              </c:numCache>
            </c:numRef>
          </c:val>
        </c:ser>
        <c:dLbls>
          <c:showVal val="1"/>
        </c:dLbls>
        <c:shape val="cylinder"/>
        <c:axId val="78568064"/>
        <c:axId val="79374208"/>
        <c:axId val="0"/>
      </c:bar3DChart>
      <c:catAx>
        <c:axId val="78568064"/>
        <c:scaling>
          <c:orientation val="minMax"/>
        </c:scaling>
        <c:axPos val="b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79374208"/>
        <c:crosses val="autoZero"/>
        <c:auto val="1"/>
        <c:lblAlgn val="ctr"/>
        <c:lblOffset val="100"/>
      </c:catAx>
      <c:valAx>
        <c:axId val="79374208"/>
        <c:scaling>
          <c:orientation val="minMax"/>
        </c:scaling>
        <c:axPos val="l"/>
        <c:majorGridlines/>
        <c:numFmt formatCode="General" sourceLinked="1"/>
        <c:tickLblPos val="nextTo"/>
        <c:crossAx val="78568064"/>
        <c:crosses val="autoZero"/>
        <c:crossBetween val="between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dLbls>
            <c:delete val="1"/>
          </c:dLbls>
          <c:cat>
            <c:strRef>
              <c:f>'Î 9'!$B$3:$B$6</c:f>
              <c:strCache>
                <c:ptCount val="4"/>
                <c:pt idx="0">
                  <c:v>De la responsabilul cu formarea continuă</c:v>
                </c:pt>
                <c:pt idx="1">
                  <c:v>De la conducerea unităţii de învăţământ</c:v>
                </c:pt>
                <c:pt idx="2">
                  <c:v>De pe site-ul CCD Deva</c:v>
                </c:pt>
                <c:pt idx="3">
                  <c:v>De la alţi colegi</c:v>
                </c:pt>
              </c:strCache>
            </c:strRef>
          </c:cat>
          <c:val>
            <c:numRef>
              <c:f>'Î 9'!$C$3:$C$6</c:f>
              <c:numCache>
                <c:formatCode>General</c:formatCode>
                <c:ptCount val="4"/>
                <c:pt idx="0">
                  <c:v>76</c:v>
                </c:pt>
                <c:pt idx="1">
                  <c:v>14</c:v>
                </c:pt>
                <c:pt idx="2">
                  <c:v>25</c:v>
                </c:pt>
                <c:pt idx="3">
                  <c:v>5</c:v>
                </c:pt>
              </c:numCache>
            </c:numRef>
          </c:val>
        </c:ser>
        <c:dLbls>
          <c:showVal val="1"/>
        </c:dLbls>
        <c:shape val="cone"/>
        <c:axId val="81326080"/>
        <c:axId val="81482880"/>
        <c:axId val="0"/>
      </c:bar3DChart>
      <c:catAx>
        <c:axId val="81326080"/>
        <c:scaling>
          <c:orientation val="minMax"/>
        </c:scaling>
        <c:axPos val="b"/>
        <c:tickLblPos val="nextTo"/>
        <c:crossAx val="81482880"/>
        <c:crosses val="autoZero"/>
        <c:auto val="1"/>
        <c:lblAlgn val="ctr"/>
        <c:lblOffset val="100"/>
      </c:catAx>
      <c:valAx>
        <c:axId val="81482880"/>
        <c:scaling>
          <c:orientation val="minMax"/>
        </c:scaling>
        <c:axPos val="l"/>
        <c:majorGridlines/>
        <c:numFmt formatCode="General" sourceLinked="1"/>
        <c:tickLblPos val="nextTo"/>
        <c:crossAx val="81326080"/>
        <c:crosses val="autoZero"/>
        <c:crossBetween val="between"/>
      </c:valAx>
    </c:plotArea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0.17522190947850969"/>
                  <c:y val="2.0200867748674304E-2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44%</a:t>
                    </a:r>
                  </a:p>
                </c:rich>
              </c:tx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600"/>
                      <a:t>45%</a:t>
                    </a:r>
                  </a:p>
                </c:rich>
              </c:tx>
              <c:showPercent val="1"/>
            </c:dLbl>
            <c:dLbl>
              <c:idx val="2"/>
              <c:layout>
                <c:manualLayout>
                  <c:x val="-3.4327977102409736E-2"/>
                  <c:y val="8.1632653061224497E-2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6%</a:t>
                    </a:r>
                  </a:p>
                </c:rich>
              </c:tx>
              <c:showPercent val="1"/>
            </c:dLbl>
            <c:dLbl>
              <c:idx val="3"/>
              <c:layout>
                <c:manualLayout>
                  <c:x val="7.8006199451312961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3%</a:t>
                    </a:r>
                  </a:p>
                </c:rich>
              </c:tx>
              <c:showPercent val="1"/>
            </c:dLbl>
            <c:dLbl>
              <c:idx val="4"/>
              <c:layout>
                <c:manualLayout>
                  <c:x val="5.2534174178453935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2%</a:t>
                    </a:r>
                  </a:p>
                </c:rich>
              </c:tx>
              <c:showPercent val="1"/>
            </c:dLbl>
            <c:txPr>
              <a:bodyPr/>
              <a:lstStyle/>
              <a:p>
                <a:pPr>
                  <a:defRPr sz="2400" b="1"/>
                </a:pPr>
                <a:endParaRPr lang="en-US"/>
              </a:p>
            </c:txPr>
            <c:showPercent val="1"/>
          </c:dLbls>
          <c:cat>
            <c:strRef>
              <c:f>'Î 10'!$B$3:$B$7</c:f>
              <c:strCache>
                <c:ptCount val="5"/>
                <c:pt idx="0">
                  <c:v>in mare masura</c:v>
                </c:pt>
                <c:pt idx="1">
                  <c:v>intr-o oarecare masura</c:v>
                </c:pt>
                <c:pt idx="2">
                  <c:v>in mica masura</c:v>
                </c:pt>
                <c:pt idx="3">
                  <c:v>deloc</c:v>
                </c:pt>
                <c:pt idx="4">
                  <c:v>non-raspuns</c:v>
                </c:pt>
              </c:strCache>
            </c:strRef>
          </c:cat>
          <c:val>
            <c:numRef>
              <c:f>'Î 10'!$C$3:$C$7</c:f>
              <c:numCache>
                <c:formatCode>General</c:formatCode>
                <c:ptCount val="5"/>
                <c:pt idx="0">
                  <c:v>45</c:v>
                </c:pt>
                <c:pt idx="1">
                  <c:v>47</c:v>
                </c:pt>
                <c:pt idx="2">
                  <c:v>6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6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Percent val="1"/>
          </c:dLbls>
          <c:cat>
            <c:strRef>
              <c:f>'Î 11'!$B$3:$B$6</c:f>
              <c:strCache>
                <c:ptCount val="4"/>
                <c:pt idx="0">
                  <c:v>Formare directă</c:v>
                </c:pt>
                <c:pt idx="1">
                  <c:v>Formare individuală</c:v>
                </c:pt>
                <c:pt idx="2">
                  <c:v>Formare la distanţă</c:v>
                </c:pt>
                <c:pt idx="3">
                  <c:v>Combinarea sesiunilor</c:v>
                </c:pt>
              </c:strCache>
            </c:strRef>
          </c:cat>
          <c:val>
            <c:numRef>
              <c:f>'Î 11'!$C$3:$C$6</c:f>
              <c:numCache>
                <c:formatCode>General</c:formatCode>
                <c:ptCount val="4"/>
                <c:pt idx="0">
                  <c:v>39</c:v>
                </c:pt>
                <c:pt idx="1">
                  <c:v>17</c:v>
                </c:pt>
                <c:pt idx="2">
                  <c:v>9</c:v>
                </c:pt>
                <c:pt idx="3">
                  <c:v>36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6.7932684884977764E-5"/>
          <c:y val="7.9667015871943095E-2"/>
          <c:w val="0.72871461821989336"/>
          <c:h val="0.73766167641062108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8.012706047727312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1600"/>
                      <a:t>2%</a:t>
                    </a:r>
                  </a:p>
                </c:rich>
              </c:tx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600"/>
                      <a:t>27%</a:t>
                    </a:r>
                  </a:p>
                </c:rich>
              </c:tx>
              <c:showPercent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1600"/>
                      <a:t>71%</a:t>
                    </a:r>
                  </a:p>
                </c:rich>
              </c:tx>
              <c:showPercent val="1"/>
            </c:dLbl>
            <c:txPr>
              <a:bodyPr/>
              <a:lstStyle/>
              <a:p>
                <a:pPr>
                  <a:defRPr sz="2400" b="1"/>
                </a:pPr>
                <a:endParaRPr lang="en-US"/>
              </a:p>
            </c:txPr>
            <c:showPercent val="1"/>
          </c:dLbls>
          <c:cat>
            <c:strRef>
              <c:f>'Î 14'!$B$3:$B$5</c:f>
              <c:strCache>
                <c:ptCount val="3"/>
                <c:pt idx="0">
                  <c:v>teoretice</c:v>
                </c:pt>
                <c:pt idx="1">
                  <c:v>practice</c:v>
                </c:pt>
                <c:pt idx="2">
                  <c:v>mixte</c:v>
                </c:pt>
              </c:strCache>
            </c:strRef>
          </c:cat>
          <c:val>
            <c:numRef>
              <c:f>'Î 14'!$C$3:$C$5</c:f>
              <c:numCache>
                <c:formatCode>General</c:formatCode>
                <c:ptCount val="3"/>
                <c:pt idx="0">
                  <c:v>2</c:v>
                </c:pt>
                <c:pt idx="1">
                  <c:v>28</c:v>
                </c:pt>
                <c:pt idx="2">
                  <c:v>73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  <c:dispBlanksAs val="zero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dLbls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showVal val="1"/>
          </c:dLbls>
          <c:cat>
            <c:strRef>
              <c:f>'Î 15'!$B$3:$B$16</c:f>
              <c:strCache>
                <c:ptCount val="14"/>
                <c:pt idx="0">
                  <c:v>Abilitare curriculară pentru disciplina predată</c:v>
                </c:pt>
                <c:pt idx="1">
                  <c:v>Metodologia procesului de predare-învăţare</c:v>
                </c:pt>
                <c:pt idx="2">
                  <c:v>Evaluarea în procesul de învățământ</c:v>
                </c:pt>
                <c:pt idx="3">
                  <c:v>Comunicarea didactică/educaţională</c:v>
                </c:pt>
                <c:pt idx="4">
                  <c:v>Managementul clasei de elevi; managementul situațiilor conflictuale</c:v>
                </c:pt>
                <c:pt idx="5">
                  <c:v>Tehnologia informaţiei şi a comunicării (TIC)</c:v>
                </c:pt>
                <c:pt idx="6">
                  <c:v>Educație incluzivă/ integrarea elevilor cu cerinţe educative speciale</c:v>
                </c:pt>
                <c:pt idx="7">
                  <c:v>Învăţarea prin cooperare</c:v>
                </c:pt>
                <c:pt idx="8">
                  <c:v>Management educaţional şi al unităţii de învăţământ</c:v>
                </c:pt>
                <c:pt idx="9">
                  <c:v>Consiliere şi orientare şcolară şi profesională</c:v>
                </c:pt>
                <c:pt idx="10">
                  <c:v>Managementul proiectelor educaționale/ internationale</c:v>
                </c:pt>
                <c:pt idx="11">
                  <c:v>Educarea afectivităţii şi a inteligenţei emoţionale</c:v>
                </c:pt>
                <c:pt idx="12">
                  <c:v>Stimularea motivaţiei elevilor pentru învăţare</c:v>
                </c:pt>
                <c:pt idx="13">
                  <c:v>Educaţia prin şi pentru cultură</c:v>
                </c:pt>
              </c:strCache>
            </c:strRef>
          </c:cat>
          <c:val>
            <c:numRef>
              <c:f>'Î 15'!$C$3:$C$16</c:f>
              <c:numCache>
                <c:formatCode>General</c:formatCode>
                <c:ptCount val="14"/>
                <c:pt idx="0">
                  <c:v>27</c:v>
                </c:pt>
                <c:pt idx="1">
                  <c:v>14</c:v>
                </c:pt>
                <c:pt idx="2">
                  <c:v>18</c:v>
                </c:pt>
                <c:pt idx="3">
                  <c:v>21</c:v>
                </c:pt>
                <c:pt idx="4">
                  <c:v>29</c:v>
                </c:pt>
                <c:pt idx="5">
                  <c:v>31</c:v>
                </c:pt>
                <c:pt idx="6">
                  <c:v>28</c:v>
                </c:pt>
                <c:pt idx="7">
                  <c:v>1</c:v>
                </c:pt>
                <c:pt idx="8">
                  <c:v>20</c:v>
                </c:pt>
                <c:pt idx="9">
                  <c:v>17</c:v>
                </c:pt>
                <c:pt idx="10">
                  <c:v>17</c:v>
                </c:pt>
                <c:pt idx="11">
                  <c:v>44</c:v>
                </c:pt>
                <c:pt idx="12">
                  <c:v>21</c:v>
                </c:pt>
                <c:pt idx="13">
                  <c:v>52</c:v>
                </c:pt>
              </c:numCache>
            </c:numRef>
          </c:val>
        </c:ser>
        <c:dLbls>
          <c:showVal val="1"/>
        </c:dLbls>
        <c:shape val="cylinder"/>
        <c:axId val="80140928"/>
        <c:axId val="80609664"/>
        <c:axId val="0"/>
      </c:bar3DChart>
      <c:catAx>
        <c:axId val="80140928"/>
        <c:scaling>
          <c:orientation val="minMax"/>
        </c:scaling>
        <c:delete val="1"/>
        <c:axPos val="b"/>
        <c:tickLblPos val="none"/>
        <c:crossAx val="80609664"/>
        <c:crosses val="autoZero"/>
        <c:auto val="1"/>
        <c:lblAlgn val="ctr"/>
        <c:lblOffset val="100"/>
      </c:catAx>
      <c:valAx>
        <c:axId val="80609664"/>
        <c:scaling>
          <c:orientation val="minMax"/>
        </c:scaling>
        <c:axPos val="l"/>
        <c:majorGridlines/>
        <c:numFmt formatCode="General" sourceLinked="1"/>
        <c:tickLblPos val="nextTo"/>
        <c:crossAx val="80140928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ccd deva</Company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lugojan alexandru</dc:creator>
  <cp:lastModifiedBy>ccd</cp:lastModifiedBy>
  <cp:revision>3</cp:revision>
  <dcterms:created xsi:type="dcterms:W3CDTF">2013-01-17T09:57:00Z</dcterms:created>
  <dcterms:modified xsi:type="dcterms:W3CDTF">2013-01-17T10:39:00Z</dcterms:modified>
</cp:coreProperties>
</file>