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</w:pPr>
      <w:r>
        <w:rPr/>
        <w:drawing>
          <wp:inline distB="0" distL="0" distR="0" distT="0">
            <wp:extent cx="5943600" cy="1303655"/>
            <wp:effectExtent b="0" l="0" r="0" t="0"/>
            <wp:docPr descr="" id="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03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</w:pPr>
      <w:r>
        <w:rPr>
          <w:rFonts w:ascii="Times New Roman" w:cs="Times New Roman" w:eastAsia="Calibri" w:hAnsi="Times New Roman"/>
        </w:rPr>
        <w:t xml:space="preserve">Nr. </w:t>
      </w:r>
      <w:r>
        <w:rPr>
          <w:rFonts w:ascii="Times New Roman" w:cs="Times New Roman" w:eastAsia="Calibri" w:hAnsi="Times New Roman"/>
        </w:rPr>
        <w:t>3336/12.05.2014</w:t>
      </w:r>
    </w:p>
    <w:p>
      <w:pPr>
        <w:pStyle w:val="style0"/>
      </w:pPr>
      <w:r>
        <w:rPr>
          <w:rFonts w:ascii="Times New Roman" w:cs="Times New Roman" w:eastAsia="Calibri" w:hAnsi="Times New Roman"/>
        </w:rPr>
      </w:r>
    </w:p>
    <w:p>
      <w:pPr>
        <w:pStyle w:val="style0"/>
        <w:jc w:val="center"/>
      </w:pPr>
      <w:r>
        <w:rPr>
          <w:rFonts w:ascii="Times New Roman" w:cs="Times New Roman" w:eastAsia="Calibri" w:hAnsi="Times New Roman"/>
          <w:b/>
          <w:sz w:val="28"/>
          <w:szCs w:val="28"/>
          <w:lang w:val="en-US"/>
        </w:rPr>
        <w:t xml:space="preserve">INFORMARE </w:t>
      </w:r>
    </w:p>
    <w:p>
      <w:pPr>
        <w:pStyle w:val="style0"/>
        <w:jc w:val="center"/>
      </w:pPr>
      <w:r>
        <w:rPr>
          <w:rFonts w:ascii="Times New Roman" w:cs="Times New Roman" w:eastAsia="Calibri" w:hAnsi="Times New Roman"/>
          <w:b/>
          <w:sz w:val="24"/>
          <w:szCs w:val="24"/>
          <w:lang w:val="en-US"/>
        </w:rPr>
        <w:t xml:space="preserve">Privind acțíunile derulate </w:t>
      </w:r>
      <w:r>
        <w:rPr>
          <w:rFonts w:ascii="Times New Roman" w:cs="Times New Roman" w:eastAsia="Calibri" w:hAnsi="Times New Roman"/>
          <w:b/>
          <w:sz w:val="24"/>
          <w:szCs w:val="24"/>
        </w:rPr>
        <w:t xml:space="preserve">în vederea </w:t>
      </w:r>
      <w:r>
        <w:rPr>
          <w:rFonts w:ascii="Times New Roman" w:cs="Times New Roman" w:eastAsia="Calibri" w:hAnsi="Times New Roman"/>
          <w:b/>
          <w:sz w:val="24"/>
          <w:szCs w:val="24"/>
          <w:lang w:val="en-US"/>
        </w:rPr>
        <w:t>promov</w:t>
      </w:r>
      <w:r>
        <w:rPr>
          <w:rFonts w:ascii="Times New Roman" w:cs="Times New Roman" w:eastAsia="Calibri" w:hAnsi="Times New Roman"/>
          <w:b/>
          <w:sz w:val="24"/>
          <w:szCs w:val="24"/>
        </w:rPr>
        <w:t xml:space="preserve">ării </w:t>
      </w:r>
      <w:r>
        <w:rPr>
          <w:rFonts w:ascii="Times New Roman" w:cs="Times New Roman" w:eastAsia="Calibri" w:hAnsi="Times New Roman"/>
          <w:b/>
          <w:sz w:val="24"/>
          <w:szCs w:val="24"/>
          <w:lang w:val="en-US"/>
        </w:rPr>
        <w:t xml:space="preserve"> învățământului profesional cu durata de</w:t>
      </w:r>
    </w:p>
    <w:p>
      <w:pPr>
        <w:pStyle w:val="style0"/>
        <w:jc w:val="center"/>
      </w:pPr>
      <w:r>
        <w:rPr>
          <w:rFonts w:ascii="Times New Roman" w:cs="Times New Roman" w:eastAsia="Calibri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cs="Times New Roman" w:eastAsia="Calibri" w:hAnsi="Times New Roman"/>
          <w:b/>
          <w:sz w:val="24"/>
          <w:szCs w:val="24"/>
          <w:lang w:val="en-US"/>
        </w:rPr>
        <w:t>2 și 3 ani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  <w:lang w:val="en-US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b/>
          <w:sz w:val="24"/>
          <w:szCs w:val="24"/>
          <w:lang w:val="en-US"/>
        </w:rPr>
        <w:t>Obiectivele acestei acţiuni au fost: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  <w:lang w:val="en-US"/>
        </w:rPr>
        <w:t>1. Informarea elevilor cu privire la modul de organizare şi funcţionare a învăţământului profesional, respectiv a oportunitatilor de acces pe care le ofera invatamantul profesional pe piaţa muncii;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</w:rPr>
        <w:t>2.Diseminarea în rândul elevilor – beneficiarii acestei forme de pregătire profesională –                   oferta locală a învăţământului profesional per domenii şi calificări profesionale;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  <w:lang w:val="en-US"/>
        </w:rPr>
        <w:t xml:space="preserve">3.Organizarea de activităţi extracurriculare de promovare a ofertei educaţionale în domeniul profesional la nivel local, în vederea creşterii gradului de atractivitate a elevilor pentru calificări profesionale care oferă acces pe piaţa muncii. </w:t>
      </w:r>
    </w:p>
    <w:p>
      <w:pPr>
        <w:pStyle w:val="style0"/>
        <w:tabs>
          <w:tab w:leader="none" w:pos="432" w:val="left"/>
        </w:tabs>
        <w:spacing w:after="0" w:before="0" w:line="100" w:lineRule="atLeast"/>
        <w:contextualSpacing w:val="false"/>
        <w:jc w:val="both"/>
      </w:pPr>
      <w:r>
        <w:rPr>
          <w:rFonts w:ascii="Times New Roman" w:cs="Times New Roman" w:eastAsia="Calibri" w:hAnsi="Times New Roman"/>
          <w:b/>
          <w:sz w:val="24"/>
          <w:szCs w:val="24"/>
          <w:lang w:val="en-US"/>
        </w:rPr>
        <w:t xml:space="preserve">        </w:t>
      </w:r>
      <w:r>
        <w:rPr>
          <w:rFonts w:ascii="Times New Roman" w:cs="Times New Roman" w:eastAsia="Calibri" w:hAnsi="Times New Roman"/>
          <w:sz w:val="24"/>
          <w:szCs w:val="24"/>
          <w:lang w:val="en-US"/>
        </w:rPr>
        <w:t>Actiunea de promovare a învățământului profesional cu durata de 2 și 3 ani a debutat cu întâlnirea de lucru a cadrelor didactice pentru organizarea acţiunii “Ziua porților deschise”.La această întâlnire s- au diseminat:</w:t>
      </w:r>
    </w:p>
    <w:p>
      <w:pPr>
        <w:pStyle w:val="style0"/>
        <w:numPr>
          <w:ilvl w:val="0"/>
          <w:numId w:val="1"/>
        </w:numPr>
        <w:tabs>
          <w:tab w:leader="none" w:pos="432" w:val="left"/>
        </w:tabs>
        <w:spacing w:after="0" w:before="0" w:line="100" w:lineRule="atLeast"/>
        <w:contextualSpacing/>
        <w:jc w:val="both"/>
      </w:pPr>
      <w:r>
        <w:rPr>
          <w:rFonts w:ascii="Times New Roman" w:cs="Times New Roman" w:eastAsia="Calibri" w:hAnsi="Times New Roman"/>
          <w:sz w:val="24"/>
          <w:szCs w:val="24"/>
          <w:lang w:val="en-US"/>
        </w:rPr>
        <w:t xml:space="preserve">metodologia privind organizarea şi funcţionarea învăţământului profesional de stat cu durata de 3 ani începând cu anul școlar 2014-2015 (OMEN nr 3136/20.02.2014); </w:t>
      </w:r>
    </w:p>
    <w:p>
      <w:pPr>
        <w:pStyle w:val="style0"/>
        <w:numPr>
          <w:ilvl w:val="0"/>
          <w:numId w:val="1"/>
        </w:numPr>
        <w:tabs>
          <w:tab w:leader="none" w:pos="432" w:val="left"/>
        </w:tabs>
        <w:spacing w:after="0" w:before="0" w:line="100" w:lineRule="atLeast"/>
        <w:contextualSpacing/>
        <w:jc w:val="both"/>
      </w:pPr>
      <w:r>
        <w:rPr>
          <w:rFonts w:ascii="Times New Roman" w:hAnsi="Times New Roman"/>
          <w:sz w:val="24"/>
          <w:szCs w:val="24"/>
        </w:rPr>
        <w:t>metodologia privind organizarea şi funcţionarea învăţământului profesional de stat cu durata de  2 ani pentru anul şcolar 2014-2015 (OMECTS nr 3168/03.02.2012);</w:t>
      </w:r>
    </w:p>
    <w:p>
      <w:pPr>
        <w:pStyle w:val="style0"/>
        <w:numPr>
          <w:ilvl w:val="0"/>
          <w:numId w:val="1"/>
        </w:numPr>
        <w:tabs>
          <w:tab w:leader="none" w:pos="432" w:val="left"/>
        </w:tabs>
        <w:spacing w:after="0" w:before="0" w:line="100" w:lineRule="atLeast"/>
        <w:contextualSpacing/>
        <w:jc w:val="both"/>
      </w:pPr>
      <w:r>
        <w:rPr>
          <w:rFonts w:ascii="Times New Roman" w:cs="Times New Roman" w:eastAsia="Calibri" w:hAnsi="Times New Roman"/>
          <w:sz w:val="24"/>
          <w:szCs w:val="24"/>
          <w:lang w:val="en-US"/>
        </w:rPr>
        <w:t>metodologiei de admitere în învățământul profesional de stat cu durata de 2 și 3 ani,</w:t>
      </w:r>
    </w:p>
    <w:p>
      <w:pPr>
        <w:pStyle w:val="style0"/>
        <w:numPr>
          <w:ilvl w:val="0"/>
          <w:numId w:val="1"/>
        </w:numPr>
        <w:tabs>
          <w:tab w:leader="none" w:pos="432" w:val="left"/>
        </w:tabs>
        <w:spacing w:after="0" w:before="0" w:line="100" w:lineRule="atLeast"/>
        <w:contextualSpacing/>
        <w:jc w:val="both"/>
      </w:pPr>
      <w:r>
        <w:rPr>
          <w:rFonts w:ascii="Times New Roman" w:cs="Times New Roman" w:eastAsia="Calibri" w:hAnsi="Times New Roman"/>
          <w:sz w:val="24"/>
          <w:szCs w:val="24"/>
          <w:lang w:val="en-US"/>
        </w:rPr>
        <w:t>calendarului admiterii în învăţământului profesional de stat cu durata 2 și 3 ani, pentru anul școlar 2014-2015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  <w:lang w:val="en-US"/>
        </w:rPr>
        <w:t xml:space="preserve">      </w:t>
      </w:r>
      <w:r>
        <w:rPr>
          <w:rFonts w:ascii="Times New Roman" w:cs="Times New Roman" w:eastAsia="Calibri" w:hAnsi="Times New Roman"/>
          <w:sz w:val="24"/>
          <w:szCs w:val="24"/>
          <w:lang w:val="en-US"/>
        </w:rPr>
        <w:t>-  prezentarea ofertei educaţionale detaliate pe domenii şi calificări profesionale, sub rezerva aprobării ulterioare a cifrei de şcolarizare (prin Hotărâre a Guvernului);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  <w:lang w:val="en-US"/>
        </w:rPr>
        <w:t xml:space="preserve">     </w:t>
      </w:r>
      <w:r>
        <w:rPr>
          <w:rFonts w:ascii="Times New Roman" w:cs="Times New Roman" w:eastAsia="Calibri" w:hAnsi="Times New Roman"/>
          <w:sz w:val="24"/>
          <w:szCs w:val="24"/>
          <w:lang w:val="en-US"/>
        </w:rPr>
        <w:t>- prezentarea operatorilor economici / instituţiilor publice partenere cu care unitatea de învăţământ a încheiat parteneriate (contracte-cadru) corespunzătoare nevoilor de formare profesională prin învăţământul profesional.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  <w:lang w:val="en-US"/>
        </w:rPr>
        <w:t xml:space="preserve">     </w:t>
      </w:r>
      <w:r>
        <w:rPr>
          <w:rFonts w:ascii="Times New Roman" w:cs="Times New Roman" w:eastAsia="Calibri" w:hAnsi="Times New Roman"/>
          <w:sz w:val="24"/>
          <w:szCs w:val="24"/>
          <w:lang w:val="en-US"/>
        </w:rPr>
        <w:t>- La întâlnirea de lucru au participat atât cadre didactice cât şi reprezentanţii operatorului economic ,domnul</w:t>
      </w:r>
      <w:r>
        <w:rPr>
          <w:rFonts w:ascii="Times New Roman" w:cs="Times New Roman" w:eastAsia="Calibri" w:hAnsi="Times New Roman"/>
          <w:b/>
          <w:sz w:val="24"/>
          <w:szCs w:val="24"/>
          <w:lang w:val="en-US"/>
        </w:rPr>
        <w:t xml:space="preserve"> Suciu Adrian </w:t>
      </w:r>
      <w:r>
        <w:rPr>
          <w:rFonts w:ascii="Times New Roman" w:cs="Times New Roman" w:eastAsia="Calibri" w:hAnsi="Times New Roman"/>
          <w:sz w:val="24"/>
          <w:szCs w:val="24"/>
          <w:lang w:val="en-US"/>
        </w:rPr>
        <w:t xml:space="preserve">administrator la </w:t>
      </w:r>
      <w:r>
        <w:rPr>
          <w:rFonts w:ascii="Times New Roman" w:cs="Times New Roman" w:eastAsia="Calibri" w:hAnsi="Times New Roman"/>
          <w:b/>
          <w:sz w:val="24"/>
          <w:szCs w:val="24"/>
          <w:lang w:val="en-US"/>
        </w:rPr>
        <w:t xml:space="preserve">S.C.Masa Adrigela S.R.L. Petroșani </w:t>
      </w:r>
      <w:r>
        <w:rPr>
          <w:rFonts w:ascii="Times New Roman" w:cs="Times New Roman" w:eastAsia="Calibri" w:hAnsi="Times New Roman"/>
          <w:b/>
          <w:sz w:val="24"/>
          <w:szCs w:val="24"/>
        </w:rPr>
        <w:t xml:space="preserve">şi </w:t>
      </w:r>
      <w:r>
        <w:rPr>
          <w:rFonts w:ascii="Times New Roman" w:cs="Times New Roman" w:eastAsia="Calibri" w:hAnsi="Times New Roman"/>
          <w:sz w:val="24"/>
          <w:szCs w:val="24"/>
        </w:rPr>
        <w:t xml:space="preserve">domnul </w:t>
      </w:r>
      <w:r>
        <w:rPr>
          <w:rFonts w:ascii="Times New Roman" w:cs="Times New Roman" w:eastAsia="Calibri" w:hAnsi="Times New Roman"/>
          <w:b/>
          <w:sz w:val="24"/>
          <w:szCs w:val="24"/>
        </w:rPr>
        <w:t>Feher Cosmin Adalbert</w:t>
      </w:r>
      <w:r>
        <w:rPr>
          <w:rFonts w:ascii="Times New Roman" w:cs="Times New Roman" w:eastAsia="Calibri" w:hAnsi="Times New Roman"/>
          <w:sz w:val="24"/>
          <w:szCs w:val="24"/>
        </w:rPr>
        <w:t xml:space="preserve"> director </w:t>
      </w:r>
      <w:r>
        <w:rPr>
          <w:rFonts w:ascii="Times New Roman" w:cs="Times New Roman" w:eastAsia="Calibri" w:hAnsi="Times New Roman"/>
          <w:b/>
          <w:sz w:val="24"/>
          <w:szCs w:val="24"/>
        </w:rPr>
        <w:t>S.C Rewe România- Filiala Penny Market Petrila</w:t>
      </w:r>
      <w:r>
        <w:rPr>
          <w:rFonts w:ascii="Times New Roman" w:cs="Times New Roman" w:eastAsia="Calibri" w:hAnsi="Times New Roman"/>
          <w:sz w:val="24"/>
          <w:szCs w:val="24"/>
        </w:rPr>
        <w:t>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  <w:lang w:val="en-US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b/>
          <w:sz w:val="24"/>
          <w:szCs w:val="24"/>
          <w:lang w:val="en-US"/>
        </w:rPr>
        <w:t>Stabilirea direcţiilor de acţiune pentru promovarea ofertei educaţionale pe domenii şi calificări profesionale la nivelul unităţii de învăţământ</w:t>
      </w:r>
      <w:r>
        <w:rPr>
          <w:rFonts w:ascii="Times New Roman" w:cs="Times New Roman" w:eastAsia="Calibri" w:hAnsi="Times New Roman"/>
          <w:sz w:val="24"/>
          <w:szCs w:val="24"/>
          <w:lang w:val="en-US"/>
        </w:rPr>
        <w:t>: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  <w:lang w:val="en-US"/>
        </w:rPr>
        <w:t xml:space="preserve">- S-a afişat oferta în format detaliat pe domenii şi calificări profesionale în punctele cu vizibilitate din incinta şcolii; 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  <w:lang w:val="en-US"/>
        </w:rPr>
        <w:t>- S-a afișat procedura de admitere în învățământul profesional și tehnic precum și calendarul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  <w:lang w:val="en-US"/>
        </w:rPr>
        <w:t>admiterii în învăţământului profesional de stat cu durata de 2 și 3 ani, pentru anul școlar 2014-2015.</w:t>
      </w:r>
    </w:p>
    <w:p>
      <w:pPr>
        <w:pStyle w:val="style0"/>
        <w:spacing w:after="0" w:before="0" w:line="100" w:lineRule="atLeast"/>
        <w:contextualSpacing w:val="false"/>
      </w:pPr>
      <w:bookmarkStart w:id="0" w:name="_GoBack"/>
      <w:bookmarkStart w:id="1" w:name="_GoBack"/>
      <w:bookmarkEnd w:id="1"/>
      <w:r>
        <w:rPr>
          <w:rFonts w:ascii="Times New Roman" w:cs="Times New Roman" w:eastAsia="Calibri" w:hAnsi="Times New Roman"/>
          <w:sz w:val="24"/>
          <w:szCs w:val="24"/>
          <w:lang w:val="en-US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b/>
          <w:sz w:val="24"/>
          <w:szCs w:val="24"/>
          <w:lang w:val="it-IT"/>
        </w:rPr>
        <w:t>II. Activităţi desfăşurate: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  <w:lang w:val="it-IT"/>
        </w:rPr>
        <w:t xml:space="preserve">1. S- au organizat sesiuni (interactive: întrebări-răspunsuri) adresată tuturor elevilor claselor a  VIII-a și a IX-a indiferent de filieră sau profil,  de prezentare a ofertei locale a învăţământului profesional, inclusiv a modului de organizare şi funcţionare a  învăţământului profesional: 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  <w:lang w:val="it-IT"/>
        </w:rPr>
        <w:t xml:space="preserve">-structură şi durata studiilor – 2 respectiv 3ani,  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  <w:lang w:val="it-IT"/>
        </w:rPr>
        <w:t xml:space="preserve">-condiţii de acces, 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  <w:lang w:val="it-IT"/>
        </w:rPr>
        <w:t>-beneficii: calificări profesionale recunoscute la nivel UE pe piaţa muncii (calificare profesională recunoscută la nivelul UE),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  <w:lang w:val="it-IT"/>
        </w:rPr>
        <w:t xml:space="preserve">-forme de sprijin  financiar (din partea operatorilor economici, respectiv  prin programe naţionale de protecţie socială, după caz), 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  <w:lang w:val="it-IT"/>
        </w:rPr>
        <w:t>-posibilitatea de a lucra pe perioadă determinată (în condiţiile legii) pe parcursul vacanţelor, după încheierea stagiului de practică,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  <w:lang w:val="it-IT"/>
        </w:rPr>
        <w:t>-posibilitatea continu</w:t>
      </w:r>
      <w:r>
        <w:rPr>
          <w:rFonts w:ascii="Times New Roman" w:cs="Times New Roman" w:eastAsia="Calibri" w:hAnsi="Times New Roman"/>
          <w:sz w:val="24"/>
          <w:szCs w:val="24"/>
        </w:rPr>
        <w:t>ării</w:t>
      </w:r>
      <w:r>
        <w:rPr>
          <w:rFonts w:ascii="Times New Roman" w:cs="Times New Roman" w:eastAsia="Calibri" w:hAnsi="Times New Roman"/>
          <w:sz w:val="24"/>
          <w:szCs w:val="24"/>
          <w:lang w:val="it-IT"/>
        </w:rPr>
        <w:t xml:space="preserve"> studiilor în învăţământul liceal concomitent cu jobul dobândit.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  <w:lang w:val="it-IT"/>
        </w:rPr>
        <w:t xml:space="preserve">2.In data de 08.04.2014 a avut loc  acțiunea </w:t>
      </w:r>
      <w:r>
        <w:rPr>
          <w:rFonts w:ascii="Times New Roman" w:cs="Times New Roman" w:eastAsia="Calibri" w:hAnsi="Times New Roman"/>
          <w:b/>
          <w:sz w:val="24"/>
          <w:szCs w:val="24"/>
          <w:lang w:val="en-US"/>
        </w:rPr>
        <w:t>“Ziua porților deschise”</w:t>
      </w:r>
      <w:r>
        <w:rPr>
          <w:rFonts w:ascii="Times New Roman" w:cs="Times New Roman" w:eastAsia="Calibri" w:hAnsi="Times New Roman"/>
          <w:sz w:val="24"/>
          <w:szCs w:val="24"/>
          <w:lang w:val="en-US"/>
        </w:rPr>
        <w:t>când</w:t>
      </w:r>
      <w:r>
        <w:rPr>
          <w:rFonts w:ascii="Times New Roman" w:cs="Times New Roman" w:eastAsia="Calibri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cs="Times New Roman" w:eastAsia="Calibri" w:hAnsi="Times New Roman"/>
          <w:sz w:val="24"/>
          <w:szCs w:val="24"/>
          <w:lang w:val="en-US"/>
        </w:rPr>
        <w:t>un număr de 200 elevi</w:t>
      </w:r>
      <w:r>
        <w:rPr>
          <w:rFonts w:ascii="Times New Roman" w:cs="Times New Roman" w:eastAsia="Calibri" w:hAnsi="Times New Roman"/>
          <w:b/>
          <w:sz w:val="24"/>
          <w:szCs w:val="24"/>
          <w:lang w:val="en-US"/>
        </w:rPr>
        <w:t xml:space="preserve">  </w:t>
      </w:r>
      <w:r>
        <w:rPr>
          <w:rFonts w:ascii="Times New Roman" w:cs="Times New Roman" w:eastAsia="Calibri" w:hAnsi="Times New Roman"/>
          <w:sz w:val="24"/>
          <w:szCs w:val="24"/>
          <w:lang w:val="en-US"/>
        </w:rPr>
        <w:t>ai școlilor de pe raza orasului Petrila au vizitat Colegiul Tehnic Constantin Brîncuși luând contact direct cu mediul liceal.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  <w:lang w:val="it-IT"/>
        </w:rPr>
        <w:t>3. S-au organizat vizite şcolare cu elevii claselor a VIII-a și a IX-a  la</w:t>
      </w:r>
      <w:r>
        <w:rPr>
          <w:rFonts w:ascii="Times New Roman" w:cs="Times New Roman" w:eastAsia="Calibri" w:hAnsi="Times New Roman"/>
          <w:b/>
          <w:sz w:val="24"/>
          <w:szCs w:val="24"/>
          <w:lang w:val="en-US"/>
        </w:rPr>
        <w:t xml:space="preserve"> S.C.Masa Adrigela S.R.L. Petroșani</w:t>
      </w:r>
      <w:r>
        <w:rPr>
          <w:rFonts w:ascii="Times New Roman" w:cs="Times New Roman" w:eastAsia="Calibri" w:hAnsi="Times New Roman"/>
          <w:b/>
          <w:sz w:val="24"/>
          <w:szCs w:val="24"/>
          <w:lang w:val="it-IT"/>
        </w:rPr>
        <w:t xml:space="preserve"> și la </w:t>
      </w:r>
      <w:r>
        <w:rPr>
          <w:rFonts w:ascii="Times New Roman" w:cs="Times New Roman" w:eastAsia="Calibri" w:hAnsi="Times New Roman"/>
          <w:b/>
          <w:sz w:val="24"/>
          <w:szCs w:val="24"/>
        </w:rPr>
        <w:t>S.C Rewe România- Filiala Penny Market Petrila</w:t>
      </w:r>
      <w:r>
        <w:rPr>
          <w:rFonts w:ascii="Times New Roman" w:cs="Times New Roman" w:eastAsia="Calibri" w:hAnsi="Times New Roman"/>
          <w:sz w:val="24"/>
          <w:szCs w:val="24"/>
        </w:rPr>
        <w:t xml:space="preserve"> </w:t>
      </w:r>
      <w:r>
        <w:rPr>
          <w:rFonts w:ascii="Times New Roman" w:cs="Times New Roman" w:eastAsia="Calibri" w:hAnsi="Times New Roman"/>
          <w:sz w:val="24"/>
          <w:szCs w:val="24"/>
          <w:lang w:val="it-IT"/>
        </w:rPr>
        <w:t>pentru promovarea ofertei educaţionale de către operatorii economici, unde se vor organiza stagiile de pregătire practică începând cu anul şcolar 2014-2015.La aceste vizite au participat atât elevii claselor a VIII-a și a IX-a  cât şi  diriginţii acestora.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  <w:lang w:val="it-IT"/>
        </w:rPr>
        <w:t>4. Diriginţii claselor a VIII-a și a IX-a  au organizat  sesiuni de orientare şcolară şi profesională a elevilor, cu invitarea părinţilor / tutorilor legali, referitoare la oportunităţile oferite de învăţământul profesional pe plan local /regional, inclusiv pentru promovarea ofertei educationale în rîndul altor membrii ai familiei, eligibili pentru această formă de pregătire profesională.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cs="Times New Roman" w:eastAsia="Calibri" w:hAnsi="Times New Roman"/>
          <w:sz w:val="24"/>
          <w:szCs w:val="24"/>
          <w:lang w:val="en-US"/>
        </w:rPr>
        <w:t>5.</w:t>
      </w:r>
      <w:r>
        <w:rPr>
          <w:rFonts w:ascii="Times New Roman" w:cs="Times New Roman" w:eastAsia="Calibri" w:hAnsi="Times New Roman"/>
          <w:sz w:val="24"/>
          <w:szCs w:val="24"/>
        </w:rPr>
        <w:t xml:space="preserve">În Ziarul Vaii Jiului a fost publicată oferta </w:t>
      </w:r>
      <w:r>
        <w:rPr>
          <w:rFonts w:ascii="Times New Roman" w:hAnsi="Times New Roman"/>
          <w:sz w:val="24"/>
          <w:szCs w:val="24"/>
        </w:rPr>
        <w:t>educaţională pe domenii şi calificări profesionale</w:t>
      </w:r>
      <w:r>
        <w:rPr>
          <w:rFonts w:ascii="Times New Roman" w:cs="Times New Roman" w:eastAsia="Calibri" w:hAnsi="Times New Roman"/>
          <w:sz w:val="24"/>
          <w:szCs w:val="24"/>
          <w:lang w:val="en-US"/>
        </w:rPr>
        <w:t xml:space="preserve">, iar pe situl școlii au fost postate toate materialele referitoate la învățământul profesional și tehnic astfel încât toți elevii și părinții acestora să se poată documenta cu usurință.             </w:t>
      </w:r>
      <w:r>
        <w:rPr>
          <w:rFonts w:ascii="Times New Roman" w:cs="Times New Roman" w:eastAsia="Calibri" w:hAnsi="Times New Roman"/>
          <w:color w:val="000000"/>
          <w:sz w:val="24"/>
          <w:szCs w:val="24"/>
          <w:lang w:val="en-US"/>
        </w:rPr>
        <w:t xml:space="preserve"> </w:t>
      </w:r>
    </w:p>
    <w:p>
      <w:pPr>
        <w:pStyle w:val="style0"/>
        <w:spacing w:after="0" w:before="0" w:line="300" w:lineRule="auto"/>
        <w:contextualSpacing w:val="false"/>
        <w:jc w:val="both"/>
      </w:pPr>
      <w:r>
        <w:rPr>
          <w:rFonts w:ascii="Times New Roman" w:cs="Times New Roman" w:eastAsia="Calibri" w:hAnsi="Times New Roman"/>
          <w:color w:val="585858"/>
          <w:sz w:val="24"/>
          <w:szCs w:val="24"/>
          <w:lang w:val="en-US"/>
        </w:rPr>
        <w:t>6.</w:t>
      </w:r>
      <w:r>
        <w:rPr>
          <w:rFonts w:ascii="Times New Roman" w:cs="Times New Roman" w:eastAsia="Times New Roman" w:hAnsi="Times New Roman"/>
          <w:sz w:val="24"/>
          <w:szCs w:val="24"/>
          <w:lang w:eastAsia="en-AU"/>
        </w:rPr>
        <w:t xml:space="preserve"> S-a realizat de asemenea o campanie de prezentare a liceului, atât prin prezenţa în mijlocul absolvenţilor de gimnaziu cât şi prin promovarea în mass media cu un clip publicitar la Mondo TV şi Mondo FM.</w:t>
      </w:r>
    </w:p>
    <w:p>
      <w:pPr>
        <w:pStyle w:val="style0"/>
      </w:pPr>
      <w:r>
        <w:rPr>
          <w:rFonts w:cs="Times New Roman" w:eastAsia="Calibri"/>
          <w:lang w:val="en-US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  <w:lang w:val="en-US"/>
        </w:rPr>
        <w:t>Director,                                                                      Responsabil aria curriculară Tehnologii,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  <w:lang w:val="en-US"/>
        </w:rPr>
        <w:t>Dr.ing.Mitran Cecilia- Livia                                                                       ing.Nagâț Gabriela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ahoma" w:cs="Tahoma" w:eastAsia="Calibri" w:hAnsi="Tahoma"/>
          <w:color w:val="585858"/>
          <w:sz w:val="18"/>
          <w:szCs w:val="18"/>
          <w:lang w:val="en-US"/>
        </w:rPr>
        <w:br/>
      </w:r>
    </w:p>
    <w:p>
      <w:pPr>
        <w:pStyle w:val="style0"/>
      </w:pPr>
      <w:r>
        <w:rPr/>
      </w:r>
    </w:p>
    <w:sectPr>
      <w:footerReference r:id="rId3" w:type="default"/>
      <w:type w:val="nextPage"/>
      <w:pgSz w:h="15840" w:w="12240"/>
      <w:pgMar w:bottom="1440" w:footer="720" w:gutter="0" w:header="0" w:left="1440" w:right="1440" w:top="1440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libri">
    <w:charset w:val="00"/>
    <w:family w:val="roman"/>
    <w:pitch w:val="variable"/>
  </w:font>
  <w:font w:name="Times New Roman">
    <w:charset w:val="80"/>
    <w:family w:val="roman"/>
    <w:pitch w:val="variable"/>
  </w:font>
  <w:font w:name="Courier New">
    <w:charset w:val="80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5"/>
      <w:jc w:val="center"/>
    </w:pPr>
    <w:r>
      <w:rPr/>
      <w:fldChar w:fldCharType="begin"/>
    </w:r>
    <w:r>
      <w:instrText> PAGE </w:instrText>
    </w:r>
    <w:r>
      <w:fldChar w:fldCharType="separate"/>
    </w:r>
    <w:r>
      <w:t>3</w:t>
    </w:r>
    <w:r>
      <w:fldChar w:fldCharType="end"/>
    </w:r>
  </w:p>
  <w:p>
    <w:pPr>
      <w:pStyle w:val="style25"/>
    </w:pPr>
    <w:r>
      <w:rPr/>
    </w:r>
  </w:p>
</w:ftr>
</file>

<file path=word/numbering.xml><?xml version="1.0" encoding="utf-8"?>
<w:numbering xmlns:w="http://schemas.openxmlformats.org/wordprocessingml/2006/main">
  <w:abstractNum w:abstractNumId="1">
    <w:lvl w:ilvl="0">
      <w:start w:val="7"/>
      <w:numFmt w:val="bullet"/>
      <w:lvlText w:val="-"/>
      <w:lvlJc w:val="left"/>
      <w:pPr>
        <w:ind w:hanging="360" w:left="720"/>
      </w:pPr>
      <w:rPr>
        <w:rFonts w:ascii="Times New Roman" w:cs="Times New Roman" w:hAnsi="Times New Roman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tabs/>
      <w:suppressAutoHyphens w:val="true"/>
      <w:spacing w:after="200" w:before="0" w:line="276" w:lineRule="auto"/>
      <w:contextualSpacing w:val="false"/>
    </w:pPr>
    <w:rPr>
      <w:rFonts w:ascii="Calibri" w:cs="Calibri" w:eastAsia="Lucida Sans Unicode" w:hAnsi="Calibri"/>
      <w:color w:val="auto"/>
      <w:sz w:val="22"/>
      <w:szCs w:val="22"/>
      <w:lang w:bidi="ar-SA" w:eastAsia="en-US" w:val="ro-RO"/>
    </w:rPr>
  </w:style>
  <w:style w:styleId="style15" w:type="character">
    <w:name w:val="Default Paragraph Font"/>
    <w:next w:val="style15"/>
    <w:rPr/>
  </w:style>
  <w:style w:styleId="style16" w:type="character">
    <w:name w:val="Footer Char"/>
    <w:basedOn w:val="style15"/>
    <w:next w:val="style16"/>
    <w:rPr/>
  </w:style>
  <w:style w:styleId="style17" w:type="character">
    <w:name w:val="Balloon Text Char"/>
    <w:basedOn w:val="style15"/>
    <w:next w:val="style17"/>
    <w:rPr>
      <w:rFonts w:ascii="Tahoma" w:cs="Tahoma" w:hAnsi="Tahoma"/>
      <w:sz w:val="16"/>
      <w:szCs w:val="16"/>
    </w:rPr>
  </w:style>
  <w:style w:styleId="style18" w:type="character">
    <w:name w:val="ListLabel 1"/>
    <w:next w:val="style18"/>
    <w:rPr>
      <w:rFonts w:cs="Times New Roman" w:eastAsia="Calibri"/>
    </w:rPr>
  </w:style>
  <w:style w:styleId="style19" w:type="character">
    <w:name w:val="ListLabel 2"/>
    <w:next w:val="style19"/>
    <w:rPr>
      <w:rFonts w:cs="Courier New"/>
    </w:rPr>
  </w:style>
  <w:style w:styleId="style20" w:type="paragraph">
    <w:name w:val="Heading"/>
    <w:basedOn w:val="style0"/>
    <w:next w:val="style21"/>
    <w:pPr>
      <w:keepNext/>
      <w:spacing w:after="120" w:before="240"/>
      <w:contextualSpacing w:val="false"/>
    </w:pPr>
    <w:rPr>
      <w:rFonts w:ascii="Arial" w:cs="Mangal" w:eastAsia="Lucida Sans Unicode" w:hAnsi="Arial"/>
      <w:sz w:val="28"/>
      <w:szCs w:val="28"/>
    </w:rPr>
  </w:style>
  <w:style w:styleId="style21" w:type="paragraph">
    <w:name w:val="Text body"/>
    <w:basedOn w:val="style0"/>
    <w:next w:val="style21"/>
    <w:pPr>
      <w:spacing w:after="120" w:before="0"/>
      <w:contextualSpacing w:val="false"/>
    </w:pPr>
    <w:rPr/>
  </w:style>
  <w:style w:styleId="style22" w:type="paragraph">
    <w:name w:val="List"/>
    <w:basedOn w:val="style21"/>
    <w:next w:val="style22"/>
    <w:pPr/>
    <w:rPr>
      <w:rFonts w:cs="Mangal"/>
    </w:rPr>
  </w:style>
  <w:style w:styleId="style23" w:type="paragraph">
    <w:name w:val="Caption"/>
    <w:basedOn w:val="style0"/>
    <w:next w:val="style23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4" w:type="paragraph">
    <w:name w:val="Index"/>
    <w:basedOn w:val="style0"/>
    <w:next w:val="style24"/>
    <w:pPr>
      <w:suppressLineNumbers/>
    </w:pPr>
    <w:rPr>
      <w:rFonts w:cs="Mangal"/>
    </w:rPr>
  </w:style>
  <w:style w:styleId="style25" w:type="paragraph">
    <w:name w:val="Footer"/>
    <w:basedOn w:val="style0"/>
    <w:next w:val="style25"/>
    <w:pPr>
      <w:suppressLineNumbers/>
      <w:tabs>
        <w:tab w:leader="none" w:pos="4536" w:val="center"/>
        <w:tab w:leader="none" w:pos="9072" w:val="right"/>
      </w:tabs>
      <w:spacing w:after="0" w:before="0" w:line="100" w:lineRule="atLeast"/>
      <w:contextualSpacing w:val="false"/>
    </w:pPr>
    <w:rPr/>
  </w:style>
  <w:style w:styleId="style26" w:type="paragraph">
    <w:name w:val="Balloon Text"/>
    <w:basedOn w:val="style0"/>
    <w:next w:val="style26"/>
    <w:pPr>
      <w:spacing w:after="0" w:before="0" w:line="100" w:lineRule="atLeast"/>
      <w:contextualSpacing w:val="false"/>
    </w:pPr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2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2014-05-09T13:56:00.00Z</dcterms:created>
  <dc:creator>Gaby</dc:creator>
  <cp:lastModifiedBy>Gaby</cp:lastModifiedBy>
  <dcterms:modified xsi:type="dcterms:W3CDTF">2014-05-11T11:40:00.00Z</dcterms:modified>
  <cp:revision>12</cp:revision>
</cp:coreProperties>
</file>